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4D3E"/>
        </w:rPr>
        <w:t>Paso 3 — Equipo necesario</w:t>
      </w:r>
    </w:p>
    <w:p>
      <w:pPr>
        <w:spacing w:after="120"/>
      </w:pPr>
      <w:r>
        <w:rPr>
          <w:b/>
        </w:rPr>
        <w:t>Proyecto:</w:t>
      </w:r>
      <w:r>
        <w:t xml:space="preserve"> Observatorio Ciudadano del Arbolado Urbano de Temuco · Fondo FMA 2026-2027</w:t>
      </w:r>
    </w:p>
    <w:p>
      <w:pPr>
        <w:spacing w:after="120"/>
      </w:pPr>
      <w:r>
        <w:rPr>
          <w:b/>
        </w:rPr>
        <w:t>Fecha:</w:t>
      </w:r>
      <w:r>
        <w:t xml:space="preserve"> 12 de agosto de 2026</w:t>
      </w:r>
    </w:p>
    <w:p>
      <w:pPr>
        <w:spacing w:after="120"/>
      </w:pPr>
      <w:r>
        <w:rPr>
          <w:b/>
        </w:rPr>
        <w:t>Base:</w:t>
      </w:r>
      <w:r>
        <w:t xml:space="preserve"> </w:t>
      </w:r>
      <w:r>
        <w:rPr>
          <w:rFonts w:ascii="Consolas" w:hAnsi="Consolas"/>
          <w:sz w:val="19"/>
        </w:rPr>
        <w:t>FMA_2026_DISENO_CIENTIFICO.md</w:t>
      </w:r>
      <w:r>
        <w:t xml:space="preserve"> · </w:t>
      </w:r>
      <w:r>
        <w:rPr>
          <w:rFonts w:ascii="Consolas" w:hAnsi="Consolas"/>
          <w:sz w:val="19"/>
        </w:rPr>
        <w:t>FMA_2026_PILOTO.md</w:t>
      </w:r>
      <w:r>
        <w:t xml:space="preserve"> · </w:t>
      </w:r>
      <w:r>
        <w:rPr>
          <w:rFonts w:ascii="Consolas" w:hAnsi="Consolas"/>
          <w:sz w:val="19"/>
        </w:rPr>
        <w:t>FMA_2026_ARQUITECTURA_CONTINUIDAD.md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1. El criterio con el que van a mirar el equipo</w:t>
      </w:r>
    </w:p>
    <w:p>
      <w:pPr>
        <w:spacing w:after="120"/>
      </w:pPr>
      <w:r>
        <w:t xml:space="preserve">No es la presencia de credenciales. Es la </w:t>
      </w:r>
      <w:r>
        <w:rPr>
          <w:b/>
        </w:rPr>
        <w:t>coherencia</w:t>
      </w:r>
      <w:r>
        <w:t>. En la jornada, ante la pregunta de si el científico debe tener un rol o nivel de participación determinado:</w:t>
      </w:r>
    </w:p>
    <w:p>
      <w:pPr>
        <w:ind w:left="432"/>
      </w:pPr>
      <w:r>
        <w:rPr>
          <w:i/>
          <w:color w:val="444444"/>
        </w:rPr>
        <w:t xml:space="preserve">*"La verdad es que no. Nosotros revisamos, nos interesa más ver </w:t>
      </w:r>
      <w:r>
        <w:rPr>
          <w:b/>
          <w:i/>
          <w:color w:val="444444"/>
        </w:rPr>
        <w:t>en términos globales que el equipo y las especialidades del equipo sean coherentes con los objetivos que persiguen</w:t>
      </w:r>
      <w:r>
        <w:rPr>
          <w:i/>
          <w:color w:val="444444"/>
        </w:rPr>
        <w:t>. […] Nos interesa más cómo funcionan globalmente, más que qué tanto participa un miembro en específico."*</w:t>
      </w:r>
    </w:p>
    <w:p>
      <w:pPr>
        <w:spacing w:after="120"/>
      </w:pPr>
      <w:r>
        <w:t>Esto define la regla de diseño del equipo:</w:t>
      </w:r>
    </w:p>
    <w:p>
      <w:pPr>
        <w:ind w:left="432"/>
      </w:pPr>
      <w:r>
        <w:rPr>
          <w:b/>
          <w:i/>
          <w:color w:val="444444"/>
        </w:rPr>
        <w:t>Cada cosa que el proyecto promete tiene que tener a alguien que pueda hacerla.</w:t>
      </w:r>
      <w:r>
        <w:rPr>
          <w:i/>
          <w:color w:val="444444"/>
        </w:rPr>
        <w:t xml:space="preserve"> Ni una promesa sin responsable, ni un integrante sin función.</w:t>
      </w:r>
    </w:p>
    <w:p>
      <w:pPr>
        <w:spacing w:after="120"/>
      </w:pPr>
      <w:r>
        <w:t xml:space="preserve">Y dos reglas administrativas que ya verificamos: </w:t>
      </w:r>
      <w:r>
        <w:rPr>
          <w:b/>
        </w:rPr>
        <w:t>no hay mínimo ni máximo de integrantes</w:t>
      </w:r>
      <w:r>
        <w:t xml:space="preserve"> (Q30), y </w:t>
      </w:r>
      <w:r>
        <w:rPr>
          <w:b/>
        </w:rPr>
        <w:t>las trayectorias individuales de cada integrante acreditan la experiencia del equipo</w:t>
      </w:r>
      <w:r>
        <w:t xml:space="preserve"> (Q29). O sea: un equipo chico y bien encajado es mejor que uno largo y decorativo.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2. Los roles que el diseño exige (derivados, no genéricos)</w:t>
      </w:r>
    </w:p>
    <w:p>
      <w:pPr>
        <w:spacing w:after="120"/>
      </w:pPr>
      <w:r>
        <w:t>Cada rol sale de una función concreta del proyecto. Si una función desaparece del proyecto, el rol desaparece con ella.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1728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Rol</w:t>
            </w:r>
          </w:p>
        </w:tc>
        <w:tc>
          <w:tcPr>
            <w:tcW w:type="dxa" w:w="1728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 hace exactamente</w:t>
            </w:r>
          </w:p>
        </w:tc>
        <w:tc>
          <w:tcPr>
            <w:tcW w:type="dxa" w:w="1728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¿Indelegable?</w:t>
            </w:r>
          </w:p>
        </w:tc>
        <w:tc>
          <w:tcPr>
            <w:tcW w:type="dxa" w:w="1728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Dedicación estimada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Coordinación general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Contraparte ante FMA, informes de avance, gestión de fondos, articulación con escuelas, carta Gantt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Sí, por bases (representante)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La mayor del proyecto, distribuida en los 9 meses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Análisis territorial y datos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Capas satelitales, estratificación de sitios, cruce de datos ambientales por árbol, análisis estadístico (GLMM), publicación en el observatorio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No, pero </w:t>
            </w:r>
            <w:r>
              <w:rPr>
                <w:b/>
                <w:sz w:val="19"/>
              </w:rPr>
              <w:t>ya lo tenemos resuelto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Media, concentrada en dic-ene y may-ago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Validación taxonómica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Confirma especies de árboles desde fotos, valida morfotipos de líquenes, revisa identificaciones de iNaturalist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Sí</w:t>
            </w:r>
            <w:r>
              <w:rPr>
                <w:sz w:val="19"/>
              </w:rPr>
              <w:t xml:space="preserve"> — sin esto no hay H1 ni H3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Puntual pero crítica: concentrada tras cada salida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Coordinación pedagógica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Diseña la secuencia didáctica, capacita docentes, adapta el protocolo a la edad, produce el cuadernillo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Sí</w:t>
            </w:r>
            <w:r>
              <w:rPr>
                <w:sz w:val="19"/>
              </w:rPr>
              <w:t xml:space="preserve"> — es la brecha que más se nota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Alta en dic-abr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Terreno y control de calidad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Acompaña salidas, ejecuta la submuestra de control a ciegas, mide el error de los datos ciudadanos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No, puede recaer en 2 o 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Concentrada en marzo-abril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Registro audiovisual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Documenta el proceso (compromiso con FMA) y produce el material educativo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Baja, transversal</w:t>
            </w:r>
          </w:p>
        </w:tc>
      </w:tr>
    </w:tbl>
    <w:p/>
    <w:p>
      <w:pPr>
        <w:spacing w:after="120"/>
      </w:pPr>
      <w:r>
        <w:rPr>
          <w:b/>
        </w:rPr>
        <w:t>Los docentes de las escuelas no son un rol contratado</w:t>
      </w:r>
      <w:r>
        <w:t xml:space="preserve">: son </w:t>
      </w:r>
      <w:r>
        <w:rPr>
          <w:b/>
        </w:rPr>
        <w:t>contraparte</w:t>
      </w:r>
      <w:r>
        <w:t xml:space="preserve">. Ya están pagados por su establecimiento y su participación se acredita con la carta de la dirección. Pero </w:t>
      </w:r>
      <w:r>
        <w:rPr>
          <w:b/>
        </w:rPr>
        <w:t>sí hay que nombrarlos en el equipo ampliado</w:t>
      </w:r>
      <w:r>
        <w:t>, porque son quienes sostienen la continuidad después.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3. Lo que ya tenemos y lo que falta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Rol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Estado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Quién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 · Coordinación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Cubierto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Tú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 · Análisis territorial y datos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Cubierto y acreditable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Tú — con el observatorio como evidencia pública: serie 2005-2024, índice de equidad, cruce con 344 loteos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3 · </w:t>
            </w:r>
            <w:r>
              <w:rPr>
                <w:b/>
                <w:sz w:val="19"/>
              </w:rPr>
              <w:t>Validación taxonómica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❌ </w:t>
            </w:r>
            <w:r>
              <w:rPr>
                <w:b/>
                <w:sz w:val="19"/>
              </w:rPr>
              <w:t>Falta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4 · </w:t>
            </w:r>
            <w:r>
              <w:rPr>
                <w:b/>
                <w:sz w:val="19"/>
              </w:rPr>
              <w:t>Coordinación pedagógica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❌ </w:t>
            </w:r>
            <w:r>
              <w:rPr>
                <w:b/>
                <w:sz w:val="19"/>
              </w:rPr>
              <w:t>Falta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Parcialmente cubierto por Ekuwün y los docentes, pero sin perfil acreditado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5 · Terreno y control de calidad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🟡 Parcial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Puede recaer en el rol 3 o en un tesista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6 · Registro audiovisual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🟡 Resoluble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Puede hacerlo alguien del equipo con un celular — las bases dicen que </w:t>
            </w:r>
            <w:r>
              <w:rPr>
                <w:b/>
                <w:sz w:val="19"/>
              </w:rPr>
              <w:t>no requiere equipamiento especializado</w:t>
            </w:r>
          </w:p>
        </w:tc>
      </w:tr>
    </w:tbl>
    <w:p/>
    <w:p>
      <w:pPr>
        <w:spacing w:after="120"/>
      </w:pPr>
      <w:r>
        <w:rPr>
          <w:b/>
        </w:rPr>
        <w:t>Dos brechas reales, y ninguna es fatal.</w:t>
      </w:r>
      <w:r>
        <w:t xml:space="preserve"> Las dos se resuelven con personas, no con presupuesto grande — y ahora sabemos que </w:t>
      </w:r>
      <w:r>
        <w:rPr>
          <w:b/>
        </w:rPr>
        <w:t>se pueden pagar</w:t>
      </w:r>
      <w:r>
        <w:t xml:space="preserve"> (Q5, Q25, Q55: honorarios sin porcentaje máximo, la coordinación no tiene por qué ser ad honorem).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4. Las dos brechas, y dónde buscarlas</w:t>
      </w:r>
    </w:p>
    <w:p>
      <w:pPr>
        <w:pStyle w:val="Heading3"/>
      </w:pPr>
      <w:r>
        <w:rPr>
          <w:color w:val="1B4D3E"/>
        </w:rPr>
        <w:t>4.1 Validación taxonómica — la más crítica</w:t>
      </w:r>
    </w:p>
    <w:p>
      <w:pPr>
        <w:spacing w:after="120"/>
      </w:pPr>
      <w:r>
        <w:rPr>
          <w:b/>
        </w:rPr>
        <w:t>Por qué es indelegable:</w:t>
      </w:r>
      <w:r>
        <w:t xml:space="preserve"> si nadie confirma las especies, H1 (nativo vs. exótico) no se puede contrastar; si nadie valida los morfotipos de líquenes, H3 se cae. Sin este rol, </w:t>
      </w:r>
      <w:r>
        <w:rPr>
          <w:b/>
        </w:rPr>
        <w:t>el proyecto promete lo que no puede entregar</w:t>
      </w:r>
      <w:r>
        <w:t>, y eso es justo lo que la evaluación por coherencia detecta.</w:t>
      </w:r>
    </w:p>
    <w:p>
      <w:pPr>
        <w:spacing w:after="120"/>
      </w:pPr>
      <w:r>
        <w:rPr>
          <w:b/>
        </w:rPr>
        <w:t>Perfiles que sirven, en orden de conveniencia:</w:t>
      </w:r>
    </w:p>
    <w:p>
      <w:pPr>
        <w:pStyle w:val="ListNumber"/>
      </w:pPr>
      <w:r>
        <w:rPr>
          <w:b/>
        </w:rPr>
        <w:t>Académico/a de la UFRO</w:t>
      </w:r>
      <w:r>
        <w:t xml:space="preserve"> en ciencias forestales, botánica o ecología. Suma trayectoria institucional y abre la puerta a la alianza para continuidad. El Dr. Rodrigo Vargas trabajó el arbolado patrimonial de Temuco.</w:t>
      </w:r>
    </w:p>
    <w:p>
      <w:pPr>
        <w:pStyle w:val="ListNumber"/>
      </w:pPr>
      <w:r>
        <w:rPr>
          <w:b/>
        </w:rPr>
        <w:t>Tesista de magíster o doctorado</w:t>
      </w:r>
      <w:r>
        <w:t xml:space="preserve"> que pueda usar los datos para su propia investigación. Es la fórmula más eficiente: dedicación real a costo acotado, y su tesis es continuidad del proyecto.</w:t>
      </w:r>
    </w:p>
    <w:p>
      <w:pPr>
        <w:pStyle w:val="ListNumber"/>
      </w:pPr>
      <w:r>
        <w:rPr>
          <w:b/>
        </w:rPr>
        <w:t>Liquenólogo/a o micólogo/a</w:t>
      </w:r>
      <w:r>
        <w:t xml:space="preserve">, aunque sea a distancia. Los líquenes tienen pocos especialistas en Chile — </w:t>
      </w:r>
      <w:r>
        <w:rPr>
          <w:b/>
        </w:rPr>
        <w:t>hay que verificar disponibilidad antes de comprometer H3</w:t>
      </w:r>
      <w:r>
        <w:t>.</w:t>
      </w:r>
    </w:p>
    <w:p>
      <w:pPr>
        <w:pStyle w:val="ListNumber"/>
      </w:pPr>
      <w:r>
        <w:rPr>
          <w:b/>
        </w:rPr>
        <w:t>Identificadores de iNaturalist</w:t>
      </w:r>
      <w:r>
        <w:t xml:space="preserve"> — complemento real, gratuito y ya funcionando, pero </w:t>
      </w:r>
      <w:r>
        <w:rPr>
          <w:b/>
        </w:rPr>
        <w:t>no reemplaza</w:t>
      </w:r>
      <w:r>
        <w:t xml:space="preserve"> a un responsable: no se le puede pedir cuentas a una comunidad voluntaria.</w:t>
      </w:r>
    </w:p>
    <w:p>
      <w:pPr>
        <w:spacing w:after="120"/>
      </w:pPr>
      <w:r>
        <w:t xml:space="preserve">⚠️ </w:t>
      </w:r>
      <w:r>
        <w:rPr>
          <w:b/>
        </w:rPr>
        <w:t>Alternativa honesta si no aparece nadie:</w:t>
      </w:r>
      <w:r>
        <w:t xml:space="preserve"> recortar el alcance. Trabajar con </w:t>
      </w:r>
      <w:r>
        <w:rPr>
          <w:b/>
        </w:rPr>
        <w:t>morfoespecies</w:t>
      </w:r>
      <w:r>
        <w:t xml:space="preserve"> sin determinación taxonómica formal es metodológicamente válido —lo dejamos escrito en el diseño— y permite responder H2 (efecto del contexto) y parcialmente H1 usando </w:t>
      </w:r>
      <w:r>
        <w:rPr>
          <w:b/>
        </w:rPr>
        <w:t>origen nativo/exótico solo de los árboles</w:t>
      </w:r>
      <w:r>
        <w:t xml:space="preserve">, que sí se puede determinar con fotos y guías. Se pierde H3. </w:t>
      </w:r>
      <w:r>
        <w:rPr>
          <w:b/>
        </w:rPr>
        <w:t>Es mejor prometer menos y cumplirlo.</w:t>
      </w:r>
    </w:p>
    <w:p>
      <w:pPr>
        <w:pStyle w:val="Heading3"/>
      </w:pPr>
      <w:r>
        <w:rPr>
          <w:color w:val="1B4D3E"/>
        </w:rPr>
        <w:t>4.2 Coordinación pedagógica — la que el proyecto ganador tenía y nosotros no</w:t>
      </w:r>
    </w:p>
    <w:p>
      <w:pPr>
        <w:spacing w:after="120"/>
      </w:pPr>
      <w:r>
        <w:t xml:space="preserve">El proyecto premiado que presentaron en la jornada lo lideraba una </w:t>
      </w:r>
      <w:r>
        <w:rPr>
          <w:b/>
        </w:rPr>
        <w:t>profesora de educación básica con magíster en investigación y cambio educativo</w:t>
      </w:r>
      <w:r>
        <w:t xml:space="preserve">. No es casualidad: el fondo se define por </w:t>
      </w:r>
      <w:r>
        <w:rPr>
          <w:i/>
        </w:rPr>
        <w:t>"arte, ciencia y educación"</w:t>
      </w:r>
      <w:r>
        <w:t xml:space="preserve">, y advirtió que </w:t>
      </w:r>
      <w:r>
        <w:rPr>
          <w:b/>
        </w:rPr>
        <w:t>un proyecto puramente educativo no basta, pero tampoco basta uno puramente científico</w:t>
      </w:r>
      <w:r>
        <w:t>.</w:t>
      </w:r>
    </w:p>
    <w:p>
      <w:pPr>
        <w:spacing w:after="120"/>
      </w:pPr>
      <w:r>
        <w:rPr>
          <w:b/>
        </w:rPr>
        <w:t>Perfiles que sirven:</w:t>
      </w:r>
    </w:p>
    <w:p>
      <w:pPr>
        <w:pStyle w:val="ListNumber"/>
      </w:pPr>
      <w:r>
        <w:rPr>
          <w:b/>
        </w:rPr>
        <w:t>Docente de ciencias con experiencia en indagación</w:t>
      </w:r>
      <w:r>
        <w:t>, idealmente de una de las tres escuelas. Es la opción más coherente: la continuidad queda dentro del establecimiento.</w:t>
      </w:r>
    </w:p>
    <w:p>
      <w:pPr>
        <w:pStyle w:val="ListNumber"/>
      </w:pPr>
      <w:r>
        <w:rPr>
          <w:b/>
        </w:rPr>
        <w:t>Educador/a ambiental de Ekuwün</w:t>
      </w:r>
      <w:r>
        <w:t>, si el vínculo con las escuelas viene de ahí. ⚠️ Necesito saber qué es Ekuwün para evaluarlo.</w:t>
      </w:r>
    </w:p>
    <w:p>
      <w:pPr>
        <w:pStyle w:val="ListNumber"/>
      </w:pPr>
      <w:r>
        <w:rPr>
          <w:b/>
        </w:rPr>
        <w:t>Estudiante de pedagogía en práctica profesional</w:t>
      </w:r>
      <w:r>
        <w:t xml:space="preserve"> de la UFRO o UCT.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5. La restricción que ordena todo: $6.000.000 en 9 meses</w:t>
      </w:r>
    </w:p>
    <w:p>
      <w:pPr>
        <w:spacing w:after="120"/>
      </w:pPr>
      <w:r>
        <w:t>Es el límite duro y conviene verlo antes de armar el organigrama, no después.</w:t>
      </w:r>
    </w:p>
    <w:p>
      <w:pPr>
        <w:pStyle w:val="ListBullet"/>
      </w:pPr>
      <w:r>
        <w:t xml:space="preserve">El fondo </w:t>
      </w:r>
      <w:r>
        <w:rPr>
          <w:b/>
        </w:rPr>
        <w:t>recomienda no destinar la totalidad a honorarios</w:t>
      </w:r>
      <w:r>
        <w:t xml:space="preserve"> (Q5, Q25). Si reservamos algo más de la mitad para personas, el resto va a materiales, equipamiento (Q38 lo permite: binoculares, lupas), traslados (Q17) e impresión del cuadernillo.</w:t>
      </w:r>
    </w:p>
    <w:p>
      <w:pPr>
        <w:pStyle w:val="ListBullet"/>
      </w:pPr>
      <w:r>
        <w:t xml:space="preserve">Con esa fracción </w:t>
      </w:r>
      <w:r>
        <w:rPr>
          <w:b/>
        </w:rPr>
        <w:t>no alcanza para nadie a jornada completa durante 9 meses</w:t>
      </w:r>
      <w:r>
        <w:t xml:space="preserve">. La pregunta correcta no es "¿cuántas personas?" sino </w:t>
      </w:r>
      <w:r>
        <w:rPr>
          <w:b/>
        </w:rPr>
        <w:t>"¿cuántas horas de cada especialidad?"</w:t>
      </w:r>
      <w:r>
        <w:t>.</w:t>
      </w:r>
    </w:p>
    <w:p>
      <w:pPr>
        <w:spacing w:after="120"/>
      </w:pPr>
      <w:r>
        <w:rPr>
          <w:b/>
        </w:rPr>
        <w:t>Modelo realista: un equipo chico con dedicaciones parciales y concentradas.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Rol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Cuándo se concentra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Forma de contratación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Coordinación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transversal, con picos en dic y mar-abr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honorarios mensuales parciales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Análisis y datos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dic-ene (preparación) · may-ago (análisis)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honorarios por producto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Validación taxonómica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tras cada salida, mar-may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honorarios por hora o por producto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Coordinación pedagógica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dic-feb (diseño) · mar-abr (ejecución)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honorarios por producto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Terreno y control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mar-abr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honorarios por jornada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Audiovisual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transversal, baja intensidad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dentro de otro rol</w:t>
            </w:r>
          </w:p>
        </w:tc>
      </w:tr>
    </w:tbl>
    <w:p/>
    <w:p>
      <w:pPr>
        <w:spacing w:after="120"/>
      </w:pPr>
      <w:r>
        <w:t xml:space="preserve">⚠️ </w:t>
      </w:r>
      <w:r>
        <w:rPr>
          <w:b/>
        </w:rPr>
        <w:t>No pongo cifras acá a propósito</w:t>
      </w:r>
      <w:r>
        <w:t xml:space="preserve">: los montos van en el paso 7, con valores reales de mercado que tú puedas confirmar. Lo que sí importa ahora es la </w:t>
      </w:r>
      <w:r>
        <w:rPr>
          <w:b/>
        </w:rPr>
        <w:t>forma</w:t>
      </w:r>
      <w:r>
        <w:t>: pago por producto o por jornada, no sueldos mensuales completos, porque el fondo no da para eso y un presupuesto que finja lo contrario se cae solo.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6. Cómo acreditar la coherencia (la tabla que conviene incluir en la postulación)</w:t>
      </w:r>
    </w:p>
    <w:p>
      <w:pPr>
        <w:spacing w:after="120"/>
      </w:pPr>
      <w:r>
        <w:t>Este es el formato que responde directamente al criterio de evaluación: cada objetivo, quién lo cubre y con qué evidencia.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Lo que el proyecto promete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Quién lo hace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Evidencia de capacidad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Estratificar el muestreo por cobertura arbórea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Análisis territorial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Índice de equidad por unidad vecinal </w:t>
            </w:r>
            <w:r>
              <w:rPr>
                <w:b/>
                <w:sz w:val="19"/>
              </w:rPr>
              <w:t>ya publicado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Aportar datos ambientales por árbol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Análisis territorial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Serie satelital 2005-2024 y capa de temperatura </w:t>
            </w:r>
            <w:r>
              <w:rPr>
                <w:b/>
                <w:sz w:val="19"/>
              </w:rPr>
              <w:t>ya operativas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Medir 200-350 árboles con estudiantes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Coordinación pedagógica + terreno + docentes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Vínculo existente con tres escuelas vía Ekuwün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Registrar biodiversidad asociada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Terreno + estudiantes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Protocolo escrito; iNaturalist como plataforma de identificación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Validar especies y morfotipos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Validación taxonómica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⬜ </w:t>
            </w:r>
            <w:r>
              <w:rPr>
                <w:b/>
                <w:sz w:val="19"/>
              </w:rPr>
              <w:t>por acreditar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Estimar el error de los datos ciudadanos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Terreno y control de calidad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Diseño de submuestra ciega con umbrales definidos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Analizar (GLMM, diversidad)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Análisis y datos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Metodología escrita en el diseño científico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Dejar capacidad instalada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Docentes + coordinación pedagógica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Protocolo, cuadernillo y colección quedan en la escuela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Publicar y devolver a la comunidad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Coordinación + observatorio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Sitio público operativo desde antes del proyecto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Traducir a incidencia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Coordinación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Ordenanza Art. 9 y 28; PLADECO y PRC en proceso; diagnóstico regional del MMA</w:t>
            </w:r>
          </w:p>
        </w:tc>
      </w:tr>
    </w:tbl>
    <w:p/>
    <w:p>
      <w:pPr>
        <w:spacing w:after="120"/>
      </w:pPr>
      <w:r>
        <w:rPr>
          <w:b/>
        </w:rPr>
        <w:t>La fila con el cuadrito vacío es la única que hoy no podemos llenar.</w:t>
      </w:r>
      <w:r>
        <w:t xml:space="preserve"> Ese es, exactamente, el trabajo de esta semana.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7. Quién postula: el marco para decidir</w:t>
      </w:r>
    </w:p>
    <w:p>
      <w:pPr>
        <w:spacing w:after="120"/>
      </w:pPr>
      <w:r>
        <w:t>No lo puedo decidir por ti, pero el árbol de decisión es corto: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Figura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 favor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En contra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Persona natural (tú)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Simple, sin trámites, sin personalidad jurídica. Confirmado que </w:t>
            </w:r>
            <w:r>
              <w:rPr>
                <w:b/>
                <w:sz w:val="19"/>
              </w:rPr>
              <w:t>no hay ventaja evaluativa</w:t>
            </w:r>
            <w:r>
              <w:rPr>
                <w:sz w:val="19"/>
              </w:rPr>
              <w:t xml:space="preserve"> por tipo de postulante (Q18, Q19)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Toda la responsabilidad administrativa recae en ti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Ekuwün</w:t>
            </w:r>
            <w:r>
              <w:rPr>
                <w:sz w:val="19"/>
              </w:rPr>
              <w:t xml:space="preserve"> (si tiene personalidad jurídica)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Acredita el vínculo con las escuelas de forma institucional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⚠️ </w:t>
            </w:r>
            <w:r>
              <w:rPr>
                <w:b/>
                <w:sz w:val="19"/>
              </w:rPr>
              <w:t>Q31/Q35: no podría postular ningún otro proyecto a este fondo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UFRO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Máxima solidez y continuidad institucional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Tiempos administrativos universitarios; quedan 12 días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Colectivo no formalizado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Q47 lo resuelve: se postula </w:t>
            </w:r>
            <w:r>
              <w:rPr>
                <w:b/>
                <w:sz w:val="19"/>
              </w:rPr>
              <w:t>a nombre de una persona natural representante</w:t>
            </w:r>
          </w:p>
        </w:tc>
      </w:tr>
    </w:tbl>
    <w:p/>
    <w:p>
      <w:pPr>
        <w:spacing w:after="120"/>
      </w:pPr>
      <w:r>
        <w:rPr>
          <w:b/>
        </w:rPr>
        <w:t>Mi recomendación:</w:t>
      </w:r>
      <w:r>
        <w:t xml:space="preserve"> postular </w:t>
      </w:r>
      <w:r>
        <w:rPr>
          <w:b/>
        </w:rPr>
        <w:t>tú como persona natural</w:t>
      </w:r>
      <w:r>
        <w:t xml:space="preserve">, con un equipo nombrado que incluya a las personas de Ekuwün, al perfil taxonómico y al pedagógico, y con </w:t>
      </w:r>
      <w:r>
        <w:rPr>
          <w:b/>
        </w:rPr>
        <w:t>cartas de apoyo</w:t>
      </w:r>
      <w:r>
        <w:t xml:space="preserve"> de las escuelas y —ojalá— de la UFRO. Eso da coherencia sin depender de trámites que no alcanzan.</w:t>
      </w:r>
    </w:p>
    <w:p>
      <w:pPr>
        <w:spacing w:after="120"/>
      </w:pPr>
      <w:r>
        <w:t xml:space="preserve">Dos precisiones útiles: una persona puede ser </w:t>
      </w:r>
      <w:r>
        <w:rPr>
          <w:b/>
        </w:rPr>
        <w:t>responsable de un proyecto e integrante del equipo de otro</w:t>
      </w:r>
      <w:r>
        <w:t xml:space="preserve"> (Q7), y </w:t>
      </w:r>
      <w:r>
        <w:rPr>
          <w:b/>
        </w:rPr>
        <w:t>no hay formato exigido</w:t>
      </w:r>
      <w:r>
        <w:t xml:space="preserve"> para las cartas de apoyo (Q39), así que se pueden pedir hoy mismo.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8. Lo que hay que hacer esta semana</w:t>
      </w:r>
    </w:p>
    <w:p>
      <w:pPr>
        <w:spacing w:after="120"/>
      </w:pPr>
      <w:r>
        <w:t>Ordenado por lo que más tarda en conseguirse:</w:t>
      </w:r>
    </w:p>
    <w:p>
      <w:pPr>
        <w:pStyle w:val="ListNumber"/>
      </w:pPr>
      <w:r>
        <w:rPr>
          <w:b/>
        </w:rPr>
        <w:t>Cartas de apoyo de las tres escuelas.</w:t>
      </w:r>
      <w:r>
        <w:t xml:space="preserve"> Es lo más lento y lo primero que mira un evaluador. Sin formato exigido: basta que la dirección declare conocer el proyecto y comprometer participación.</w:t>
      </w:r>
    </w:p>
    <w:p>
      <w:pPr>
        <w:pStyle w:val="ListNumber"/>
      </w:pPr>
      <w:r>
        <w:rPr>
          <w:b/>
        </w:rPr>
        <w:t>Conseguir el perfil taxonómico.</w:t>
      </w:r>
      <w:r>
        <w:t xml:space="preserve"> Un correo a la UFRO explicando el proyecto y ofreciendo honorarios por validación. Si en una semana no hay respuesta, se aplica el plan B del §4.1 y se recorta H3.</w:t>
      </w:r>
    </w:p>
    <w:p>
      <w:pPr>
        <w:pStyle w:val="ListNumber"/>
      </w:pPr>
      <w:r>
        <w:rPr>
          <w:b/>
        </w:rPr>
        <w:t>Definir la coordinación pedagógica.</w:t>
      </w:r>
      <w:r>
        <w:t xml:space="preserve"> Puede salir de las mismas escuelas.</w:t>
      </w:r>
    </w:p>
    <w:p>
      <w:pPr>
        <w:pStyle w:val="ListNumber"/>
      </w:pPr>
      <w:r>
        <w:rPr>
          <w:b/>
        </w:rPr>
        <w:t>Fichas de trayectoria de cada integrante</w:t>
      </w:r>
      <w:r>
        <w:t xml:space="preserve"> (media plana cada una: qué hizo, dónde, con quién). Q29 las hace válidas como acreditación.</w:t>
      </w:r>
    </w:p>
    <w:p>
      <w:pPr>
        <w:pStyle w:val="ListNumber"/>
      </w:pPr>
      <w:r>
        <w:rPr>
          <w:b/>
        </w:rPr>
        <w:t>Abrir el formulario en línea</w:t>
      </w:r>
      <w:r>
        <w:t xml:space="preserve"> para inventariar los documentos que piden y el PDF de 7 planas (Q8, Q34).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9. Sigo necesitando cuatro respuestas</w:t>
      </w:r>
    </w:p>
    <w:p>
      <w:pPr>
        <w:spacing w:after="120"/>
      </w:pPr>
      <w:r>
        <w:t>Las mismas de la vez pasada, ahora más urgentes porque bloquean el paso 4:</w:t>
      </w:r>
    </w:p>
    <w:p>
      <w:pPr>
        <w:pStyle w:val="ListNumber"/>
      </w:pPr>
      <w:r>
        <w:rPr>
          <w:b/>
        </w:rPr>
        <w:t>¿Qué es Ekuwün</w:t>
      </w:r>
      <w:r>
        <w:t xml:space="preserve"> y qué relación tiene con las escuelas? Sin esto no puedo escribir la sección de trayectoria ni decidir si conviene que postule.</w:t>
      </w:r>
    </w:p>
    <w:p>
      <w:pPr>
        <w:pStyle w:val="ListNumber"/>
      </w:pPr>
      <w:r>
        <w:rPr>
          <w:b/>
        </w:rPr>
        <w:t>¿Hay alguien de biología o ciencias forestales</w:t>
      </w:r>
      <w:r>
        <w:t xml:space="preserve"> a quien podamos escribirle esta semana?</w:t>
      </w:r>
    </w:p>
    <w:p>
      <w:pPr>
        <w:pStyle w:val="ListNumber"/>
      </w:pPr>
      <w:r>
        <w:rPr>
          <w:b/>
        </w:rPr>
        <w:t>Direcciones de las tres escuelas</w:t>
      </w:r>
      <w:r>
        <w:t>, para ubicarlas por estrato de cobertura.</w:t>
      </w:r>
    </w:p>
    <w:p>
      <w:pPr>
        <w:pStyle w:val="ListNumber"/>
      </w:pPr>
      <w:r>
        <w:rPr>
          <w:b/>
        </w:rPr>
        <w:t>¿Postulas tú como persona natural?</w:t>
      </w:r>
      <w:r>
        <w:t xml:space="preserve"> Es la decisión que ordena todo lo demás.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