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4D3E"/>
        </w:rPr>
        <w:t>Fondo FMA 2026–2027 · Estructuración conceptual y análisis crítico</w:t>
      </w:r>
    </w:p>
    <w:p>
      <w:pPr>
        <w:spacing w:after="120"/>
      </w:pPr>
      <w:r>
        <w:rPr>
          <w:b/>
        </w:rPr>
        <w:t>Proyecto:</w:t>
      </w:r>
      <w:r>
        <w:t xml:space="preserve"> Observatorio Ciudadano del Arbolado Urbano de Temuco</w:t>
      </w:r>
    </w:p>
    <w:p>
      <w:pPr>
        <w:spacing w:after="120"/>
      </w:pPr>
      <w:r>
        <w:rPr>
          <w:b/>
        </w:rPr>
        <w:t>Documento:</w:t>
      </w:r>
      <w:r>
        <w:t xml:space="preserve"> análisis de pertinencia y rediseño conceptual </w:t>
      </w:r>
      <w:r>
        <w:rPr>
          <w:b/>
        </w:rPr>
        <w:t>previo</w:t>
      </w:r>
      <w:r>
        <w:t xml:space="preserve"> a escribir la postulación</w:t>
      </w:r>
    </w:p>
    <w:p>
      <w:pPr>
        <w:spacing w:after="120"/>
      </w:pPr>
      <w:r>
        <w:rPr>
          <w:b/>
        </w:rPr>
        <w:t>Fecha:</w:t>
      </w:r>
      <w:r>
        <w:t xml:space="preserve"> 11 de agosto de 2026</w:t>
      </w:r>
    </w:p>
    <w:p>
      <w:pPr>
        <w:spacing w:after="120"/>
      </w:pPr>
      <w:r>
        <w:rPr>
          <w:b/>
        </w:rPr>
        <w:t>Fuente primaria:</w:t>
      </w:r>
      <w:r>
        <w:t xml:space="preserve"> Bases Fondo FMA 2026-2027 (PDF oficial descargado y leído) + Preguntas frecuentes</w:t>
      </w:r>
    </w:p>
    <w:p>
      <w:pPr>
        <w:spacing w:before="40" w:after="120"/>
        <w:pBdr>
          <w:bottom w:val="single" w:sz="6" w:color="BBBBBB"/>
        </w:pBdr>
      </w:pPr>
    </w:p>
    <w:p>
      <w:pPr>
        <w:pStyle w:val="Heading2"/>
      </w:pPr>
      <w:r>
        <w:rPr>
          <w:color w:val="1B4D3E"/>
        </w:rPr>
        <w:t>0. Lo urgente primero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Hito</w:t>
            </w:r>
          </w:p>
        </w:tc>
        <w:tc>
          <w:tcPr>
            <w:tcW w:type="dxa" w:w="2880"/>
            <w:shd w:val="clear" w:fill="E8F0E4"/>
          </w:tcPr>
          <w:p>
            <w:r>
              <w:rPr>
                <w:b/>
                <w:sz w:val="19"/>
              </w:rPr>
            </w:r>
            <w:r>
              <w:rPr>
                <w:b/>
                <w:sz w:val="19"/>
              </w:rPr>
              <w:t>Fecha</w:t>
            </w:r>
          </w:p>
        </w:tc>
        <w:tc>
          <w:tcPr>
            <w:tcW w:type="dxa" w:w="2880"/>
            <w:shd w:val="clear" w:fill="E8F0E4"/>
          </w:tcPr>
          <w:p>
            <w:r>
              <w:rPr>
                <w:b/>
                <w:sz w:val="19"/>
              </w:rPr>
            </w:r>
            <w:r>
              <w:rPr>
                <w:b/>
                <w:sz w:val="19"/>
              </w:rPr>
              <w:t>Estado al 11-08-2026</w:t>
            </w:r>
          </w:p>
        </w:tc>
      </w:tr>
      <w:tr>
        <w:tc>
          <w:tcPr>
            <w:tcW w:type="dxa" w:w="2880"/>
          </w:tcPr>
          <w:p>
            <w:r>
              <w:rPr>
                <w:sz w:val="19"/>
              </w:rPr>
            </w:r>
            <w:r>
              <w:rPr>
                <w:sz w:val="19"/>
              </w:rPr>
              <w:t>Período de consultas</w:t>
            </w:r>
          </w:p>
        </w:tc>
        <w:tc>
          <w:tcPr>
            <w:tcW w:type="dxa" w:w="2880"/>
          </w:tcPr>
          <w:p>
            <w:r>
              <w:rPr>
                <w:sz w:val="19"/>
              </w:rPr>
            </w:r>
            <w:r>
              <w:rPr>
                <w:sz w:val="19"/>
              </w:rPr>
              <w:t xml:space="preserve">27 jul – </w:t>
            </w:r>
            <w:r>
              <w:rPr>
                <w:b/>
                <w:sz w:val="19"/>
              </w:rPr>
              <w:t>11 ago</w:t>
            </w:r>
          </w:p>
        </w:tc>
        <w:tc>
          <w:tcPr>
            <w:tcW w:type="dxa" w:w="2880"/>
          </w:tcPr>
          <w:p>
            <w:r>
              <w:rPr>
                <w:sz w:val="19"/>
              </w:rPr>
            </w:r>
            <w:r>
              <w:rPr>
                <w:sz w:val="19"/>
              </w:rPr>
              <w:t xml:space="preserve">⚠️ </w:t>
            </w:r>
            <w:r>
              <w:rPr>
                <w:b/>
                <w:sz w:val="19"/>
              </w:rPr>
              <w:t>cierra hoy</w:t>
            </w:r>
            <w:r>
              <w:rPr>
                <w:sz w:val="19"/>
              </w:rPr>
              <w:t xml:space="preserve"> (convocatorias@fundacionmaradentro.cl)</w:t>
            </w:r>
          </w:p>
        </w:tc>
      </w:tr>
      <w:tr>
        <w:tc>
          <w:tcPr>
            <w:tcW w:type="dxa" w:w="2880"/>
          </w:tcPr>
          <w:p>
            <w:r>
              <w:rPr>
                <w:sz w:val="19"/>
              </w:rPr>
            </w:r>
            <w:r>
              <w:rPr>
                <w:sz w:val="19"/>
              </w:rPr>
              <w:t>Jornada de orientación (Zoom)</w:t>
            </w:r>
          </w:p>
        </w:tc>
        <w:tc>
          <w:tcPr>
            <w:tcW w:type="dxa" w:w="2880"/>
          </w:tcPr>
          <w:p>
            <w:r>
              <w:rPr>
                <w:sz w:val="19"/>
              </w:rPr>
            </w:r>
            <w:r>
              <w:rPr>
                <w:b/>
                <w:sz w:val="19"/>
              </w:rPr>
              <w:t>11 ago, 18:00</w:t>
            </w:r>
          </w:p>
        </w:tc>
        <w:tc>
          <w:tcPr>
            <w:tcW w:type="dxa" w:w="2880"/>
          </w:tcPr>
          <w:p>
            <w:r>
              <w:rPr>
                <w:sz w:val="19"/>
              </w:rPr>
            </w:r>
            <w:r>
              <w:rPr>
                <w:sz w:val="19"/>
              </w:rPr>
              <w:t xml:space="preserve">⚠️ </w:t>
            </w:r>
            <w:r>
              <w:rPr>
                <w:b/>
                <w:sz w:val="19"/>
              </w:rPr>
              <w:t>es hoy</w:t>
            </w:r>
            <w:r>
              <w:rPr>
                <w:sz w:val="19"/>
              </w:rPr>
              <w:t xml:space="preserve"> — vale la pena entrar</w:t>
            </w:r>
          </w:p>
        </w:tc>
      </w:tr>
      <w:tr>
        <w:tc>
          <w:tcPr>
            <w:tcW w:type="dxa" w:w="2880"/>
          </w:tcPr>
          <w:p>
            <w:r>
              <w:rPr>
                <w:sz w:val="19"/>
              </w:rPr>
            </w:r>
            <w:r>
              <w:rPr>
                <w:b/>
                <w:sz w:val="19"/>
              </w:rPr>
              <w:t>Cierre de postulaciones</w:t>
            </w:r>
          </w:p>
        </w:tc>
        <w:tc>
          <w:tcPr>
            <w:tcW w:type="dxa" w:w="2880"/>
          </w:tcPr>
          <w:p>
            <w:r>
              <w:rPr>
                <w:sz w:val="19"/>
              </w:rPr>
            </w:r>
            <w:r>
              <w:rPr>
                <w:b/>
                <w:sz w:val="19"/>
              </w:rPr>
              <w:t>24 de agosto de 2026</w:t>
            </w:r>
          </w:p>
        </w:tc>
        <w:tc>
          <w:tcPr>
            <w:tcW w:type="dxa" w:w="2880"/>
          </w:tcPr>
          <w:p>
            <w:r>
              <w:rPr>
                <w:sz w:val="19"/>
              </w:rPr>
            </w:r>
            <w:r>
              <w:rPr>
                <w:sz w:val="19"/>
              </w:rPr>
              <w:t xml:space="preserve">⏳ </w:t>
            </w:r>
            <w:r>
              <w:rPr>
                <w:b/>
                <w:sz w:val="19"/>
              </w:rPr>
              <w:t>13 días</w:t>
            </w:r>
          </w:p>
        </w:tc>
      </w:tr>
      <w:tr>
        <w:tc>
          <w:tcPr>
            <w:tcW w:type="dxa" w:w="2880"/>
          </w:tcPr>
          <w:p>
            <w:r>
              <w:rPr>
                <w:sz w:val="19"/>
              </w:rPr>
            </w:r>
            <w:r>
              <w:rPr>
                <w:sz w:val="19"/>
              </w:rPr>
              <w:t>Entrevistas (10 diapositivas, 10 min)</w:t>
            </w:r>
          </w:p>
        </w:tc>
        <w:tc>
          <w:tcPr>
            <w:tcW w:type="dxa" w:w="2880"/>
          </w:tcPr>
          <w:p>
            <w:r>
              <w:rPr>
                <w:sz w:val="19"/>
              </w:rPr>
            </w:r>
            <w:r>
              <w:rPr>
                <w:sz w:val="19"/>
              </w:rPr>
              <w:t>21 sep – 2 oct</w:t>
            </w:r>
          </w:p>
        </w:tc>
        <w:tc>
          <w:tcPr>
            <w:tcW w:type="dxa" w:w="2880"/>
          </w:tcPr>
          <w:p>
            <w:r>
              <w:rPr>
                <w:sz w:val="19"/>
              </w:rPr>
            </w:r>
          </w:p>
        </w:tc>
      </w:tr>
      <w:tr>
        <w:tc>
          <w:tcPr>
            <w:tcW w:type="dxa" w:w="2880"/>
          </w:tcPr>
          <w:p>
            <w:r>
              <w:rPr>
                <w:sz w:val="19"/>
              </w:rPr>
            </w:r>
            <w:r>
              <w:rPr>
                <w:sz w:val="19"/>
              </w:rPr>
              <w:t>Resultados</w:t>
            </w:r>
          </w:p>
        </w:tc>
        <w:tc>
          <w:tcPr>
            <w:tcW w:type="dxa" w:w="2880"/>
          </w:tcPr>
          <w:p>
            <w:r>
              <w:rPr>
                <w:sz w:val="19"/>
              </w:rPr>
            </w:r>
            <w:r>
              <w:rPr>
                <w:sz w:val="19"/>
              </w:rPr>
              <w:t>5 oct 2026</w:t>
            </w:r>
          </w:p>
        </w:tc>
        <w:tc>
          <w:tcPr>
            <w:tcW w:type="dxa" w:w="2880"/>
          </w:tcPr>
          <w:p>
            <w:r>
              <w:rPr>
                <w:sz w:val="19"/>
              </w:rPr>
            </w:r>
          </w:p>
        </w:tc>
      </w:tr>
      <w:tr>
        <w:tc>
          <w:tcPr>
            <w:tcW w:type="dxa" w:w="2880"/>
          </w:tcPr>
          <w:p>
            <w:r>
              <w:rPr>
                <w:sz w:val="19"/>
              </w:rPr>
            </w:r>
            <w:r>
              <w:rPr>
                <w:sz w:val="19"/>
              </w:rPr>
              <w:t>Ejecución</w:t>
            </w:r>
          </w:p>
        </w:tc>
        <w:tc>
          <w:tcPr>
            <w:tcW w:type="dxa" w:w="2880"/>
          </w:tcPr>
          <w:p>
            <w:r>
              <w:rPr>
                <w:sz w:val="19"/>
              </w:rPr>
            </w:r>
            <w:r>
              <w:rPr>
                <w:b/>
                <w:sz w:val="19"/>
              </w:rPr>
              <w:t>dic 2026 – ago 2027</w:t>
            </w:r>
            <w:r>
              <w:rPr>
                <w:sz w:val="19"/>
              </w:rPr>
              <w:t xml:space="preserve"> (9 meses)</w:t>
            </w:r>
          </w:p>
        </w:tc>
        <w:tc>
          <w:tcPr>
            <w:tcW w:type="dxa" w:w="2880"/>
          </w:tcPr>
          <w:p>
            <w:r>
              <w:rPr>
                <w:sz w:val="19"/>
              </w:rPr>
            </w:r>
          </w:p>
        </w:tc>
      </w:tr>
      <w:tr>
        <w:tc>
          <w:tcPr>
            <w:tcW w:type="dxa" w:w="2880"/>
          </w:tcPr>
          <w:p>
            <w:r>
              <w:rPr>
                <w:sz w:val="19"/>
              </w:rPr>
            </w:r>
            <w:r>
              <w:rPr>
                <w:sz w:val="19"/>
              </w:rPr>
              <w:t>Monto máximo</w:t>
            </w:r>
          </w:p>
        </w:tc>
        <w:tc>
          <w:tcPr>
            <w:tcW w:type="dxa" w:w="2880"/>
          </w:tcPr>
          <w:p>
            <w:r>
              <w:rPr>
                <w:sz w:val="19"/>
              </w:rPr>
            </w:r>
            <w:r>
              <w:rPr>
                <w:b/>
                <w:sz w:val="19"/>
              </w:rPr>
              <w:t>$6.000.000</w:t>
            </w:r>
          </w:p>
        </w:tc>
        <w:tc>
          <w:tcPr>
            <w:tcW w:type="dxa" w:w="2880"/>
          </w:tcPr>
          <w:p>
            <w:r>
              <w:rPr>
                <w:sz w:val="19"/>
              </w:rPr>
            </w:r>
            <w:r>
              <w:rPr>
                <w:sz w:val="19"/>
              </w:rPr>
              <w:t>50% a la firma, resto según carta Gantt</w:t>
            </w:r>
          </w:p>
        </w:tc>
      </w:tr>
    </w:tbl>
    <w:p/>
    <w:p>
      <w:pPr>
        <w:spacing w:after="120"/>
      </w:pPr>
      <w:r>
        <w:rPr>
          <w:b/>
        </w:rPr>
        <w:t>Dos noticias buenas de las bases:</w:t>
      </w:r>
    </w:p>
    <w:p>
      <w:pPr>
        <w:pStyle w:val="ListNumber"/>
      </w:pPr>
      <w:r>
        <w:rPr>
          <w:b/>
        </w:rPr>
        <w:t>Pueden postular personas naturales</w:t>
      </w:r>
      <w:r>
        <w:t xml:space="preserve"> mayores de 21 años. Cae la barrera de "personalidad jurídica con 2 años de antigüedad" que teníamos anotada como obstáculo para FPA y FNDR. </w:t>
      </w:r>
      <w:r>
        <w:rPr>
          <w:b/>
        </w:rPr>
        <w:t>No necesitas junta de vecinos ni ONG para postular acá.</w:t>
      </w:r>
    </w:p>
    <w:p>
      <w:pPr>
        <w:pStyle w:val="ListNumber"/>
      </w:pPr>
      <w:r>
        <w:t xml:space="preserve">Las bases </w:t>
      </w:r>
      <w:r>
        <w:rPr>
          <w:b/>
        </w:rPr>
        <w:t>sugieren postular en alianza con una institución</w:t>
      </w:r>
      <w:r>
        <w:t>, y las FAQ confirman que las universidades pueden postular. La UFRO como aliada suma, no resta.</w:t>
      </w:r>
    </w:p>
    <w:p>
      <w:pPr>
        <w:spacing w:before="40" w:after="120"/>
        <w:pBdr>
          <w:bottom w:val="single" w:sz="6" w:color="BBBBBB"/>
        </w:pBdr>
      </w:pPr>
    </w:p>
    <w:p>
      <w:pPr>
        <w:pStyle w:val="Heading2"/>
      </w:pPr>
      <w:r>
        <w:rPr>
          <w:color w:val="1B4D3E"/>
        </w:rPr>
        <w:t>1. Veredicto de pertinencia: sí, pero no como está planteado</w:t>
      </w:r>
    </w:p>
    <w:p>
      <w:pPr>
        <w:spacing w:after="120"/>
      </w:pPr>
      <w:r>
        <w:rPr>
          <w:b/>
        </w:rPr>
        <w:t>Respuesta corta:</w:t>
      </w:r>
      <w:r>
        <w:t xml:space="preserve"> el proyecto </w:t>
      </w:r>
      <w:r>
        <w:rPr>
          <w:b/>
        </w:rPr>
        <w:t>puede</w:t>
      </w:r>
      <w:r>
        <w:t xml:space="preserve"> ser pertinente al Fondo FMA, pero </w:t>
      </w:r>
      <w:r>
        <w:rPr>
          <w:b/>
        </w:rPr>
        <w:t>la versión actual del Observatorio no lo es</w:t>
      </w:r>
      <w:r>
        <w:t>, y la versión que describes en tu mensaje tampoco lo es del todo. Hay que hacer un giro conceptual real, no cosmético.</w:t>
      </w:r>
    </w:p>
    <w:p>
      <w:pPr>
        <w:pStyle w:val="Heading3"/>
      </w:pPr>
      <w:r>
        <w:rPr>
          <w:color w:val="1B4D3E"/>
        </w:rPr>
        <w:t>1.1 El problema de fondo</w:t>
      </w:r>
    </w:p>
    <w:p>
      <w:pPr>
        <w:spacing w:after="120"/>
      </w:pPr>
      <w:r>
        <w:t xml:space="preserve">FMA es un fondo </w:t>
      </w:r>
      <w:r>
        <w:rPr>
          <w:b/>
        </w:rPr>
        <w:t>de conservación de la biodiversidad</w:t>
      </w:r>
      <w:r>
        <w:t xml:space="preserve">, de una fundación cuya identidad declarada es </w:t>
      </w:r>
      <w:r>
        <w:rPr>
          <w:b/>
        </w:rPr>
        <w:t>vincular arte y ciencia</w:t>
      </w:r>
      <w:r>
        <w:t>. Su otro programa insignia es Bosque Pehuén, en la Araucanía.</w:t>
      </w:r>
    </w:p>
    <w:p>
      <w:pPr>
        <w:spacing w:after="120"/>
      </w:pPr>
      <w:r>
        <w:t xml:space="preserve">El Observatorio, tal como existe hoy, se lee como: </w:t>
      </w:r>
      <w:r>
        <w:rPr>
          <w:i/>
        </w:rPr>
        <w:t>plataforma tecnológica de monitoreo satelital para fiscalizar la gestión municipal del arbolado urbano</w:t>
      </w:r>
      <w:r>
        <w:t xml:space="preserve">. Eso es </w:t>
      </w:r>
      <w:r>
        <w:rPr>
          <w:b/>
        </w:rPr>
        <w:t>gestión ambiental urbana</w:t>
      </w:r>
      <w:r>
        <w:t>, no conservación de biodiversidad. Un comité que lee 200 postulaciones lo va a clasificar en 30 segundos como "no es lo nuestro".</w:t>
      </w:r>
    </w:p>
    <w:p>
      <w:pPr>
        <w:spacing w:after="120"/>
      </w:pPr>
      <w:r>
        <w:t xml:space="preserve">Y la versión que propones —ciencia ciudadana en escuelas para hacer un catastro y calcular servicios ecosistémicos— mejora mucho, pero sigue teniendo el centro en el </w:t>
      </w:r>
      <w:r>
        <w:rPr>
          <w:b/>
        </w:rPr>
        <w:t>árbol como objeto</w:t>
      </w:r>
      <w:r>
        <w:t xml:space="preserve"> y en el </w:t>
      </w:r>
      <w:r>
        <w:rPr>
          <w:b/>
        </w:rPr>
        <w:t>carbono</w:t>
      </w:r>
      <w:r>
        <w:t xml:space="preserve"> como resultado. Carbono es agenda climática, no de biodiversidad, y —como establecimos en el informe anterior— con datos ciudadanos es </w:t>
      </w:r>
      <w:r>
        <w:rPr>
          <w:b/>
        </w:rPr>
        <w:t>estimación modelada con rangos amplios</w:t>
      </w:r>
      <w:r>
        <w:t>, no medición.</w:t>
      </w:r>
    </w:p>
    <w:p>
      <w:pPr>
        <w:pStyle w:val="Heading3"/>
      </w:pPr>
      <w:r>
        <w:rPr>
          <w:color w:val="1B4D3E"/>
        </w:rPr>
        <w:t>1.2 El giro que propongo</w:t>
      </w:r>
    </w:p>
    <w:p>
      <w:pPr>
        <w:ind w:left="432"/>
      </w:pPr>
      <w:r>
        <w:rPr>
          <w:b/>
          <w:i/>
          <w:color w:val="444444"/>
        </w:rPr>
        <w:t>De "medir los árboles de Temuco" a "medir la vida que los árboles de Temuco sostienen".</w:t>
      </w:r>
    </w:p>
    <w:p>
      <w:pPr>
        <w:spacing w:after="120"/>
      </w:pPr>
      <w:r>
        <w:t xml:space="preserve">El árbol deja de ser el objeto de estudio y pasa a ser el </w:t>
      </w:r>
      <w:r>
        <w:rPr>
          <w:b/>
        </w:rPr>
        <w:t>hábitat</w:t>
      </w:r>
      <w:r>
        <w:t xml:space="preserve"> y la </w:t>
      </w:r>
      <w:r>
        <w:rPr>
          <w:b/>
        </w:rPr>
        <w:t>unidad de muestreo</w:t>
      </w:r>
      <w:r>
        <w:t xml:space="preserve">. Lo que se conserva no es el árbol como mobiliario urbano: es la </w:t>
      </w:r>
      <w:r>
        <w:rPr>
          <w:b/>
        </w:rPr>
        <w:t>red ecológica urbana</w:t>
      </w:r>
      <w:r>
        <w:t xml:space="preserve"> que depende de él —aves, insectos, líquenes, hongos, epífitas— y que desaparece cuando cae un ejemplar maduro.</w:t>
      </w:r>
    </w:p>
    <w:p>
      <w:pPr>
        <w:spacing w:after="120"/>
      </w:pPr>
      <w:r>
        <w:t>Ese giro hace tres cosas a la vez:</w:t>
      </w:r>
    </w:p>
    <w:p>
      <w:pPr>
        <w:pStyle w:val="ListBullet"/>
      </w:pPr>
      <w:r>
        <w:t xml:space="preserve">Convierte el proyecto en </w:t>
      </w:r>
      <w:r>
        <w:rPr>
          <w:b/>
        </w:rPr>
        <w:t>conservación de biodiversidad</w:t>
      </w:r>
      <w:r>
        <w:t xml:space="preserve"> (requisito duro del fondo).</w:t>
      </w:r>
    </w:p>
    <w:p>
      <w:pPr>
        <w:pStyle w:val="ListBullet"/>
      </w:pPr>
      <w:r>
        <w:t xml:space="preserve">Le da una </w:t>
      </w:r>
      <w:r>
        <w:rPr>
          <w:b/>
        </w:rPr>
        <w:t>pregunta científica real</w:t>
      </w:r>
      <w:r>
        <w:t xml:space="preserve"> en vez de una tarea de inventario.</w:t>
      </w:r>
    </w:p>
    <w:p>
      <w:pPr>
        <w:pStyle w:val="ListBullet"/>
      </w:pPr>
      <w:r>
        <w:t xml:space="preserve">Hace que las escuelas dejen de ser "beneficiarias de talleres" y pasen a ser </w:t>
      </w:r>
      <w:r>
        <w:rPr>
          <w:b/>
        </w:rPr>
        <w:t>nodos de muestreo</w:t>
      </w:r>
      <w:r>
        <w:t xml:space="preserve"> de un diseño experimental.</w:t>
      </w:r>
    </w:p>
    <w:p>
      <w:pPr>
        <w:spacing w:before="40" w:after="120"/>
        <w:pBdr>
          <w:bottom w:val="single" w:sz="6" w:color="BBBBBB"/>
        </w:pBdr>
      </w:pPr>
    </w:p>
    <w:p>
      <w:pPr>
        <w:pStyle w:val="Heading2"/>
      </w:pPr>
      <w:r>
        <w:rPr>
          <w:color w:val="1B4D3E"/>
        </w:rPr>
        <w:t>2. Encaje con las temáticas admisibles (solo son admisibles proyectos que se relacionen con al menos una)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w:t>
            </w:r>
          </w:p>
        </w:tc>
        <w:tc>
          <w:tcPr>
            <w:tcW w:type="dxa" w:w="2880"/>
            <w:shd w:val="clear" w:fill="E8F0E4"/>
          </w:tcPr>
          <w:p>
            <w:r>
              <w:rPr>
                <w:b/>
                <w:sz w:val="19"/>
              </w:rPr>
            </w:r>
            <w:r>
              <w:rPr>
                <w:b/>
                <w:sz w:val="19"/>
              </w:rPr>
              <w:t>Temática de las bases</w:t>
            </w:r>
          </w:p>
        </w:tc>
        <w:tc>
          <w:tcPr>
            <w:tcW w:type="dxa" w:w="2880"/>
            <w:shd w:val="clear" w:fill="E8F0E4"/>
          </w:tcPr>
          <w:p>
            <w:r>
              <w:rPr>
                <w:b/>
                <w:sz w:val="19"/>
              </w:rPr>
            </w:r>
            <w:r>
              <w:rPr>
                <w:b/>
                <w:sz w:val="19"/>
              </w:rPr>
              <w:t>¿Encaja?</w:t>
            </w:r>
          </w:p>
        </w:tc>
      </w:tr>
      <w:tr>
        <w:tc>
          <w:tcPr>
            <w:tcW w:type="dxa" w:w="2880"/>
          </w:tcPr>
          <w:p>
            <w:r>
              <w:rPr>
                <w:sz w:val="19"/>
              </w:rPr>
            </w:r>
            <w:r>
              <w:rPr>
                <w:sz w:val="19"/>
              </w:rPr>
              <w:t>1</w:t>
            </w:r>
          </w:p>
        </w:tc>
        <w:tc>
          <w:tcPr>
            <w:tcW w:type="dxa" w:w="2880"/>
          </w:tcPr>
          <w:p>
            <w:r>
              <w:rPr>
                <w:sz w:val="19"/>
              </w:rPr>
            </w:r>
            <w:r>
              <w:rPr>
                <w:b/>
                <w:sz w:val="19"/>
              </w:rPr>
              <w:t>Monitoreo de territorios, biodiversidad y/o ecosistemas subrepresentados</w:t>
            </w:r>
          </w:p>
        </w:tc>
        <w:tc>
          <w:tcPr>
            <w:tcW w:type="dxa" w:w="2880"/>
          </w:tcPr>
          <w:p>
            <w:r>
              <w:rPr>
                <w:sz w:val="19"/>
              </w:rPr>
            </w:r>
            <w:r>
              <w:rPr>
                <w:sz w:val="19"/>
              </w:rPr>
              <w:t xml:space="preserve">✅ </w:t>
            </w:r>
            <w:r>
              <w:rPr>
                <w:b/>
                <w:sz w:val="19"/>
              </w:rPr>
              <w:t>Vía principal.</w:t>
            </w:r>
            <w:r>
              <w:rPr>
                <w:sz w:val="19"/>
              </w:rPr>
              <w:t xml:space="preserve"> El socioecosistema urbano está genuinamente subrepresentado en el financiamiento de conservación en Chile: la plata va a parques nacionales y ecosistemas prístinos. La biodiversidad que vive en una ciudad intermedia del sur casi no se monitorea</w:t>
            </w:r>
          </w:p>
        </w:tc>
      </w:tr>
      <w:tr>
        <w:tc>
          <w:tcPr>
            <w:tcW w:type="dxa" w:w="2880"/>
          </w:tcPr>
          <w:p>
            <w:r>
              <w:rPr>
                <w:sz w:val="19"/>
              </w:rPr>
            </w:r>
            <w:r>
              <w:rPr>
                <w:sz w:val="19"/>
              </w:rPr>
              <w:t>2</w:t>
            </w:r>
          </w:p>
        </w:tc>
        <w:tc>
          <w:tcPr>
            <w:tcW w:type="dxa" w:w="2880"/>
          </w:tcPr>
          <w:p>
            <w:r>
              <w:rPr>
                <w:sz w:val="19"/>
              </w:rPr>
            </w:r>
            <w:r>
              <w:rPr>
                <w:b/>
                <w:sz w:val="19"/>
              </w:rPr>
              <w:t>Documentación de conocimientos en riesgo de perderse · brecha de traspaso a generaciones jóvenes</w:t>
            </w:r>
          </w:p>
        </w:tc>
        <w:tc>
          <w:tcPr>
            <w:tcW w:type="dxa" w:w="2880"/>
          </w:tcPr>
          <w:p>
            <w:r>
              <w:rPr>
                <w:sz w:val="19"/>
              </w:rPr>
            </w:r>
            <w:r>
              <w:rPr>
                <w:sz w:val="19"/>
              </w:rPr>
              <w:t xml:space="preserve">✅ </w:t>
            </w:r>
            <w:r>
              <w:rPr>
                <w:b/>
                <w:sz w:val="19"/>
              </w:rPr>
              <w:t>Vía secundaria fuerte.</w:t>
            </w:r>
            <w:r>
              <w:rPr>
                <w:sz w:val="19"/>
              </w:rPr>
              <w:t xml:space="preserve"> Es literalmente el componente escolar, y habilita el eje mapuche (nombres, usos y relación con los árboles)</w:t>
            </w:r>
          </w:p>
        </w:tc>
      </w:tr>
      <w:tr>
        <w:tc>
          <w:tcPr>
            <w:tcW w:type="dxa" w:w="2880"/>
          </w:tcPr>
          <w:p>
            <w:r>
              <w:rPr>
                <w:sz w:val="19"/>
              </w:rPr>
            </w:r>
            <w:r>
              <w:rPr>
                <w:sz w:val="19"/>
              </w:rPr>
              <w:t>3</w:t>
            </w:r>
          </w:p>
        </w:tc>
        <w:tc>
          <w:tcPr>
            <w:tcW w:type="dxa" w:w="2880"/>
          </w:tcPr>
          <w:p>
            <w:r>
              <w:rPr>
                <w:sz w:val="19"/>
              </w:rPr>
            </w:r>
            <w:r>
              <w:rPr>
                <w:sz w:val="19"/>
              </w:rPr>
              <w:t>Ecosistemas de montaña</w:t>
            </w:r>
          </w:p>
        </w:tc>
        <w:tc>
          <w:tcPr>
            <w:tcW w:type="dxa" w:w="2880"/>
          </w:tcPr>
          <w:p>
            <w:r>
              <w:rPr>
                <w:sz w:val="19"/>
              </w:rPr>
            </w:r>
            <w:r>
              <w:rPr>
                <w:sz w:val="19"/>
              </w:rPr>
              <w:t>❌</w:t>
            </w:r>
          </w:p>
        </w:tc>
      </w:tr>
      <w:tr>
        <w:tc>
          <w:tcPr>
            <w:tcW w:type="dxa" w:w="2880"/>
          </w:tcPr>
          <w:p>
            <w:r>
              <w:rPr>
                <w:sz w:val="19"/>
              </w:rPr>
            </w:r>
            <w:r>
              <w:rPr>
                <w:sz w:val="19"/>
              </w:rPr>
              <w:t>4</w:t>
            </w:r>
          </w:p>
        </w:tc>
        <w:tc>
          <w:tcPr>
            <w:tcW w:type="dxa" w:w="2880"/>
          </w:tcPr>
          <w:p>
            <w:r>
              <w:rPr>
                <w:sz w:val="19"/>
              </w:rPr>
            </w:r>
            <w:r>
              <w:rPr>
                <w:sz w:val="19"/>
              </w:rPr>
              <w:t>Agua y cuencas cordillera–mar, zonas áridas</w:t>
            </w:r>
          </w:p>
        </w:tc>
        <w:tc>
          <w:tcPr>
            <w:tcW w:type="dxa" w:w="2880"/>
          </w:tcPr>
          <w:p>
            <w:r>
              <w:rPr>
                <w:sz w:val="19"/>
              </w:rPr>
            </w:r>
            <w:r>
              <w:rPr>
                <w:sz w:val="19"/>
              </w:rPr>
              <w:t>❌</w:t>
            </w:r>
          </w:p>
        </w:tc>
      </w:tr>
      <w:tr>
        <w:tc>
          <w:tcPr>
            <w:tcW w:type="dxa" w:w="2880"/>
          </w:tcPr>
          <w:p>
            <w:r>
              <w:rPr>
                <w:sz w:val="19"/>
              </w:rPr>
            </w:r>
            <w:r>
              <w:rPr>
                <w:sz w:val="19"/>
              </w:rPr>
              <w:t>5</w:t>
            </w:r>
          </w:p>
        </w:tc>
        <w:tc>
          <w:tcPr>
            <w:tcW w:type="dxa" w:w="2880"/>
          </w:tcPr>
          <w:p>
            <w:r>
              <w:rPr>
                <w:sz w:val="19"/>
              </w:rPr>
            </w:r>
            <w:r>
              <w:rPr>
                <w:sz w:val="19"/>
              </w:rPr>
              <w:t xml:space="preserve">Socioecosistemas de </w:t>
            </w:r>
            <w:r>
              <w:rPr>
                <w:b/>
                <w:sz w:val="19"/>
              </w:rPr>
              <w:t>Chile mediterráneo</w:t>
            </w:r>
          </w:p>
        </w:tc>
        <w:tc>
          <w:tcPr>
            <w:tcW w:type="dxa" w:w="2880"/>
          </w:tcPr>
          <w:p>
            <w:r>
              <w:rPr>
                <w:sz w:val="19"/>
              </w:rPr>
            </w:r>
            <w:r>
              <w:rPr>
                <w:sz w:val="19"/>
              </w:rPr>
              <w:t xml:space="preserve">❌ </w:t>
            </w:r>
            <w:r>
              <w:rPr>
                <w:b/>
                <w:sz w:val="19"/>
              </w:rPr>
              <w:t>Excluido explícitamente por geografía</w:t>
            </w:r>
            <w:r>
              <w:rPr>
                <w:sz w:val="19"/>
              </w:rPr>
              <w:t xml:space="preserve">: las bases definen la zona mediterránea como el área </w:t>
            </w:r>
            <w:r>
              <w:rPr>
                <w:b/>
                <w:sz w:val="19"/>
              </w:rPr>
              <w:t>entre el río Limarí y el Bío-Bío</w:t>
            </w:r>
            <w:r>
              <w:rPr>
                <w:sz w:val="19"/>
              </w:rPr>
              <w:t>. Temuco está al sur del Bío-Bío. No postular por acá</w:t>
            </w:r>
          </w:p>
        </w:tc>
      </w:tr>
      <w:tr>
        <w:tc>
          <w:tcPr>
            <w:tcW w:type="dxa" w:w="2880"/>
          </w:tcPr>
          <w:p>
            <w:r>
              <w:rPr>
                <w:sz w:val="19"/>
              </w:rPr>
            </w:r>
            <w:r>
              <w:rPr>
                <w:sz w:val="19"/>
              </w:rPr>
              <w:t>6</w:t>
            </w:r>
          </w:p>
        </w:tc>
        <w:tc>
          <w:tcPr>
            <w:tcW w:type="dxa" w:w="2880"/>
          </w:tcPr>
          <w:p>
            <w:r>
              <w:rPr>
                <w:sz w:val="19"/>
              </w:rPr>
            </w:r>
            <w:r>
              <w:rPr>
                <w:sz w:val="19"/>
              </w:rPr>
              <w:t>Colecciones biológicas o geológicas</w:t>
            </w:r>
          </w:p>
        </w:tc>
        <w:tc>
          <w:tcPr>
            <w:tcW w:type="dxa" w:w="2880"/>
          </w:tcPr>
          <w:p>
            <w:r>
              <w:rPr>
                <w:sz w:val="19"/>
              </w:rPr>
            </w:r>
            <w:r>
              <w:rPr>
                <w:sz w:val="19"/>
              </w:rPr>
              <w:t xml:space="preserve">✅ </w:t>
            </w:r>
            <w:r>
              <w:rPr>
                <w:b/>
                <w:sz w:val="19"/>
              </w:rPr>
              <w:t>Vía declarable</w:t>
            </w:r>
            <w:r>
              <w:rPr>
                <w:sz w:val="19"/>
              </w:rPr>
              <w:t xml:space="preserve"> (confirmado 12-08-2026). </w:t>
            </w:r>
            <w:r>
              <w:rPr>
                <w:b/>
                <w:sz w:val="19"/>
              </w:rPr>
              <w:t>Q21</w:t>
            </w:r>
            <w:r>
              <w:rPr>
                <w:sz w:val="19"/>
              </w:rPr>
              <w:t xml:space="preserve"> de la Jornada precisa que la temática cubre </w:t>
            </w:r>
            <w:r>
              <w:rPr>
                <w:i/>
                <w:sz w:val="19"/>
              </w:rPr>
              <w:t>"creación, mantención, sistematización, rescate y capacitación para su gestión"</w:t>
            </w:r>
            <w:r>
              <w:rPr>
                <w:sz w:val="19"/>
              </w:rPr>
              <w:t xml:space="preserve"> — el </w:t>
            </w:r>
            <w:r>
              <w:rPr>
                <w:b/>
                <w:sz w:val="19"/>
              </w:rPr>
              <w:t>herbario escolar ilustrado</w:t>
            </w:r>
            <w:r>
              <w:rPr>
                <w:sz w:val="19"/>
              </w:rPr>
              <w:t xml:space="preserve"> y una </w:t>
            </w:r>
            <w:r>
              <w:rPr>
                <w:b/>
                <w:sz w:val="19"/>
              </w:rPr>
              <w:t>colección de referencia de líquenes y cortezas</w:t>
            </w:r>
            <w:r>
              <w:rPr>
                <w:sz w:val="19"/>
              </w:rPr>
              <w:t xml:space="preserve"> calzan en "creación" y "capacitación para su gestión"</w:t>
            </w:r>
          </w:p>
        </w:tc>
      </w:tr>
      <w:tr>
        <w:tc>
          <w:tcPr>
            <w:tcW w:type="dxa" w:w="2880"/>
          </w:tcPr>
          <w:p>
            <w:r>
              <w:rPr>
                <w:sz w:val="19"/>
              </w:rPr>
            </w:r>
            <w:r>
              <w:rPr>
                <w:sz w:val="19"/>
              </w:rPr>
              <w:t>7</w:t>
            </w:r>
          </w:p>
        </w:tc>
        <w:tc>
          <w:tcPr>
            <w:tcW w:type="dxa" w:w="2880"/>
          </w:tcPr>
          <w:p>
            <w:r>
              <w:rPr>
                <w:sz w:val="19"/>
              </w:rPr>
            </w:r>
            <w:r>
              <w:rPr>
                <w:sz w:val="19"/>
              </w:rPr>
              <w:t>Áreas protegidas / autogestión comunitaria</w:t>
            </w:r>
          </w:p>
        </w:tc>
        <w:tc>
          <w:tcPr>
            <w:tcW w:type="dxa" w:w="2880"/>
          </w:tcPr>
          <w:p>
            <w:r>
              <w:rPr>
                <w:sz w:val="19"/>
              </w:rPr>
            </w:r>
            <w:r>
              <w:rPr>
                <w:sz w:val="19"/>
              </w:rPr>
              <w:t xml:space="preserve">🟡 Solo si se usa la figura de </w:t>
            </w:r>
            <w:r>
              <w:rPr>
                <w:b/>
                <w:sz w:val="19"/>
              </w:rPr>
              <w:t>"espacios de cuidado"</w:t>
            </w:r>
            <w:r>
              <w:rPr>
                <w:sz w:val="19"/>
              </w:rPr>
              <w:t xml:space="preserve">, que las bases definen ampliamente como sitios de alto valor socioecológico gestionados por resguardo comunitario </w:t>
            </w:r>
            <w:r>
              <w:rPr>
                <w:b/>
                <w:sz w:val="19"/>
              </w:rPr>
              <w:t>aunque no tengan protección oficial</w:t>
            </w:r>
            <w:r>
              <w:rPr>
                <w:sz w:val="19"/>
              </w:rPr>
              <w:t>. Un corredor arbolado adoptado por escuelas podría calzar. Es un argumento a usar con cuidado, no a forzar</w:t>
            </w:r>
          </w:p>
        </w:tc>
      </w:tr>
    </w:tbl>
    <w:p/>
    <w:p>
      <w:pPr>
        <w:spacing w:after="120"/>
      </w:pPr>
      <w:r>
        <w:rPr>
          <w:b/>
        </w:rPr>
        <w:t>Recomendación: postular por la Temática 1, declarando explícitamente el vínculo con la 2.</w:t>
      </w:r>
    </w:p>
    <w:p>
      <w:pPr>
        <w:pStyle w:val="Heading3"/>
      </w:pPr>
      <w:r>
        <w:rPr>
          <w:color w:val="1B4D3E"/>
        </w:rPr>
        <w:t>2.1 Características que las bases "valoran adicionalmente" — cuáles podemos cumplir de verdad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Característica valorada</w:t>
            </w:r>
          </w:p>
        </w:tc>
        <w:tc>
          <w:tcPr>
            <w:tcW w:type="dxa" w:w="2880"/>
            <w:shd w:val="clear" w:fill="E8F0E4"/>
          </w:tcPr>
          <w:p>
            <w:r>
              <w:rPr>
                <w:b/>
                <w:sz w:val="19"/>
              </w:rPr>
            </w:r>
            <w:r>
              <w:rPr>
                <w:b/>
                <w:sz w:val="19"/>
              </w:rPr>
              <w:t>¿La cumplimos?</w:t>
            </w:r>
          </w:p>
        </w:tc>
        <w:tc>
          <w:tcPr>
            <w:tcW w:type="dxa" w:w="2880"/>
            <w:shd w:val="clear" w:fill="E8F0E4"/>
          </w:tcPr>
          <w:p>
            <w:r>
              <w:rPr>
                <w:b/>
                <w:sz w:val="19"/>
              </w:rPr>
            </w:r>
            <w:r>
              <w:rPr>
                <w:b/>
                <w:sz w:val="19"/>
              </w:rPr>
              <w:t>Cómo</w:t>
            </w:r>
          </w:p>
        </w:tc>
      </w:tr>
      <w:tr>
        <w:tc>
          <w:tcPr>
            <w:tcW w:type="dxa" w:w="2880"/>
          </w:tcPr>
          <w:p>
            <w:r>
              <w:rPr>
                <w:sz w:val="19"/>
              </w:rPr>
            </w:r>
            <w:r>
              <w:rPr>
                <w:sz w:val="19"/>
              </w:rPr>
              <w:t>Prácticas transdisciplinarias (artes/humanidades/ciencias)</w:t>
            </w:r>
          </w:p>
        </w:tc>
        <w:tc>
          <w:tcPr>
            <w:tcW w:type="dxa" w:w="2880"/>
          </w:tcPr>
          <w:p>
            <w:r>
              <w:rPr>
                <w:sz w:val="19"/>
              </w:rPr>
            </w:r>
            <w:r>
              <w:rPr>
                <w:sz w:val="19"/>
              </w:rPr>
              <w:t xml:space="preserve">🟡 </w:t>
            </w:r>
            <w:r>
              <w:rPr>
                <w:b/>
                <w:sz w:val="19"/>
              </w:rPr>
              <w:t>Hoy no.</w:t>
            </w:r>
            <w:r>
              <w:rPr>
                <w:sz w:val="19"/>
              </w:rPr>
              <w:t xml:space="preserve"> Es nuestra mayor debilidad de encaje</w:t>
            </w:r>
          </w:p>
        </w:tc>
        <w:tc>
          <w:tcPr>
            <w:tcW w:type="dxa" w:w="2880"/>
          </w:tcPr>
          <w:p>
            <w:r>
              <w:rPr>
                <w:sz w:val="19"/>
              </w:rPr>
            </w:r>
            <w:r>
              <w:rPr>
                <w:sz w:val="19"/>
              </w:rPr>
              <w:t>Ver §7: hay que incorporar un componente artístico real, no decorativo</w:t>
            </w:r>
          </w:p>
        </w:tc>
      </w:tr>
      <w:tr>
        <w:tc>
          <w:tcPr>
            <w:tcW w:type="dxa" w:w="2880"/>
          </w:tcPr>
          <w:p>
            <w:r>
              <w:rPr>
                <w:sz w:val="19"/>
              </w:rPr>
            </w:r>
            <w:r>
              <w:rPr>
                <w:sz w:val="19"/>
              </w:rPr>
              <w:t>Prácticas bioculturales</w:t>
            </w:r>
          </w:p>
        </w:tc>
        <w:tc>
          <w:tcPr>
            <w:tcW w:type="dxa" w:w="2880"/>
          </w:tcPr>
          <w:p>
            <w:r>
              <w:rPr>
                <w:sz w:val="19"/>
              </w:rPr>
            </w:r>
            <w:r>
              <w:rPr>
                <w:sz w:val="19"/>
              </w:rPr>
              <w:t>✅ Puede</w:t>
            </w:r>
          </w:p>
        </w:tc>
        <w:tc>
          <w:tcPr>
            <w:tcW w:type="dxa" w:w="2880"/>
          </w:tcPr>
          <w:p>
            <w:r>
              <w:rPr>
                <w:sz w:val="19"/>
              </w:rPr>
            </w:r>
            <w:r>
              <w:rPr>
                <w:sz w:val="19"/>
              </w:rPr>
              <w:t>Nombres y usos mapuche de los árboles; relación cultural con especies nativas</w:t>
            </w:r>
          </w:p>
        </w:tc>
      </w:tr>
      <w:tr>
        <w:tc>
          <w:tcPr>
            <w:tcW w:type="dxa" w:w="2880"/>
          </w:tcPr>
          <w:p>
            <w:r>
              <w:rPr>
                <w:sz w:val="19"/>
              </w:rPr>
            </w:r>
            <w:r>
              <w:rPr>
                <w:sz w:val="19"/>
              </w:rPr>
              <w:t xml:space="preserve">Procesos participativos con </w:t>
            </w:r>
            <w:r>
              <w:rPr>
                <w:b/>
                <w:sz w:val="19"/>
              </w:rPr>
              <w:t>co-diseño, co-ejecución e instalación de capacidades para autonomía a largo plazo</w:t>
            </w:r>
          </w:p>
        </w:tc>
        <w:tc>
          <w:tcPr>
            <w:tcW w:type="dxa" w:w="2880"/>
          </w:tcPr>
          <w:p>
            <w:r>
              <w:rPr>
                <w:sz w:val="19"/>
              </w:rPr>
            </w:r>
            <w:r>
              <w:rPr>
                <w:sz w:val="19"/>
              </w:rPr>
              <w:t xml:space="preserve">✅ </w:t>
            </w:r>
            <w:r>
              <w:rPr>
                <w:b/>
                <w:sz w:val="19"/>
              </w:rPr>
              <w:t>Es el corazón de la propuesta</w:t>
            </w:r>
          </w:p>
        </w:tc>
        <w:tc>
          <w:tcPr>
            <w:tcW w:type="dxa" w:w="2880"/>
          </w:tcPr>
          <w:p>
            <w:r>
              <w:rPr>
                <w:sz w:val="19"/>
              </w:rPr>
            </w:r>
            <w:r>
              <w:rPr>
                <w:sz w:val="19"/>
              </w:rPr>
              <w:t>Protocolo que la escuela pueda seguir usando sin nosotros</w:t>
            </w:r>
          </w:p>
        </w:tc>
      </w:tr>
      <w:tr>
        <w:tc>
          <w:tcPr>
            <w:tcW w:type="dxa" w:w="2880"/>
          </w:tcPr>
          <w:p>
            <w:r>
              <w:rPr>
                <w:sz w:val="19"/>
              </w:rPr>
            </w:r>
            <w:r>
              <w:rPr>
                <w:sz w:val="19"/>
              </w:rPr>
              <w:t>Saberes ancestrales</w:t>
            </w:r>
          </w:p>
        </w:tc>
        <w:tc>
          <w:tcPr>
            <w:tcW w:type="dxa" w:w="2880"/>
          </w:tcPr>
          <w:p>
            <w:r>
              <w:rPr>
                <w:sz w:val="19"/>
              </w:rPr>
            </w:r>
            <w:r>
              <w:rPr>
                <w:sz w:val="19"/>
              </w:rPr>
              <w:t>✅ Puede</w:t>
            </w:r>
          </w:p>
        </w:tc>
        <w:tc>
          <w:tcPr>
            <w:tcW w:type="dxa" w:w="2880"/>
          </w:tcPr>
          <w:p>
            <w:r>
              <w:rPr>
                <w:sz w:val="19"/>
              </w:rPr>
            </w:r>
            <w:r>
              <w:rPr>
                <w:sz w:val="19"/>
              </w:rPr>
              <w:t>Temuco es capital de La Araucanía; trabajar esto en serio o no hacerlo</w:t>
            </w:r>
          </w:p>
        </w:tc>
      </w:tr>
      <w:tr>
        <w:tc>
          <w:tcPr>
            <w:tcW w:type="dxa" w:w="2880"/>
          </w:tcPr>
          <w:p>
            <w:r>
              <w:rPr>
                <w:sz w:val="19"/>
              </w:rPr>
            </w:r>
            <w:r>
              <w:rPr>
                <w:sz w:val="19"/>
              </w:rPr>
              <w:t>Vínculo con prácticas artísticas</w:t>
            </w:r>
          </w:p>
        </w:tc>
        <w:tc>
          <w:tcPr>
            <w:tcW w:type="dxa" w:w="2880"/>
          </w:tcPr>
          <w:p>
            <w:r>
              <w:rPr>
                <w:sz w:val="19"/>
              </w:rPr>
            </w:r>
            <w:r>
              <w:rPr>
                <w:sz w:val="19"/>
              </w:rPr>
              <w:t>🟡 A construir</w:t>
            </w:r>
          </w:p>
        </w:tc>
        <w:tc>
          <w:tcPr>
            <w:tcW w:type="dxa" w:w="2880"/>
          </w:tcPr>
          <w:p>
            <w:r>
              <w:rPr>
                <w:sz w:val="19"/>
              </w:rPr>
            </w:r>
            <w:r>
              <w:rPr>
                <w:sz w:val="19"/>
              </w:rPr>
              <w:t>§7</w:t>
            </w:r>
          </w:p>
        </w:tc>
      </w:tr>
      <w:tr>
        <w:tc>
          <w:tcPr>
            <w:tcW w:type="dxa" w:w="2880"/>
          </w:tcPr>
          <w:p>
            <w:r>
              <w:rPr>
                <w:sz w:val="19"/>
              </w:rPr>
            </w:r>
            <w:r>
              <w:rPr>
                <w:sz w:val="19"/>
              </w:rPr>
              <w:t>Instalar aprendizajes y curiosidad</w:t>
            </w:r>
          </w:p>
        </w:tc>
        <w:tc>
          <w:tcPr>
            <w:tcW w:type="dxa" w:w="2880"/>
          </w:tcPr>
          <w:p>
            <w:r>
              <w:rPr>
                <w:sz w:val="19"/>
              </w:rPr>
            </w:r>
            <w:r>
              <w:rPr>
                <w:sz w:val="19"/>
              </w:rPr>
              <w:t>✅ Natural</w:t>
            </w:r>
          </w:p>
        </w:tc>
        <w:tc>
          <w:tcPr>
            <w:tcW w:type="dxa" w:w="2880"/>
          </w:tcPr>
          <w:p>
            <w:r>
              <w:rPr>
                <w:sz w:val="19"/>
              </w:rPr>
            </w:r>
          </w:p>
        </w:tc>
      </w:tr>
      <w:tr>
        <w:tc>
          <w:tcPr>
            <w:tcW w:type="dxa" w:w="2880"/>
          </w:tcPr>
          <w:p>
            <w:r>
              <w:rPr>
                <w:sz w:val="19"/>
              </w:rPr>
            </w:r>
            <w:r>
              <w:rPr>
                <w:sz w:val="19"/>
              </w:rPr>
              <w:t xml:space="preserve">Vínculo con áreas protegidas o </w:t>
            </w:r>
            <w:r>
              <w:rPr>
                <w:b/>
                <w:sz w:val="19"/>
              </w:rPr>
              <w:t>"espacios de cuidado"</w:t>
            </w:r>
          </w:p>
        </w:tc>
        <w:tc>
          <w:tcPr>
            <w:tcW w:type="dxa" w:w="2880"/>
          </w:tcPr>
          <w:p>
            <w:r>
              <w:rPr>
                <w:sz w:val="19"/>
              </w:rPr>
            </w:r>
            <w:r>
              <w:rPr>
                <w:sz w:val="19"/>
              </w:rPr>
              <w:t>🟡</w:t>
            </w:r>
          </w:p>
        </w:tc>
        <w:tc>
          <w:tcPr>
            <w:tcW w:type="dxa" w:w="2880"/>
          </w:tcPr>
          <w:p>
            <w:r>
              <w:rPr>
                <w:sz w:val="19"/>
              </w:rPr>
            </w:r>
            <w:r>
              <w:rPr>
                <w:sz w:val="19"/>
              </w:rPr>
              <w:t>Corredor escolar adoptado</w:t>
            </w:r>
          </w:p>
        </w:tc>
      </w:tr>
      <w:tr>
        <w:tc>
          <w:tcPr>
            <w:tcW w:type="dxa" w:w="2880"/>
          </w:tcPr>
          <w:p>
            <w:r>
              <w:rPr>
                <w:sz w:val="19"/>
              </w:rPr>
            </w:r>
            <w:r>
              <w:rPr>
                <w:b/>
                <w:sz w:val="19"/>
              </w:rPr>
              <w:t>Especies en amenaza</w:t>
            </w:r>
            <w:r>
              <w:rPr>
                <w:sz w:val="19"/>
              </w:rPr>
              <w:t xml:space="preserve"> (UICN o Reglamento de Clasificación de Especies)</w:t>
            </w:r>
          </w:p>
        </w:tc>
        <w:tc>
          <w:tcPr>
            <w:tcW w:type="dxa" w:w="2880"/>
          </w:tcPr>
          <w:p>
            <w:r>
              <w:rPr>
                <w:sz w:val="19"/>
              </w:rPr>
            </w:r>
            <w:r>
              <w:rPr>
                <w:sz w:val="19"/>
              </w:rPr>
              <w:t xml:space="preserve">⚠️ </w:t>
            </w:r>
            <w:r>
              <w:rPr>
                <w:b/>
                <w:sz w:val="19"/>
              </w:rPr>
              <w:t>Cuidado</w:t>
            </w:r>
          </w:p>
        </w:tc>
        <w:tc>
          <w:tcPr>
            <w:tcW w:type="dxa" w:w="2880"/>
          </w:tcPr>
          <w:p>
            <w:r>
              <w:rPr>
                <w:sz w:val="19"/>
              </w:rPr>
            </w:r>
            <w:r>
              <w:rPr>
                <w:sz w:val="19"/>
              </w:rPr>
              <w:t xml:space="preserve">Si aparecen ejemplares de especies clasificadas (p. ej. araucaria ornamental en plazas), se puede mencionar — </w:t>
            </w:r>
            <w:r>
              <w:rPr>
                <w:b/>
                <w:sz w:val="19"/>
              </w:rPr>
              <w:t>pero es deshonesto presentar arbolado ornamental urbano como conservación de poblaciones silvestres</w:t>
            </w:r>
            <w:r>
              <w:rPr>
                <w:sz w:val="19"/>
              </w:rPr>
              <w:t>. Verificar antes de afirmar cualquier presencia</w:t>
            </w:r>
          </w:p>
        </w:tc>
      </w:tr>
    </w:tbl>
    <w:p/>
    <w:p>
      <w:pPr>
        <w:pStyle w:val="Heading3"/>
      </w:pPr>
      <w:r>
        <w:rPr>
          <w:color w:val="1B4D3E"/>
        </w:rPr>
        <w:t>2.2 Exclusiones de las bases que nos tocan directamente</w:t>
      </w:r>
    </w:p>
    <w:p>
      <w:pPr>
        <w:spacing w:after="120"/>
      </w:pPr>
      <w:r>
        <w:t xml:space="preserve">Las bases listan lo que el fondo </w:t>
      </w:r>
      <w:r>
        <w:rPr>
          <w:b/>
        </w:rPr>
        <w:t>NO</w:t>
      </w:r>
      <w:r>
        <w:t xml:space="preserve"> financia. Tres nos aplican:</w:t>
      </w:r>
    </w:p>
    <w:p>
      <w:pPr>
        <w:pStyle w:val="ListBullet"/>
      </w:pPr>
      <w:r>
        <w:t xml:space="preserve">❌ </w:t>
      </w:r>
      <w:r>
        <w:rPr>
          <w:b/>
        </w:rPr>
        <w:t>"Campañas comunicacionales o políticas."</w:t>
      </w:r>
      <w:r>
        <w:t xml:space="preserve"> → El generador de contenido para redes sociales que construimos </w:t>
      </w:r>
      <w:r>
        <w:rPr>
          <w:b/>
        </w:rPr>
        <w:t>queda fuera de la postulación</w:t>
      </w:r>
      <w:r>
        <w:t>. Puede existir en el proyecto, pero no puede aparecer como componente financiado ni como objetivo.</w:t>
      </w:r>
    </w:p>
    <w:p>
      <w:pPr>
        <w:pStyle w:val="ListBullet"/>
      </w:pPr>
      <w:r>
        <w:t xml:space="preserve">❌ </w:t>
      </w:r>
      <w:r>
        <w:rPr>
          <w:b/>
        </w:rPr>
        <w:t>"Edición e impresión de publicaciones."</w:t>
      </w:r>
      <w:r>
        <w:t xml:space="preserve"> → Las FAQ matizan: material educativo impreso </w:t>
      </w:r>
      <w:r>
        <w:rPr>
          <w:b/>
        </w:rPr>
        <w:t>sí</w:t>
      </w:r>
      <w:r>
        <w:t xml:space="preserve"> se puede financiar como apoyo complementario, siempre que </w:t>
      </w:r>
      <w:r>
        <w:rPr>
          <w:b/>
        </w:rPr>
        <w:t>no sea el ítem principal</w:t>
      </w:r>
      <w:r>
        <w:t xml:space="preserve"> del presupuesto.</w:t>
      </w:r>
    </w:p>
    <w:p>
      <w:pPr>
        <w:pStyle w:val="ListBullet"/>
      </w:pPr>
      <w:r>
        <w:t xml:space="preserve">❌ </w:t>
      </w:r>
      <w:r>
        <w:rPr>
          <w:b/>
        </w:rPr>
        <w:t>"Proyectos en etapa de ideas, pues el requisito es que ya cuenten con una validación."</w:t>
      </w:r>
      <w:r>
        <w:t xml:space="preserve"> → Acá estamos bien, y es nuestra mayor fortaleza. Ver §9.</w:t>
      </w:r>
    </w:p>
    <w:p>
      <w:pPr>
        <w:spacing w:before="40" w:after="120"/>
        <w:pBdr>
          <w:bottom w:val="single" w:sz="6" w:color="BBBBBB"/>
        </w:pBdr>
      </w:pPr>
    </w:p>
    <w:p>
      <w:pPr>
        <w:pStyle w:val="Heading2"/>
      </w:pPr>
      <w:r>
        <w:rPr>
          <w:color w:val="1B4D3E"/>
        </w:rPr>
        <w:t>3. La pregunta científica</w:t>
      </w:r>
    </w:p>
    <w:p>
      <w:pPr>
        <w:pStyle w:val="Heading3"/>
      </w:pPr>
      <w:r>
        <w:rPr>
          <w:color w:val="1B4D3E"/>
        </w:rPr>
        <w:t>3.1 Por qué tu pregunta preliminar no sirve todavía</w:t>
      </w:r>
    </w:p>
    <w:p>
      <w:pPr>
        <w:ind w:left="432"/>
      </w:pPr>
      <w:r>
        <w:rPr>
          <w:i/>
          <w:color w:val="444444"/>
        </w:rPr>
        <w:t>"¿Cómo puede la ciencia ciudadana contribuir al conocimiento, monitoreo y valoración ecológica del arbolado urbano de Temuco y su aporte a la biodiversidad?"</w:t>
      </w:r>
    </w:p>
    <w:p>
      <w:pPr>
        <w:spacing w:after="120"/>
      </w:pPr>
      <w:r>
        <w:t>Problemas concretos:</w:t>
      </w:r>
    </w:p>
    <w:p>
      <w:pPr>
        <w:pStyle w:val="ListNumber"/>
      </w:pPr>
      <w:r>
        <w:rPr>
          <w:b/>
        </w:rPr>
        <w:t>No es falsable.</w:t>
      </w:r>
      <w:r>
        <w:t xml:space="preserve"> No hay un resultado que pueda salir "no". La respuesta siempre será "sí, contribuye". Una pregunta que no puede fallar no es una pregunta científica.</w:t>
      </w:r>
    </w:p>
    <w:p>
      <w:pPr>
        <w:pStyle w:val="ListNumber"/>
      </w:pPr>
      <w:r>
        <w:rPr>
          <w:b/>
        </w:rPr>
        <w:t>El sujeto es el método, no la naturaleza.</w:t>
      </w:r>
      <w:r>
        <w:t xml:space="preserve"> Pregunta por la ciencia ciudadana, no por los árboles ni por la biodiversidad. Eso la vuelve una pregunta de didáctica de las ciencias, legítima pero que no es lo que financia FMA.</w:t>
      </w:r>
    </w:p>
    <w:p>
      <w:pPr>
        <w:pStyle w:val="ListNumber"/>
      </w:pPr>
      <w:r>
        <w:rPr>
          <w:b/>
        </w:rPr>
        <w:t>Junta cuatro preguntas</w:t>
      </w:r>
      <w:r>
        <w:t xml:space="preserve"> (conocimiento, monitoreo, valoración, biodiversidad) y no responde ninguna.</w:t>
      </w:r>
    </w:p>
    <w:p>
      <w:pPr>
        <w:pStyle w:val="Heading3"/>
      </w:pPr>
      <w:r>
        <w:rPr>
          <w:color w:val="1B4D3E"/>
        </w:rPr>
        <w:t>3.2 Alternativas, de menor a mayor ambición</w:t>
      </w:r>
    </w:p>
    <w:p>
      <w:pPr>
        <w:spacing w:after="120"/>
      </w:pPr>
      <w:r>
        <w:rPr>
          <w:b/>
        </w:rPr>
        <w:t>Opción A — la ecológica (mi recomendada):</w:t>
      </w:r>
    </w:p>
    <w:p>
      <w:pPr>
        <w:ind w:left="432"/>
      </w:pPr>
      <w:r>
        <w:rPr>
          <w:b/>
          <w:i/>
          <w:color w:val="444444"/>
        </w:rPr>
        <w:t>¿Qué características del arbolado urbano de Temuco —especie, origen nativo o exótico, tamaño, edad, estado sanitario y conectividad— explican la biodiversidad que sostiene, y cómo se distribuye esa capacidad entre barrios con distinta cobertura arbórea?</w:t>
      </w:r>
    </w:p>
    <w:p>
      <w:pPr>
        <w:spacing w:after="120"/>
      </w:pPr>
      <w:r>
        <w:t xml:space="preserve">Por qué funciona: es </w:t>
      </w:r>
      <w:r>
        <w:rPr>
          <w:b/>
        </w:rPr>
        <w:t>falsable</w:t>
      </w:r>
      <w:r>
        <w:t xml:space="preserve"> (puede resultar que no haya diferencia), es </w:t>
      </w:r>
      <w:r>
        <w:rPr>
          <w:b/>
        </w:rPr>
        <w:t>biodiversidad pura</w:t>
      </w:r>
      <w:r>
        <w:t xml:space="preserve">, tiene </w:t>
      </w:r>
      <w:r>
        <w:rPr>
          <w:b/>
        </w:rPr>
        <w:t>consecuencia directa de política</w:t>
      </w:r>
      <w:r>
        <w:t xml:space="preserve"> (qué especies plantar y qué ejemplares priorizar para protección), y </w:t>
      </w:r>
      <w:r>
        <w:rPr>
          <w:b/>
        </w:rPr>
        <w:t>solo se puede responder con una red de observadores distribuida</w:t>
      </w:r>
      <w:r>
        <w:t xml:space="preserve"> — o sea, la ciencia ciudadana no es el tema, es la única metodología posible. Eso es mucho más fuerte que ponerla como objeto.</w:t>
      </w:r>
    </w:p>
    <w:p>
      <w:pPr>
        <w:spacing w:after="120"/>
      </w:pPr>
      <w:r>
        <w:rPr>
          <w:b/>
        </w:rPr>
        <w:t>Opción B — la de equidad:</w:t>
      </w:r>
    </w:p>
    <w:p>
      <w:pPr>
        <w:ind w:left="432"/>
      </w:pPr>
      <w:r>
        <w:rPr>
          <w:b/>
          <w:i/>
          <w:color w:val="444444"/>
        </w:rPr>
        <w:t>¿La desigualdad en cobertura arbórea entre barrios de Temuco se traduce en desigualdad de biodiversidad urbana, y qué implica eso para las comunidades que viven con menos árboles?</w:t>
      </w:r>
    </w:p>
    <w:p>
      <w:pPr>
        <w:spacing w:after="120"/>
      </w:pPr>
      <w:r>
        <w:t>Conecta con el índice de equidad que ya tenemos y con justicia ambiental. Más social, igual de falsable. Buena como pregunta secundaria.</w:t>
      </w:r>
    </w:p>
    <w:p>
      <w:pPr>
        <w:spacing w:after="120"/>
      </w:pPr>
      <w:r>
        <w:rPr>
          <w:b/>
        </w:rPr>
        <w:t>Opción C — la biocultural:</w:t>
      </w:r>
    </w:p>
    <w:p>
      <w:pPr>
        <w:ind w:left="432"/>
      </w:pPr>
      <w:r>
        <w:rPr>
          <w:b/>
          <w:i/>
          <w:color w:val="444444"/>
        </w:rPr>
        <w:t>¿Qué árboles reconoce, nombra y valora la comunidad escolar de Temuco, y cómo se relaciona ese conocimiento —incluido el mapuche— con la biodiversidad que esos árboles efectivamente sostienen?</w:t>
      </w:r>
    </w:p>
    <w:p>
      <w:pPr>
        <w:spacing w:after="120"/>
      </w:pPr>
      <w:r>
        <w:t>Es la que mejor encaja con la Temática 2 y con "prácticas bioculturales". Riesgo: requiere competencias en ciencias sociales que hoy el equipo no tiene acreditadas.</w:t>
      </w:r>
    </w:p>
    <w:p>
      <w:pPr>
        <w:spacing w:after="120"/>
      </w:pPr>
      <w:r>
        <w:rPr>
          <w:b/>
        </w:rPr>
        <w:t>Recomendación: A como pregunta principal, B y C como preguntas derivadas.</w:t>
      </w:r>
      <w:r>
        <w:t xml:space="preserve"> Las tres se responden con el mismo trabajo de terreno.</w:t>
      </w:r>
    </w:p>
    <w:p>
      <w:pPr>
        <w:pStyle w:val="Heading3"/>
      </w:pPr>
      <w:r>
        <w:rPr>
          <w:color w:val="1B4D3E"/>
        </w:rPr>
        <w:t>3.3 Hipótesis concretas (esto es lo que un evaluador quiere ver)</w:t>
      </w:r>
    </w:p>
    <w:p>
      <w:pPr>
        <w:pStyle w:val="ListBullet"/>
      </w:pPr>
      <w:r>
        <w:rPr>
          <w:b/>
        </w:rPr>
        <w:t>H1.</w:t>
      </w:r>
      <w:r>
        <w:t xml:space="preserve"> Los árboles </w:t>
      </w:r>
      <w:r>
        <w:rPr>
          <w:b/>
        </w:rPr>
        <w:t>nativos</w:t>
      </w:r>
      <w:r>
        <w:t xml:space="preserve"> sostienen mayor riqueza de artrópodos y aves que los exóticos de tamaño comparable.</w:t>
      </w:r>
    </w:p>
    <w:p>
      <w:pPr>
        <w:pStyle w:val="ListBullet"/>
      </w:pPr>
      <w:r>
        <w:rPr>
          <w:b/>
        </w:rPr>
        <w:t>H2.</w:t>
      </w:r>
      <w:r>
        <w:t xml:space="preserve"> El </w:t>
      </w:r>
      <w:r>
        <w:rPr>
          <w:b/>
        </w:rPr>
        <w:t>diámetro del tronco (DAP)</w:t>
      </w:r>
      <w:r>
        <w:t xml:space="preserve"> predice mejor la biodiversidad asociada que la especie: un plátano oriental viejo puede sostener más vida que un nativo recién plantado.</w:t>
      </w:r>
    </w:p>
    <w:p>
      <w:pPr>
        <w:pStyle w:val="ListBullet"/>
      </w:pPr>
      <w:r>
        <w:rPr>
          <w:b/>
        </w:rPr>
        <w:t>H3.</w:t>
      </w:r>
      <w:r>
        <w:t xml:space="preserve"> La </w:t>
      </w:r>
      <w:r>
        <w:rPr>
          <w:b/>
        </w:rPr>
        <w:t>riqueza de líquenes</w:t>
      </w:r>
      <w:r>
        <w:t xml:space="preserve"> en la corteza disminuye hacia los sectores con mayor contaminación por leña.</w:t>
      </w:r>
    </w:p>
    <w:p>
      <w:pPr>
        <w:pStyle w:val="ListBullet"/>
      </w:pPr>
      <w:r>
        <w:rPr>
          <w:b/>
        </w:rPr>
        <w:t>H4.</w:t>
      </w:r>
      <w:r>
        <w:t xml:space="preserve"> Los barrios con menor cobertura arbórea (nuestro índice) presentan menor riqueza de aves urbanas.</w:t>
      </w:r>
    </w:p>
    <w:p>
      <w:pPr>
        <w:spacing w:after="120"/>
      </w:pPr>
      <w:r>
        <w:t xml:space="preserve">H2 es la más interesante políticamente: si se confirma, </w:t>
      </w:r>
      <w:r>
        <w:rPr>
          <w:b/>
        </w:rPr>
        <w:t>el argumento deja de ser "plantemos nativos" y pasa a ser "no talen los árboles viejos, aunque sean exóticos"</w:t>
      </w:r>
      <w:r>
        <w:t xml:space="preserve"> — que es exactamente el conflicto real en Temuco.</w:t>
      </w:r>
    </w:p>
    <w:p>
      <w:pPr>
        <w:spacing w:before="40" w:after="120"/>
        <w:pBdr>
          <w:bottom w:val="single" w:sz="6" w:color="BBBBBB"/>
        </w:pBdr>
      </w:pPr>
    </w:p>
    <w:p>
      <w:pPr>
        <w:pStyle w:val="Heading2"/>
      </w:pPr>
      <w:r>
        <w:rPr>
          <w:color w:val="1B4D3E"/>
        </w:rPr>
        <w:t>4. Qué se puede calcular de verdad con datos ciudadanos</w:t>
      </w:r>
    </w:p>
    <w:p>
      <w:pPr>
        <w:spacing w:after="120"/>
      </w:pPr>
      <w:r>
        <w:t xml:space="preserve">Retomo el informe </w:t>
      </w:r>
      <w:r>
        <w:rPr>
          <w:rFonts w:ascii="Consolas" w:hAnsi="Consolas"/>
          <w:sz w:val="19"/>
        </w:rPr>
        <w:t>SERVICIOS_ECOSISTEMICOS_E_INDICE.md</w:t>
      </w:r>
      <w:r>
        <w:t xml:space="preserve"> y lo aterrizo al nivel escolar.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Lo que quieres calcular</w:t>
            </w:r>
          </w:p>
        </w:tc>
        <w:tc>
          <w:tcPr>
            <w:tcW w:type="dxa" w:w="2880"/>
            <w:shd w:val="clear" w:fill="E8F0E4"/>
          </w:tcPr>
          <w:p>
            <w:r>
              <w:rPr>
                <w:b/>
                <w:sz w:val="19"/>
              </w:rPr>
            </w:r>
            <w:r>
              <w:rPr>
                <w:b/>
                <w:sz w:val="19"/>
              </w:rPr>
              <w:t>¿Se puede con datos de escolares?</w:t>
            </w:r>
          </w:p>
        </w:tc>
        <w:tc>
          <w:tcPr>
            <w:tcW w:type="dxa" w:w="2880"/>
            <w:shd w:val="clear" w:fill="E8F0E4"/>
          </w:tcPr>
          <w:p>
            <w:r>
              <w:rPr>
                <w:b/>
                <w:sz w:val="19"/>
              </w:rPr>
            </w:r>
            <w:r>
              <w:rPr>
                <w:b/>
                <w:sz w:val="19"/>
              </w:rPr>
              <w:t>Qué exige</w:t>
            </w:r>
          </w:p>
        </w:tc>
      </w:tr>
      <w:tr>
        <w:tc>
          <w:tcPr>
            <w:tcW w:type="dxa" w:w="2880"/>
          </w:tcPr>
          <w:p>
            <w:r>
              <w:rPr>
                <w:sz w:val="19"/>
              </w:rPr>
            </w:r>
            <w:r>
              <w:rPr>
                <w:b/>
                <w:sz w:val="19"/>
              </w:rPr>
              <w:t>Ubicación, especie, DAP, altura, copa, estado sanitario</w:t>
            </w:r>
          </w:p>
        </w:tc>
        <w:tc>
          <w:tcPr>
            <w:tcW w:type="dxa" w:w="2880"/>
          </w:tcPr>
          <w:p>
            <w:r>
              <w:rPr>
                <w:sz w:val="19"/>
              </w:rPr>
            </w:r>
            <w:r>
              <w:rPr>
                <w:sz w:val="19"/>
              </w:rPr>
              <w:t xml:space="preserve">✅ </w:t>
            </w:r>
            <w:r>
              <w:rPr>
                <w:b/>
                <w:sz w:val="19"/>
              </w:rPr>
              <w:t>Sí, y es el núcleo</w:t>
            </w:r>
          </w:p>
        </w:tc>
        <w:tc>
          <w:tcPr>
            <w:tcW w:type="dxa" w:w="2880"/>
          </w:tcPr>
          <w:p>
            <w:r>
              <w:rPr>
                <w:sz w:val="19"/>
              </w:rPr>
            </w:r>
            <w:r>
              <w:rPr>
                <w:sz w:val="19"/>
              </w:rPr>
              <w:t>Huincha, app de altura, protocolo de 3 clases sanitarias. El DAP se saca del perímetro dividido por π</w:t>
            </w:r>
          </w:p>
        </w:tc>
      </w:tr>
      <w:tr>
        <w:tc>
          <w:tcPr>
            <w:tcW w:type="dxa" w:w="2880"/>
          </w:tcPr>
          <w:p>
            <w:r>
              <w:rPr>
                <w:sz w:val="19"/>
              </w:rPr>
            </w:r>
            <w:r>
              <w:rPr>
                <w:b/>
                <w:sz w:val="19"/>
              </w:rPr>
              <w:t>Biodiversidad asociada</w:t>
            </w:r>
          </w:p>
        </w:tc>
        <w:tc>
          <w:tcPr>
            <w:tcW w:type="dxa" w:w="2880"/>
          </w:tcPr>
          <w:p>
            <w:r>
              <w:rPr>
                <w:sz w:val="19"/>
              </w:rPr>
            </w:r>
            <w:r>
              <w:rPr>
                <w:sz w:val="19"/>
              </w:rPr>
              <w:t xml:space="preserve">✅ </w:t>
            </w:r>
            <w:r>
              <w:rPr>
                <w:b/>
                <w:sz w:val="19"/>
              </w:rPr>
              <w:t>Sí — es lo mejor que pueden aportar</w:t>
            </w:r>
          </w:p>
        </w:tc>
        <w:tc>
          <w:tcPr>
            <w:tcW w:type="dxa" w:w="2880"/>
          </w:tcPr>
          <w:p>
            <w:r>
              <w:rPr>
                <w:sz w:val="19"/>
              </w:rPr>
            </w:r>
            <w:r>
              <w:rPr>
                <w:sz w:val="19"/>
              </w:rPr>
              <w:t>iNaturalist + protocolo de observación por árbol</w:t>
            </w:r>
          </w:p>
        </w:tc>
      </w:tr>
      <w:tr>
        <w:tc>
          <w:tcPr>
            <w:tcW w:type="dxa" w:w="2880"/>
          </w:tcPr>
          <w:p>
            <w:r>
              <w:rPr>
                <w:sz w:val="19"/>
              </w:rPr>
            </w:r>
            <w:r>
              <w:rPr>
                <w:b/>
                <w:sz w:val="19"/>
              </w:rPr>
              <w:t>Sombra / cobertura de copa</w:t>
            </w:r>
          </w:p>
        </w:tc>
        <w:tc>
          <w:tcPr>
            <w:tcW w:type="dxa" w:w="2880"/>
          </w:tcPr>
          <w:p>
            <w:r>
              <w:rPr>
                <w:sz w:val="19"/>
              </w:rPr>
            </w:r>
            <w:r>
              <w:rPr>
                <w:sz w:val="19"/>
              </w:rPr>
              <w:t>✅ Sí, con medición directa</w:t>
            </w:r>
          </w:p>
        </w:tc>
        <w:tc>
          <w:tcPr>
            <w:tcW w:type="dxa" w:w="2880"/>
          </w:tcPr>
          <w:p>
            <w:r>
              <w:rPr>
                <w:sz w:val="19"/>
              </w:rPr>
            </w:r>
            <w:r>
              <w:rPr>
                <w:sz w:val="19"/>
              </w:rPr>
              <w:t>Ancho de copa en dos ejes; la proyección es geometría simple</w:t>
            </w:r>
          </w:p>
        </w:tc>
      </w:tr>
      <w:tr>
        <w:tc>
          <w:tcPr>
            <w:tcW w:type="dxa" w:w="2880"/>
          </w:tcPr>
          <w:p>
            <w:r>
              <w:rPr>
                <w:sz w:val="19"/>
              </w:rPr>
            </w:r>
            <w:r>
              <w:rPr>
                <w:b/>
                <w:sz w:val="19"/>
              </w:rPr>
              <w:t>Carbono almacenado</w:t>
            </w:r>
          </w:p>
        </w:tc>
        <w:tc>
          <w:tcPr>
            <w:tcW w:type="dxa" w:w="2880"/>
          </w:tcPr>
          <w:p>
            <w:r>
              <w:rPr>
                <w:sz w:val="19"/>
              </w:rPr>
            </w:r>
            <w:r>
              <w:rPr>
                <w:sz w:val="19"/>
              </w:rPr>
              <w:t xml:space="preserve">🟡 </w:t>
            </w:r>
            <w:r>
              <w:rPr>
                <w:b/>
                <w:sz w:val="19"/>
              </w:rPr>
              <w:t>Estimable, no medible</w:t>
            </w:r>
            <w:r>
              <w:rPr>
                <w:sz w:val="19"/>
              </w:rPr>
              <w:t xml:space="preserve">, y solo como </w:t>
            </w:r>
            <w:r>
              <w:rPr>
                <w:b/>
                <w:sz w:val="19"/>
              </w:rPr>
              <w:t>rango</w:t>
            </w:r>
          </w:p>
        </w:tc>
        <w:tc>
          <w:tcPr>
            <w:tcW w:type="dxa" w:w="2880"/>
          </w:tcPr>
          <w:p>
            <w:r>
              <w:rPr>
                <w:sz w:val="19"/>
              </w:rPr>
            </w:r>
            <w:r>
              <w:rPr>
                <w:sz w:val="19"/>
              </w:rPr>
              <w:t xml:space="preserve">Ecuaciones de Dobbs et al. 2011 para las ~8 especies exóticas coincidentes. </w:t>
            </w:r>
            <w:r>
              <w:rPr>
                <w:b/>
                <w:sz w:val="19"/>
              </w:rPr>
              <w:t>No existen ecuaciones urbanas para nativas del sur</w:t>
            </w:r>
          </w:p>
        </w:tc>
      </w:tr>
      <w:tr>
        <w:tc>
          <w:tcPr>
            <w:tcW w:type="dxa" w:w="2880"/>
          </w:tcPr>
          <w:p>
            <w:r>
              <w:rPr>
                <w:sz w:val="19"/>
              </w:rPr>
            </w:r>
            <w:r>
              <w:rPr>
                <w:b/>
                <w:sz w:val="19"/>
              </w:rPr>
              <w:t>CO₂ secuestrado anualmente</w:t>
            </w:r>
          </w:p>
        </w:tc>
        <w:tc>
          <w:tcPr>
            <w:tcW w:type="dxa" w:w="2880"/>
          </w:tcPr>
          <w:p>
            <w:r>
              <w:rPr>
                <w:sz w:val="19"/>
              </w:rPr>
            </w:r>
            <w:r>
              <w:rPr>
                <w:sz w:val="19"/>
              </w:rPr>
              <w:t xml:space="preserve">🟡 Solo con </w:t>
            </w:r>
            <w:r>
              <w:rPr>
                <w:b/>
                <w:sz w:val="19"/>
              </w:rPr>
              <w:t>remedición en años sucesivos</w:t>
            </w:r>
          </w:p>
        </w:tc>
        <w:tc>
          <w:tcPr>
            <w:tcW w:type="dxa" w:w="2880"/>
          </w:tcPr>
          <w:p>
            <w:r>
              <w:rPr>
                <w:sz w:val="19"/>
              </w:rPr>
            </w:r>
            <w:r>
              <w:rPr>
                <w:sz w:val="19"/>
              </w:rPr>
              <w:t xml:space="preserve">En 9 meses </w:t>
            </w:r>
            <w:r>
              <w:rPr>
                <w:b/>
                <w:sz w:val="19"/>
              </w:rPr>
              <w:t>no se puede medir crecimiento</w:t>
            </w:r>
            <w:r>
              <w:rPr>
                <w:sz w:val="19"/>
              </w:rPr>
              <w:t>. Solo se puede dejar la línea base</w:t>
            </w:r>
          </w:p>
        </w:tc>
      </w:tr>
      <w:tr>
        <w:tc>
          <w:tcPr>
            <w:tcW w:type="dxa" w:w="2880"/>
          </w:tcPr>
          <w:p>
            <w:r>
              <w:rPr>
                <w:sz w:val="19"/>
              </w:rPr>
            </w:r>
            <w:r>
              <w:rPr>
                <w:b/>
                <w:sz w:val="19"/>
              </w:rPr>
              <w:t>Regulación de temperatura</w:t>
            </w:r>
          </w:p>
        </w:tc>
        <w:tc>
          <w:tcPr>
            <w:tcW w:type="dxa" w:w="2880"/>
          </w:tcPr>
          <w:p>
            <w:r>
              <w:rPr>
                <w:sz w:val="19"/>
              </w:rPr>
            </w:r>
            <w:r>
              <w:rPr>
                <w:sz w:val="19"/>
              </w:rPr>
              <w:t xml:space="preserve">✅ </w:t>
            </w:r>
            <w:r>
              <w:rPr>
                <w:b/>
                <w:sz w:val="19"/>
              </w:rPr>
              <w:t>Ya la tenemos, y por satélite</w:t>
            </w:r>
          </w:p>
        </w:tc>
        <w:tc>
          <w:tcPr>
            <w:tcW w:type="dxa" w:w="2880"/>
          </w:tcPr>
          <w:p>
            <w:r>
              <w:rPr>
                <w:sz w:val="19"/>
              </w:rPr>
            </w:r>
            <w:r>
              <w:rPr>
                <w:sz w:val="19"/>
              </w:rPr>
              <w:t>No la miden los estudiantes: la aporta el Observatorio. Es nuestro dato más sólido</w:t>
            </w:r>
          </w:p>
        </w:tc>
      </w:tr>
      <w:tr>
        <w:tc>
          <w:tcPr>
            <w:tcW w:type="dxa" w:w="2880"/>
          </w:tcPr>
          <w:p>
            <w:r>
              <w:rPr>
                <w:sz w:val="19"/>
              </w:rPr>
            </w:r>
            <w:r>
              <w:rPr>
                <w:b/>
                <w:sz w:val="19"/>
              </w:rPr>
              <w:t>Oxígeno liberado</w:t>
            </w:r>
          </w:p>
        </w:tc>
        <w:tc>
          <w:tcPr>
            <w:tcW w:type="dxa" w:w="2880"/>
          </w:tcPr>
          <w:p>
            <w:r>
              <w:rPr>
                <w:sz w:val="19"/>
              </w:rPr>
            </w:r>
            <w:r>
              <w:rPr>
                <w:sz w:val="19"/>
              </w:rPr>
              <w:t xml:space="preserve">❌ </w:t>
            </w:r>
            <w:r>
              <w:rPr>
                <w:b/>
                <w:sz w:val="19"/>
              </w:rPr>
              <w:t>Excluir</w:t>
            </w:r>
          </w:p>
        </w:tc>
        <w:tc>
          <w:tcPr>
            <w:tcW w:type="dxa" w:w="2880"/>
          </w:tcPr>
          <w:p>
            <w:r>
              <w:rPr>
                <w:sz w:val="19"/>
              </w:rPr>
            </w:r>
            <w:r>
              <w:rPr>
                <w:sz w:val="19"/>
              </w:rPr>
              <w:t>Es carbono × 2,67. Su propio autor (Nowak et al. 2007) lo declara insignificante</w:t>
            </w:r>
          </w:p>
        </w:tc>
      </w:tr>
      <w:tr>
        <w:tc>
          <w:tcPr>
            <w:tcW w:type="dxa" w:w="2880"/>
          </w:tcPr>
          <w:p>
            <w:r>
              <w:rPr>
                <w:sz w:val="19"/>
              </w:rPr>
            </w:r>
            <w:r>
              <w:rPr>
                <w:b/>
                <w:sz w:val="19"/>
              </w:rPr>
              <w:t>Captura de contaminantes</w:t>
            </w:r>
          </w:p>
        </w:tc>
        <w:tc>
          <w:tcPr>
            <w:tcW w:type="dxa" w:w="2880"/>
          </w:tcPr>
          <w:p>
            <w:r>
              <w:rPr>
                <w:sz w:val="19"/>
              </w:rPr>
            </w:r>
            <w:r>
              <w:rPr>
                <w:sz w:val="19"/>
              </w:rPr>
              <w:t xml:space="preserve">❌ </w:t>
            </w:r>
            <w:r>
              <w:rPr>
                <w:b/>
                <w:sz w:val="19"/>
              </w:rPr>
              <w:t>Excluir como cifra</w:t>
            </w:r>
          </w:p>
        </w:tc>
        <w:tc>
          <w:tcPr>
            <w:tcW w:type="dxa" w:w="2880"/>
          </w:tcPr>
          <w:p>
            <w:r>
              <w:rPr>
                <w:sz w:val="19"/>
              </w:rPr>
            </w:r>
            <w:r>
              <w:rPr>
                <w:sz w:val="19"/>
              </w:rPr>
              <w:t xml:space="preserve">En cañón de calle los árboles pueden </w:t>
            </w:r>
            <w:r>
              <w:rPr>
                <w:i/>
                <w:sz w:val="19"/>
              </w:rPr>
              <w:t>empeorar</w:t>
            </w:r>
            <w:r>
              <w:rPr>
                <w:sz w:val="19"/>
              </w:rPr>
              <w:t xml:space="preserve"> la calidad del aire. Sí sirve como contenido educativo</w:t>
            </w:r>
          </w:p>
        </w:tc>
      </w:tr>
      <w:tr>
        <w:tc>
          <w:tcPr>
            <w:tcW w:type="dxa" w:w="2880"/>
          </w:tcPr>
          <w:p>
            <w:r>
              <w:rPr>
                <w:sz w:val="19"/>
              </w:rPr>
            </w:r>
            <w:r>
              <w:rPr>
                <w:b/>
                <w:sz w:val="19"/>
              </w:rPr>
              <w:t>Regulación e infiltración de agua</w:t>
            </w:r>
          </w:p>
        </w:tc>
        <w:tc>
          <w:tcPr>
            <w:tcW w:type="dxa" w:w="2880"/>
          </w:tcPr>
          <w:p>
            <w:r>
              <w:rPr>
                <w:sz w:val="19"/>
              </w:rPr>
            </w:r>
            <w:r>
              <w:rPr>
                <w:sz w:val="19"/>
              </w:rPr>
              <w:t>❌ Fuera de alcance</w:t>
            </w:r>
          </w:p>
        </w:tc>
        <w:tc>
          <w:tcPr>
            <w:tcW w:type="dxa" w:w="2880"/>
          </w:tcPr>
          <w:p>
            <w:r>
              <w:rPr>
                <w:sz w:val="19"/>
              </w:rPr>
            </w:r>
            <w:r>
              <w:rPr>
                <w:sz w:val="19"/>
              </w:rPr>
              <w:t>Requiere precipitación horaria y datos de suelo</w:t>
            </w:r>
          </w:p>
        </w:tc>
      </w:tr>
    </w:tbl>
    <w:p/>
    <w:p>
      <w:pPr>
        <w:spacing w:after="120"/>
      </w:pPr>
      <w:r>
        <w:rPr>
          <w:b/>
        </w:rPr>
        <w:t>Consecuencia estratégica:</w:t>
      </w:r>
      <w:r>
        <w:t xml:space="preserve"> el carbono </w:t>
      </w:r>
      <w:r>
        <w:rPr>
          <w:b/>
        </w:rPr>
        <w:t>no puede ser la promesa central de la postulación</w:t>
      </w:r>
      <w:r>
        <w:t>. Es un producto secundario, con rangos y limitaciones declaradas. Si lo pones al centro, el evaluador con formación ecológica va a ver que 9 meses no alcanzan para medir secuestro, y va a desconfiar de todo lo demás.</w:t>
      </w:r>
    </w:p>
    <w:p>
      <w:pPr>
        <w:spacing w:after="120"/>
      </w:pPr>
      <w:r>
        <w:rPr>
          <w:b/>
        </w:rPr>
        <w:t>El entregable fuerte y honesto es la línea base</w:t>
      </w:r>
      <w:r>
        <w:t xml:space="preserve">: el primer inventario estructurado del arbolado urbano de Temuco con biodiversidad asociada, hecho con un protocolo replicable. El secuestro se mide en la </w:t>
      </w:r>
      <w:r>
        <w:rPr>
          <w:b/>
        </w:rPr>
        <w:t>segunda</w:t>
      </w:r>
      <w:r>
        <w:t xml:space="preserve"> medición, dentro de 3 años — y eso es exactamente el "potencial de impulsar acciones a largo plazo" que las bases piden.</w:t>
      </w:r>
    </w:p>
    <w:p>
      <w:pPr>
        <w:spacing w:before="40" w:after="120"/>
        <w:pBdr>
          <w:bottom w:val="single" w:sz="6" w:color="BBBBBB"/>
        </w:pBdr>
      </w:pPr>
    </w:p>
    <w:p>
      <w:pPr>
        <w:pStyle w:val="Heading2"/>
      </w:pPr>
      <w:r>
        <w:rPr>
          <w:color w:val="1B4D3E"/>
        </w:rPr>
        <w:t>5. iNaturalist: complementar, no competir (y sí, tiene sentido)</w:t>
      </w:r>
    </w:p>
    <w:p>
      <w:pPr>
        <w:spacing w:after="120"/>
      </w:pPr>
      <w:r>
        <w:rPr>
          <w:b/>
        </w:rPr>
        <w:t>Sí tiene sentido científicamente, y además resuelve un problema que solos no podemos resolver:</w:t>
      </w:r>
      <w:r>
        <w:t xml:space="preserve"> la identificación taxonómica. Ninguno de nosotros puede identificar 300 insectos.</w:t>
      </w:r>
    </w:p>
    <w:p>
      <w:pPr>
        <w:spacing w:after="120"/>
      </w:pPr>
      <w:r>
        <w:rPr>
          <w:b/>
        </w:rPr>
        <w:t>Reparto de roles: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iNaturalist aporta</w:t>
            </w:r>
          </w:p>
        </w:tc>
        <w:tc>
          <w:tcPr>
            <w:tcW w:type="dxa" w:w="4320"/>
            <w:shd w:val="clear" w:fill="E8F0E4"/>
          </w:tcPr>
          <w:p>
            <w:r>
              <w:rPr>
                <w:b/>
                <w:sz w:val="19"/>
              </w:rPr>
            </w:r>
            <w:r>
              <w:rPr>
                <w:b/>
                <w:sz w:val="19"/>
              </w:rPr>
              <w:t>El Observatorio aporta</w:t>
            </w:r>
          </w:p>
        </w:tc>
      </w:tr>
      <w:tr>
        <w:tc>
          <w:tcPr>
            <w:tcW w:type="dxa" w:w="4320"/>
          </w:tcPr>
          <w:p>
            <w:r>
              <w:rPr>
                <w:sz w:val="19"/>
              </w:rPr>
            </w:r>
            <w:r>
              <w:rPr>
                <w:sz w:val="19"/>
              </w:rPr>
              <w:t>Identificación colaborativa y validación por expertos (</w:t>
            </w:r>
            <w:r>
              <w:rPr>
                <w:i/>
                <w:sz w:val="19"/>
              </w:rPr>
              <w:t>research grade</w:t>
            </w:r>
            <w:r>
              <w:rPr>
                <w:sz w:val="19"/>
              </w:rPr>
              <w:t>)</w:t>
            </w:r>
          </w:p>
        </w:tc>
        <w:tc>
          <w:tcPr>
            <w:tcW w:type="dxa" w:w="4320"/>
          </w:tcPr>
          <w:p>
            <w:r>
              <w:rPr>
                <w:sz w:val="19"/>
              </w:rPr>
            </w:r>
            <w:r>
              <w:rPr>
                <w:b/>
                <w:sz w:val="19"/>
              </w:rPr>
              <w:t>El árbol como unidad medida</w:t>
            </w:r>
            <w:r>
              <w:rPr>
                <w:sz w:val="19"/>
              </w:rPr>
              <w:t>: especie, DAP, altura, copa, estado sanitario, ubicación exacta</w:t>
            </w:r>
          </w:p>
        </w:tc>
      </w:tr>
      <w:tr>
        <w:tc>
          <w:tcPr>
            <w:tcW w:type="dxa" w:w="4320"/>
          </w:tcPr>
          <w:p>
            <w:r>
              <w:rPr>
                <w:sz w:val="19"/>
              </w:rPr>
            </w:r>
            <w:r>
              <w:rPr>
                <w:sz w:val="19"/>
              </w:rPr>
              <w:t xml:space="preserve">Flujo automático de registros validados a </w:t>
            </w:r>
            <w:r>
              <w:rPr>
                <w:b/>
                <w:sz w:val="19"/>
              </w:rPr>
              <w:t>GBIF</w:t>
            </w:r>
            <w:r>
              <w:rPr>
                <w:sz w:val="19"/>
              </w:rPr>
              <w:t xml:space="preserve"> (aporte real a la ciencia global)</w:t>
            </w:r>
          </w:p>
        </w:tc>
        <w:tc>
          <w:tcPr>
            <w:tcW w:type="dxa" w:w="4320"/>
          </w:tcPr>
          <w:p>
            <w:r>
              <w:rPr>
                <w:sz w:val="19"/>
              </w:rPr>
            </w:r>
            <w:r>
              <w:rPr>
                <w:sz w:val="19"/>
              </w:rPr>
              <w:t xml:space="preserve">El </w:t>
            </w:r>
            <w:r>
              <w:rPr>
                <w:b/>
                <w:sz w:val="19"/>
              </w:rPr>
              <w:t>contexto territorial</w:t>
            </w:r>
            <w:r>
              <w:rPr>
                <w:sz w:val="19"/>
              </w:rPr>
              <w:t>: cobertura del barrio, temperatura de superficie, índice de equidad</w:t>
            </w:r>
          </w:p>
        </w:tc>
      </w:tr>
      <w:tr>
        <w:tc>
          <w:tcPr>
            <w:tcW w:type="dxa" w:w="4320"/>
          </w:tcPr>
          <w:p>
            <w:r>
              <w:rPr>
                <w:sz w:val="19"/>
              </w:rPr>
            </w:r>
            <w:r>
              <w:rPr>
                <w:sz w:val="19"/>
              </w:rPr>
              <w:t>App gratuita, mantenida, que los estudiantes ya pueden usar</w:t>
            </w:r>
          </w:p>
        </w:tc>
        <w:tc>
          <w:tcPr>
            <w:tcW w:type="dxa" w:w="4320"/>
          </w:tcPr>
          <w:p>
            <w:r>
              <w:rPr>
                <w:sz w:val="19"/>
              </w:rPr>
            </w:r>
            <w:r>
              <w:rPr>
                <w:b/>
                <w:sz w:val="19"/>
              </w:rPr>
              <w:t>El vínculo individuo-a-individuo</w:t>
            </w:r>
            <w:r>
              <w:rPr>
                <w:sz w:val="19"/>
              </w:rPr>
              <w:t xml:space="preserve"> entre organismo y árbol</w:t>
            </w:r>
          </w:p>
        </w:tc>
      </w:tr>
      <w:tr>
        <w:tc>
          <w:tcPr>
            <w:tcW w:type="dxa" w:w="4320"/>
          </w:tcPr>
          <w:p>
            <w:r>
              <w:rPr>
                <w:sz w:val="19"/>
              </w:rPr>
            </w:r>
            <w:r>
              <w:rPr>
                <w:sz w:val="19"/>
              </w:rPr>
              <w:t>Comunidad global de identificadores</w:t>
            </w:r>
          </w:p>
        </w:tc>
        <w:tc>
          <w:tcPr>
            <w:tcW w:type="dxa" w:w="4320"/>
          </w:tcPr>
          <w:p>
            <w:r>
              <w:rPr>
                <w:sz w:val="19"/>
              </w:rPr>
            </w:r>
            <w:r>
              <w:rPr>
                <w:sz w:val="19"/>
              </w:rPr>
              <w:t>El análisis y la devolución a la comunidad</w:t>
            </w:r>
          </w:p>
        </w:tc>
      </w:tr>
    </w:tbl>
    <w:p/>
    <w:p>
      <w:pPr>
        <w:spacing w:after="120"/>
      </w:pPr>
      <w:r>
        <w:rPr>
          <w:b/>
        </w:rPr>
        <w:t>La diferencia real —y es la que hay que escribir en la postulación—:</w:t>
      </w:r>
      <w:r>
        <w:t xml:space="preserve"> iNaturalist registra </w:t>
      </w:r>
      <w:r>
        <w:rPr>
          <w:i/>
        </w:rPr>
        <w:t>"un liquen, en este punto GPS"</w:t>
      </w:r>
      <w:r>
        <w:t xml:space="preserve">. Nuestro proyecto registra *"este liquen, sobre </w:t>
      </w:r>
      <w:r>
        <w:rPr>
          <w:b/>
        </w:rPr>
        <w:t>este</w:t>
      </w:r>
      <w:r>
        <w:t xml:space="preserve"> plátano oriental de 45 cm de DAP, en estado sanitario regular, en un barrio con 3% de cobertura arbórea"*.</w:t>
      </w:r>
    </w:p>
    <w:p>
      <w:pPr>
        <w:spacing w:after="120"/>
      </w:pPr>
      <w:r>
        <w:t xml:space="preserve">Ese vínculo </w:t>
      </w:r>
      <w:r>
        <w:rPr>
          <w:b/>
        </w:rPr>
        <w:t>no existe en iNaturalist</w:t>
      </w:r>
      <w:r>
        <w:t xml:space="preserve"> y es justamente lo que permite responder H1, H2 y H3. Sin él son observaciones sueltas; con él es un diseño de muestreo.</w:t>
      </w:r>
    </w:p>
    <w:p>
      <w:pPr>
        <w:spacing w:after="120"/>
      </w:pPr>
      <w:r>
        <w:rPr>
          <w:b/>
        </w:rPr>
        <w:t>Mecanismo concreto:</w:t>
      </w:r>
      <w:r>
        <w:t xml:space="preserve"> iNaturalist permite crear un </w:t>
      </w:r>
      <w:r>
        <w:rPr>
          <w:b/>
        </w:rPr>
        <w:t>proyecto</w:t>
      </w:r>
      <w:r>
        <w:t xml:space="preserve"> y definir </w:t>
      </w:r>
      <w:r>
        <w:rPr>
          <w:b/>
        </w:rPr>
        <w:t>campos de observación</w:t>
      </w:r>
      <w:r>
        <w:t xml:space="preserve"> personalizados. Se crea el campo </w:t>
      </w:r>
      <w:r>
        <w:rPr>
          <w:rFonts w:ascii="Consolas" w:hAnsi="Consolas"/>
          <w:sz w:val="19"/>
        </w:rPr>
        <w:t>ID_arbol_Temuco</w:t>
      </w:r>
      <w:r>
        <w:t xml:space="preserve"> y cada observación de organismo lleva el identificador del árbol sobre el que se hizo. Es una funcionalidad estándar de la plataforma, no requiere desarrollo.</w:t>
      </w:r>
    </w:p>
    <w:p>
      <w:pPr>
        <w:spacing w:after="120"/>
      </w:pPr>
      <w:r>
        <w:t xml:space="preserve">⚠️ </w:t>
      </w:r>
      <w:r>
        <w:rPr>
          <w:b/>
        </w:rPr>
        <w:t>Verificar antes de comprometerlo en la postulación:</w:t>
      </w:r>
      <w:r>
        <w:t xml:space="preserve"> el comportamiento exacto de los campos de observación y de la API para exportar el proyecto. No prometer una integración automática sin haberla probado con 10 registros de prueba.</w:t>
      </w:r>
    </w:p>
    <w:p>
      <w:pPr>
        <w:spacing w:after="120"/>
      </w:pPr>
      <w:r>
        <w:rPr>
          <w:b/>
        </w:rPr>
        <w:t>Y una advertencia honesta que conviene incluir:</w:t>
      </w:r>
      <w:r>
        <w:t xml:space="preserve"> los datos de ciencia ciudadana tienen </w:t>
      </w:r>
      <w:r>
        <w:rPr>
          <w:b/>
        </w:rPr>
        <w:t>sesgo de muestreo severo</w:t>
      </w:r>
      <w:r>
        <w:t xml:space="preserve"> — se observa donde hay gente, cuando hace buen tiempo, lo que llama la atención. Un evaluador con formación en ecología lo sabe. Declararlo y diseñar contra ello (esfuerzo de muestreo estandarizado: </w:t>
      </w:r>
      <w:r>
        <w:rPr>
          <w:i/>
        </w:rPr>
        <w:t>X</w:t>
      </w:r>
      <w:r>
        <w:t xml:space="preserve"> minutos por árbol, misma hora, misma estación) es lo que separa una propuesta seria de una ingenua.</w:t>
      </w:r>
    </w:p>
    <w:p>
      <w:pPr>
        <w:spacing w:before="40" w:after="120"/>
        <w:pBdr>
          <w:bottom w:val="single" w:sz="6" w:color="BBBBBB"/>
        </w:pBdr>
      </w:pPr>
    </w:p>
    <w:p>
      <w:pPr>
        <w:pStyle w:val="Heading2"/>
      </w:pPr>
      <w:r>
        <w:rPr>
          <w:color w:val="1B4D3E"/>
        </w:rPr>
        <w:t>6. Las 10 preguntas que planteaste, respondidas</w:t>
      </w:r>
    </w:p>
    <w:p>
      <w:pPr>
        <w:spacing w:after="120"/>
      </w:pPr>
      <w:r>
        <w:rPr>
          <w:b/>
        </w:rPr>
        <w:t>1. ¿Qué parte es investigación?</w:t>
      </w:r>
    </w:p>
    <w:p>
      <w:pPr>
        <w:spacing w:after="120"/>
      </w:pPr>
      <w:r>
        <w:t xml:space="preserve">Las hipótesis H1–H4: el contraste nativo/exótico, el efecto del DAP y el gradiente de líquenes. Eso es investigación con resultado incierto. </w:t>
      </w:r>
      <w:r>
        <w:rPr>
          <w:b/>
        </w:rPr>
        <w:t>El catastro no es investigación</w:t>
      </w:r>
      <w:r>
        <w:t xml:space="preserve"> — es la infraestructura de datos que la hace posible. Hay que decirlo así.</w:t>
      </w:r>
    </w:p>
    <w:p>
      <w:pPr>
        <w:spacing w:after="120"/>
      </w:pPr>
      <w:r>
        <w:rPr>
          <w:b/>
        </w:rPr>
        <w:t>2. ¿Qué parte es monitoreo?</w:t>
      </w:r>
    </w:p>
    <w:p>
      <w:pPr>
        <w:spacing w:after="120"/>
      </w:pPr>
      <w:r>
        <w:t xml:space="preserve">El protocolo replicable + la línea base georreferenciada + el compromiso de remedición. Ojo: </w:t>
      </w:r>
      <w:r>
        <w:rPr>
          <w:b/>
        </w:rPr>
        <w:t>en 9 meses no hay monitoreo</w:t>
      </w:r>
      <w:r>
        <w:t xml:space="preserve">, hay </w:t>
      </w:r>
      <w:r>
        <w:rPr>
          <w:b/>
        </w:rPr>
        <w:t>instalación de un sistema de monitoreo</w:t>
      </w:r>
      <w:r>
        <w:t>. Prometer "evolución en el tiempo" dentro del proyecto sería un error verificable.</w:t>
      </w:r>
    </w:p>
    <w:p>
      <w:pPr>
        <w:spacing w:after="120"/>
      </w:pPr>
      <w:r>
        <w:rPr>
          <w:b/>
        </w:rPr>
        <w:t>3. ¿Cómo se vinculan las ciencias naturales con otras disciplinas?</w:t>
      </w:r>
    </w:p>
    <w:p>
      <w:pPr>
        <w:spacing w:after="120"/>
      </w:pPr>
      <w:r>
        <w:t xml:space="preserve">Hoy: ciencias naturales + tecnología. </w:t>
      </w:r>
      <w:r>
        <w:rPr>
          <w:b/>
        </w:rPr>
        <w:t>Eso es débil para FMA</w:t>
      </w:r>
      <w:r>
        <w:t xml:space="preserve"> (tecnología no figura entre las disciplinas que las bases nombran: humanidades, ciencias sociales, artes). Hay que sumar </w:t>
      </w:r>
      <w:r>
        <w:rPr>
          <w:b/>
        </w:rPr>
        <w:t>educación</w:t>
      </w:r>
      <w:r>
        <w:t xml:space="preserve"> (didáctica de las ciencias, secuencia didáctica evaluable), </w:t>
      </w:r>
      <w:r>
        <w:rPr>
          <w:b/>
        </w:rPr>
        <w:t>ciencias sociales</w:t>
      </w:r>
      <w:r>
        <w:t xml:space="preserve"> (percepción del arbolado, conocimiento local) y </w:t>
      </w:r>
      <w:r>
        <w:rPr>
          <w:b/>
        </w:rPr>
        <w:t>artes</w:t>
      </w:r>
      <w:r>
        <w:t xml:space="preserve"> (§7). La tecnología debe presentarse como </w:t>
      </w:r>
      <w:r>
        <w:rPr>
          <w:b/>
        </w:rPr>
        <w:t>herramienta</w:t>
      </w:r>
      <w:r>
        <w:t>, nunca como disciplina vinculada.</w:t>
      </w:r>
    </w:p>
    <w:p>
      <w:pPr>
        <w:spacing w:after="120"/>
      </w:pPr>
      <w:r>
        <w:rPr>
          <w:b/>
        </w:rPr>
        <w:t>4. ¿Cómo contribuye a la conservación de la biodiversidad?</w:t>
      </w:r>
    </w:p>
    <w:p>
      <w:pPr>
        <w:spacing w:after="120"/>
      </w:pPr>
      <w:r>
        <w:t xml:space="preserve">Tres vías concretas, todas verificables: (a) </w:t>
      </w:r>
      <w:r>
        <w:rPr>
          <w:b/>
        </w:rPr>
        <w:t>datos primarios de biodiversidad urbana a GBIF</w:t>
      </w:r>
      <w:r>
        <w:t xml:space="preserve"> vía iNaturalist; (b) </w:t>
      </w:r>
      <w:r>
        <w:rPr>
          <w:b/>
        </w:rPr>
        <w:t>criterio ecológico para decidir qué árboles proteger</w:t>
      </w:r>
      <w:r>
        <w:t xml:space="preserve"> —si H2 se confirma, cambia la política de tala; (c) </w:t>
      </w:r>
      <w:r>
        <w:rPr>
          <w:b/>
        </w:rPr>
        <w:t>expedientes de árboles patrimoniales</w:t>
      </w:r>
      <w:r>
        <w:t xml:space="preserve"> por el Art. 9 de la Ordenanza, que es un mecanismo legal de protección efectiva y ya existente.</w:t>
      </w:r>
    </w:p>
    <w:p>
      <w:pPr>
        <w:spacing w:after="120"/>
      </w:pPr>
      <w:r>
        <w:t xml:space="preserve">La (c) es la más fuerte: </w:t>
      </w:r>
      <w:r>
        <w:rPr>
          <w:b/>
        </w:rPr>
        <w:t>es protección legal real, no sensibilización.</w:t>
      </w:r>
    </w:p>
    <w:p>
      <w:pPr>
        <w:spacing w:after="120"/>
      </w:pPr>
      <w:r>
        <w:rPr>
          <w:b/>
        </w:rPr>
        <w:t>5. ¿Cómo genera capacidades permanentes?</w:t>
      </w:r>
    </w:p>
    <w:p>
      <w:pPr>
        <w:spacing w:after="120"/>
      </w:pPr>
      <w:r>
        <w:t xml:space="preserve">El protocolo queda en la escuela; los docentes quedan formados; los datos quedan abiertos; y el Art. 9 les deja un </w:t>
      </w:r>
      <w:r>
        <w:rPr>
          <w:b/>
        </w:rPr>
        <w:t>mecanismo legal que pueden seguir usando sin nosotros</w:t>
      </w:r>
      <w:r>
        <w:t>. Esa última parte es la que responde a "autonomía a largo plazo" de las bases.</w:t>
      </w:r>
    </w:p>
    <w:p>
      <w:pPr>
        <w:spacing w:after="120"/>
      </w:pPr>
      <w:r>
        <w:rPr>
          <w:b/>
        </w:rPr>
        <w:t>6. ¿Cómo demostrar que no es solo un catastro?</w:t>
      </w:r>
    </w:p>
    <w:p>
      <w:pPr>
        <w:spacing w:after="120"/>
      </w:pPr>
      <w:r>
        <w:t xml:space="preserve">Con la pregunta científica y las hipótesis. Un catastro produce una lista; esto produce un </w:t>
      </w:r>
      <w:r>
        <w:rPr>
          <w:b/>
        </w:rPr>
        <w:t>resultado que puede refutarse</w:t>
      </w:r>
      <w:r>
        <w:t>. Prueba práctica: si el proyecto puede fracasar en su hipótesis y aun así haber sido bien ejecutado, no es un catastro.</w:t>
      </w:r>
    </w:p>
    <w:p>
      <w:pPr>
        <w:spacing w:after="120"/>
      </w:pPr>
      <w:r>
        <w:rPr>
          <w:b/>
        </w:rPr>
        <w:t>7. ¿Cómo diferenciarlo de iNaturalist?</w:t>
      </w:r>
      <w:r>
        <w:t xml:space="preserve"> → §5. En una frase: </w:t>
      </w:r>
      <w:r>
        <w:rPr>
          <w:i/>
        </w:rPr>
        <w:t>iNaturalist registra organismos; nosotros registramos el hábitat medido sobre el que viven.</w:t>
      </w:r>
    </w:p>
    <w:p>
      <w:pPr>
        <w:spacing w:after="120"/>
      </w:pPr>
      <w:r>
        <w:rPr>
          <w:b/>
        </w:rPr>
        <w:t>8. ¿Qué lo haría ver demasiado tecnológico o poco científico?</w:t>
      </w:r>
    </w:p>
    <w:p>
      <w:pPr>
        <w:spacing w:after="120"/>
      </w:pPr>
      <w:r>
        <w:t>Cuatro banderas rojas, todas presentes hoy en el proyecto:</w:t>
      </w:r>
    </w:p>
    <w:p>
      <w:pPr>
        <w:pStyle w:val="ListBullet"/>
      </w:pPr>
      <w:r>
        <w:t>Hablar de "plataforma", "sistema", "dashboard" antes que de organismos y preguntas.</w:t>
      </w:r>
    </w:p>
    <w:p>
      <w:pPr>
        <w:pStyle w:val="ListBullet"/>
      </w:pPr>
      <w:r>
        <w:t>Poner el mapa satelital como protagonista (es medio, no fin).</w:t>
      </w:r>
    </w:p>
    <w:p>
      <w:pPr>
        <w:pStyle w:val="ListBullet"/>
      </w:pPr>
      <w:r>
        <w:t xml:space="preserve">El generador de contenido para redes → </w:t>
      </w:r>
      <w:r>
        <w:rPr>
          <w:b/>
        </w:rPr>
        <w:t>cae en "campaña comunicacional", excluido por bases</w:t>
      </w:r>
      <w:r>
        <w:t>.</w:t>
      </w:r>
    </w:p>
    <w:p>
      <w:pPr>
        <w:pStyle w:val="ListBullet"/>
      </w:pPr>
      <w:r>
        <w:t>Prometer servicios ecosistémicos calculados por escolares sin declarar que son modelos con rangos.</w:t>
      </w:r>
    </w:p>
    <w:p>
      <w:pPr>
        <w:spacing w:after="120"/>
      </w:pPr>
      <w:r>
        <w:rPr>
          <w:b/>
        </w:rPr>
        <w:t>9. ¿Qué debilidades encontraría un comité?</w:t>
      </w:r>
      <w:r>
        <w:t xml:space="preserve"> → §8, completa.</w:t>
      </w:r>
    </w:p>
    <w:p>
      <w:pPr>
        <w:spacing w:after="120"/>
      </w:pPr>
      <w:r>
        <w:rPr>
          <w:b/>
        </w:rPr>
        <w:t>10. ¿Cómo demostrar trayectoria?</w:t>
      </w:r>
      <w:r>
        <w:t xml:space="preserve"> → §9. Es nuestro punto más fuerte.</w:t>
      </w:r>
    </w:p>
    <w:p>
      <w:pPr>
        <w:spacing w:before="40" w:after="120"/>
        <w:pBdr>
          <w:bottom w:val="single" w:sz="6" w:color="BBBBBB"/>
        </w:pBdr>
      </w:pPr>
    </w:p>
    <w:p>
      <w:pPr>
        <w:pStyle w:val="Heading2"/>
      </w:pPr>
      <w:r>
        <w:rPr>
          <w:color w:val="1B4D3E"/>
        </w:rPr>
        <w:t>7. Lo que falta y hay que construir en 13 días</w:t>
      </w:r>
    </w:p>
    <w:p>
      <w:pPr>
        <w:pStyle w:val="Heading3"/>
      </w:pPr>
      <w:r>
        <w:rPr>
          <w:color w:val="1B4D3E"/>
        </w:rPr>
        <w:t>7.1 El componente artístico (no es adorno: es encaje con la identidad de FMA)</w:t>
      </w:r>
    </w:p>
    <w:p>
      <w:pPr>
        <w:spacing w:after="120"/>
      </w:pPr>
      <w:r>
        <w:t xml:space="preserve">FMA se define como una fundación que </w:t>
      </w:r>
      <w:r>
        <w:rPr>
          <w:b/>
        </w:rPr>
        <w:t>vincula arte y ciencia</w:t>
      </w:r>
      <w:r>
        <w:t>. Un proyecto sin arte compite en desventaja. Opciones de bajo costo y alta coherencia:</w:t>
      </w:r>
    </w:p>
    <w:p>
      <w:pPr>
        <w:pStyle w:val="ListBullet"/>
      </w:pPr>
      <w:r>
        <w:rPr>
          <w:b/>
        </w:rPr>
        <w:t>Herbario ilustrado escolar</w:t>
      </w:r>
      <w:r>
        <w:t xml:space="preserve"> — dibujo científico de hojas, cortezas y frutos. Es método científico </w:t>
      </w:r>
      <w:r>
        <w:rPr>
          <w:i/>
        </w:rPr>
        <w:t>y</w:t>
      </w:r>
      <w:r>
        <w:t xml:space="preserve"> arte, alimenta la Temática 6 (colecciones biológicas) y genera un objeto tangible.</w:t>
      </w:r>
    </w:p>
    <w:p>
      <w:pPr>
        <w:pStyle w:val="ListBullet"/>
      </w:pPr>
      <w:r>
        <w:rPr>
          <w:b/>
        </w:rPr>
        <w:t>Registro sonoro del arbolado</w:t>
      </w:r>
      <w:r>
        <w:t xml:space="preserve"> — grabar el paisaje sonoro de aves en árboles de distinto tamaño. Es dato ecológico real (bioacústica) y material artístico.</w:t>
      </w:r>
    </w:p>
    <w:p>
      <w:pPr>
        <w:pStyle w:val="ListBullet"/>
      </w:pPr>
      <w:r>
        <w:rPr>
          <w:b/>
        </w:rPr>
        <w:t>Cartografía dibujada del barrio</w:t>
      </w:r>
      <w:r>
        <w:t xml:space="preserve"> por los estudiantes, contrastada con nuestro mapa satelital. La comparación entre el mapa vivido y el mapa medido es potente.</w:t>
      </w:r>
    </w:p>
    <w:p>
      <w:pPr>
        <w:spacing w:after="120"/>
      </w:pPr>
      <w:r>
        <w:t xml:space="preserve">Recomiendo el </w:t>
      </w:r>
      <w:r>
        <w:rPr>
          <w:b/>
        </w:rPr>
        <w:t>herbario ilustrado</w:t>
      </w:r>
      <w:r>
        <w:t>: es el que mejor combina colección biológica + arte + trabajo escolar sostenido.</w:t>
      </w:r>
    </w:p>
    <w:p>
      <w:pPr>
        <w:pStyle w:val="Heading3"/>
      </w:pPr>
      <w:r>
        <w:rPr>
          <w:color w:val="1B4D3E"/>
        </w:rPr>
        <w:t>7.2 Cartas de apoyo — empezar hoy</w:t>
      </w:r>
    </w:p>
    <w:p>
      <w:pPr>
        <w:spacing w:after="120"/>
      </w:pPr>
      <w:r>
        <w:t xml:space="preserve">Sin al menos </w:t>
      </w:r>
      <w:r>
        <w:rPr>
          <w:b/>
        </w:rPr>
        <w:t>dos escuelas públicas comprometidas por escrito</w:t>
      </w:r>
      <w:r>
        <w:t>, la propuesta es una intención. Es lo primero que pediría un evaluador y lo que más tiempo toma conseguir. Prioridad máxima.</w:t>
      </w:r>
    </w:p>
    <w:p>
      <w:pPr>
        <w:spacing w:after="120"/>
      </w:pPr>
      <w:r>
        <w:t xml:space="preserve">Ideal, además: una carta de la </w:t>
      </w:r>
      <w:r>
        <w:rPr>
          <w:b/>
        </w:rPr>
        <w:t>UFRO</w:t>
      </w:r>
      <w:r>
        <w:t xml:space="preserve"> (el Dr. Rodrigo Vargas trabajó el arbolado patrimonial de Temuco) y una de una </w:t>
      </w:r>
      <w:r>
        <w:rPr>
          <w:b/>
        </w:rPr>
        <w:t>junta de vecinos</w:t>
      </w:r>
      <w:r>
        <w:t xml:space="preserve"> o comunidad mapuche urbana.</w:t>
      </w:r>
    </w:p>
    <w:p>
      <w:pPr>
        <w:pStyle w:val="Heading3"/>
      </w:pPr>
      <w:r>
        <w:rPr>
          <w:color w:val="1B4D3E"/>
        </w:rPr>
        <w:t>7.3 Diseño de muestreo (esto convierte "catastro" en "ciencia")</w:t>
      </w:r>
    </w:p>
    <w:p>
      <w:pPr>
        <w:spacing w:after="120"/>
      </w:pPr>
      <w:r>
        <w:t>No se puede catastrar Temuco entero, y proponerlo se lee como ingenuidad. Propuesta:</w:t>
      </w:r>
    </w:p>
    <w:p>
      <w:pPr>
        <w:pStyle w:val="ListBullet"/>
      </w:pPr>
      <w:r>
        <w:rPr>
          <w:b/>
        </w:rPr>
        <w:t>4 a 6 escuelas</w:t>
      </w:r>
      <w:r>
        <w:t xml:space="preserve"> seleccionadas </w:t>
      </w:r>
      <w:r>
        <w:rPr>
          <w:b/>
        </w:rPr>
        <w:t>estratificadas por nuestro índice de equidad</w:t>
      </w:r>
      <w:r>
        <w:t xml:space="preserve">: dos en unidades vecinales de alta prioridad (dosel ~3%) y dos en unidades de buena cobertura. </w:t>
      </w:r>
      <w:r>
        <w:rPr>
          <w:b/>
        </w:rPr>
        <w:t>La estratificación por un índice previo propio es un argumento de solidez metodológica fuerte</w:t>
      </w:r>
      <w:r>
        <w:t xml:space="preserve"> — muestra que hay trabajo anterior que informa el diseño.</w:t>
      </w:r>
    </w:p>
    <w:p>
      <w:pPr>
        <w:pStyle w:val="ListBullet"/>
      </w:pPr>
      <w:r>
        <w:rPr>
          <w:b/>
        </w:rPr>
        <w:t>Radio de 500 m</w:t>
      </w:r>
      <w:r>
        <w:t xml:space="preserve"> alrededor de cada escuela (el barrio caminable de los estudiantes).</w:t>
      </w:r>
    </w:p>
    <w:p>
      <w:pPr>
        <w:pStyle w:val="ListBullet"/>
      </w:pPr>
      <w:r>
        <w:rPr>
          <w:b/>
        </w:rPr>
        <w:t>Meta realista:</w:t>
      </w:r>
      <w:r>
        <w:t xml:space="preserve"> 40–60 árboles medidos por escuela = </w:t>
      </w:r>
      <w:r>
        <w:rPr>
          <w:b/>
        </w:rPr>
        <w:t>200–350 árboles</w:t>
      </w:r>
      <w:r>
        <w:t xml:space="preserve"> con ficha completa y biodiversidad asociada. Es una muestra respetable y es alcanzable.</w:t>
      </w:r>
    </w:p>
    <w:p>
      <w:pPr>
        <w:pStyle w:val="ListBullet"/>
      </w:pPr>
      <w:r>
        <w:rPr>
          <w:b/>
        </w:rPr>
        <w:t>Esfuerzo estandarizado</w:t>
      </w:r>
      <w:r>
        <w:t xml:space="preserve"> de observación de biodiversidad por árbol, para que los datos sean comparables entre escuelas.</w:t>
      </w:r>
    </w:p>
    <w:p>
      <w:pPr>
        <w:spacing w:before="40" w:after="120"/>
        <w:pBdr>
          <w:bottom w:val="single" w:sz="6" w:color="BBBBBB"/>
        </w:pBdr>
      </w:pPr>
    </w:p>
    <w:p>
      <w:pPr>
        <w:pStyle w:val="Heading2"/>
      </w:pPr>
      <w:r>
        <w:rPr>
          <w:color w:val="1B4D3E"/>
        </w:rPr>
        <w:t>8. Debilidades que encontraría un comité evaluador</w:t>
      </w:r>
    </w:p>
    <w:p>
      <w:pPr>
        <w:spacing w:after="120"/>
      </w:pPr>
      <w:r>
        <w:t>Ordenadas por gravedad. Las tres primeras pueden hundir la postulación.</w:t>
      </w:r>
    </w:p>
    <w:p>
      <w:pPr>
        <w:spacing w:after="120"/>
      </w:pPr>
      <w:r>
        <w:rPr>
          <w:b/>
        </w:rPr>
        <w:t>1. ~~"Esto es un proyecto urbano en un fondo de conservación de naturaleza."~~ — RESUELTO por la organización (12-08-2026)</w:t>
      </w:r>
    </w:p>
    <w:p>
      <w:pPr>
        <w:spacing w:after="120"/>
      </w:pPr>
      <w:r>
        <w:t>Era la objeción principal. La Jornada de Orientación del 11 de agosto la respondió dos veces:</w:t>
      </w:r>
    </w:p>
    <w:p>
      <w:pPr>
        <w:spacing w:after="120"/>
      </w:pPr>
      <w:r>
        <w:rPr>
          <w:b/>
        </w:rPr>
        <w:t>Q32</w:t>
      </w:r>
      <w:r>
        <w:t xml:space="preserve"> (aves urbanas) y </w:t>
      </w:r>
      <w:r>
        <w:rPr>
          <w:b/>
        </w:rPr>
        <w:t>Q24</w:t>
      </w:r>
      <w:r>
        <w:t xml:space="preserve"> (proyecto urbano de flora nativa) confirman que *"lo urbano no está</w:t>
      </w:r>
    </w:p>
    <w:p>
      <w:pPr>
        <w:spacing w:after="120"/>
      </w:pPr>
      <w:r>
        <w:t>excluido ni acotado a zonas rurales o naturales"* y que encaja en la temática 1.</w:t>
      </w:r>
    </w:p>
    <w:p>
      <w:pPr>
        <w:spacing w:after="120"/>
      </w:pPr>
      <w:r>
        <w:t xml:space="preserve">Lo que </w:t>
      </w:r>
      <w:r>
        <w:rPr>
          <w:b/>
        </w:rPr>
        <w:t>sí</w:t>
      </w:r>
      <w:r>
        <w:t xml:space="preserve"> sigue siendo nuestra carga: demostrar la </w:t>
      </w:r>
      <w:r>
        <w:rPr>
          <w:b/>
        </w:rPr>
        <w:t>subrepresentación</w:t>
      </w:r>
      <w:r>
        <w:t xml:space="preserve"> con datos, y que el</w:t>
      </w:r>
    </w:p>
    <w:p>
      <w:pPr>
        <w:spacing w:after="120"/>
      </w:pPr>
      <w:r>
        <w:t xml:space="preserve">proyecto se lea como conservación y monitoreo. Ver </w:t>
      </w:r>
      <w:r>
        <w:rPr>
          <w:rFonts w:ascii="Consolas" w:hAnsi="Consolas"/>
          <w:sz w:val="19"/>
        </w:rPr>
        <w:t>FMA_2026_REVISION_TRAS_JORNADA.md</w:t>
      </w:r>
      <w:r>
        <w:t xml:space="preserve"> §1-2.</w:t>
      </w:r>
    </w:p>
    <w:p>
      <w:pPr>
        <w:spacing w:after="120"/>
      </w:pPr>
      <w:r>
        <w:rPr>
          <w:b/>
        </w:rPr>
        <w:t>2. "El equipo no tiene competencias en biodiversidad ni en educación."</w:t>
      </w:r>
    </w:p>
    <w:p>
      <w:pPr>
        <w:spacing w:after="120"/>
      </w:pPr>
      <w:r>
        <w:t xml:space="preserve">El Observatorio hoy acredita teledetección y análisis de datos. </w:t>
      </w:r>
      <w:r>
        <w:rPr>
          <w:b/>
        </w:rPr>
        <w:t>No acredita</w:t>
      </w:r>
      <w:r>
        <w:t xml:space="preserve"> taxonomía, ecología ni pedagogía. Mitigación: incorporar al equipo —con nombre y CV— a alguien de biología y a un/a docente. Si no, la propuesta promete lo que no puede ejecutar.</w:t>
      </w:r>
    </w:p>
    <w:p>
      <w:pPr>
        <w:spacing w:after="120"/>
      </w:pPr>
      <w:r>
        <w:rPr>
          <w:b/>
        </w:rPr>
        <w:t>3. "En 9 meses no se puede monitorear nada."</w:t>
      </w:r>
    </w:p>
    <w:p>
      <w:pPr>
        <w:spacing w:after="120"/>
      </w:pPr>
      <w:r>
        <w:t xml:space="preserve">Correcta, y hay que adelantarse: el proyecto </w:t>
      </w:r>
      <w:r>
        <w:rPr>
          <w:b/>
        </w:rPr>
        <w:t>instala</w:t>
      </w:r>
      <w:r>
        <w:t xml:space="preserve"> el sistema y levanta la </w:t>
      </w:r>
      <w:r>
        <w:rPr>
          <w:b/>
        </w:rPr>
        <w:t>línea base</w:t>
      </w:r>
      <w:r>
        <w:t>; la serie temporal es la proyección a largo plazo que las bases piden.</w:t>
      </w:r>
    </w:p>
    <w:p>
      <w:pPr>
        <w:spacing w:after="120"/>
      </w:pPr>
      <w:r>
        <w:rPr>
          <w:b/>
        </w:rPr>
        <w:t>4. "Los datos de escolares no tienen calidad científica."</w:t>
      </w:r>
    </w:p>
    <w:p>
      <w:pPr>
        <w:spacing w:after="120"/>
      </w:pPr>
      <w:r>
        <w:t xml:space="preserve">Mitigación: protocolo escrito, capacitación, </w:t>
      </w:r>
      <w:r>
        <w:rPr>
          <w:b/>
        </w:rPr>
        <w:t>submuestra de control medida por un técnico</w:t>
      </w:r>
      <w:r>
        <w:t xml:space="preserve"> para estimar el error de los datos ciudadanos. Ese contraste —cuánto se equivocan los estudiantes— es un </w:t>
      </w:r>
      <w:r>
        <w:rPr>
          <w:b/>
        </w:rPr>
        <w:t>resultado metodológico publicable por sí mismo</w:t>
      </w:r>
      <w:r>
        <w:t xml:space="preserve"> y convierte una debilidad en aporte.</w:t>
      </w:r>
    </w:p>
    <w:p>
      <w:pPr>
        <w:spacing w:after="120"/>
      </w:pPr>
      <w:r>
        <w:rPr>
          <w:b/>
        </w:rPr>
        <w:t>5. "¿Qué se conserva concretamente?"</w:t>
      </w:r>
    </w:p>
    <w:p>
      <w:pPr>
        <w:spacing w:after="120"/>
      </w:pPr>
      <w:r>
        <w:t>Los expedientes del Art. 9 son la mejor respuesta: protección legal efectiva de ejemplares, no sensibilización difusa.</w:t>
      </w:r>
    </w:p>
    <w:p>
      <w:pPr>
        <w:spacing w:after="120"/>
      </w:pPr>
      <w:r>
        <w:rPr>
          <w:b/>
        </w:rPr>
        <w:t>6. "El presupuesto no cierra."</w:t>
      </w:r>
    </w:p>
    <w:p>
      <w:pPr>
        <w:spacing w:after="120"/>
      </w:pPr>
      <w:r>
        <w:t xml:space="preserve">$6.000.000 para 4-6 escuelas en 9 meses es ajustado. Hay que priorizar: honorarios de quien hace terreno y talleres, materiales de medición, movilización. Las FAQ recomiendan </w:t>
      </w:r>
      <w:r>
        <w:rPr>
          <w:b/>
        </w:rPr>
        <w:t>no destinar todo a honorarios</w:t>
      </w:r>
      <w:r>
        <w:t>.</w:t>
      </w:r>
    </w:p>
    <w:p>
      <w:pPr>
        <w:spacing w:after="120"/>
      </w:pPr>
      <w:r>
        <w:rPr>
          <w:b/>
        </w:rPr>
        <w:t>7. "Se solapa con iNaturalist / con el municipio."</w:t>
      </w:r>
      <w:r>
        <w:t xml:space="preserve"> → §5 y el Art. 28 (el municipio debe tener esta plataforma y no la tiene).</w:t>
      </w:r>
    </w:p>
    <w:p>
      <w:pPr>
        <w:spacing w:after="120"/>
      </w:pPr>
      <w:r>
        <w:rPr>
          <w:b/>
        </w:rPr>
        <w:t>8. "Es una plataforma que busca financiamiento."</w:t>
      </w:r>
    </w:p>
    <w:p>
      <w:pPr>
        <w:spacing w:after="120"/>
      </w:pPr>
      <w:r>
        <w:t xml:space="preserve">Riesgo real por cómo se ve hoy el sitio. Mitigación: la plataforma </w:t>
      </w:r>
      <w:r>
        <w:rPr>
          <w:b/>
        </w:rPr>
        <w:t>ya existe y está financiada</w:t>
      </w:r>
      <w:r>
        <w:t xml:space="preserve"> (costo cero, GitHub Pages). No se pide plata para construirla. Eso la convierte de debilidad en activo.</w:t>
      </w:r>
    </w:p>
    <w:p>
      <w:pPr>
        <w:spacing w:before="40" w:after="120"/>
        <w:pBdr>
          <w:bottom w:val="single" w:sz="6" w:color="BBBBBB"/>
        </w:pBdr>
      </w:pPr>
    </w:p>
    <w:p>
      <w:pPr>
        <w:pStyle w:val="Heading2"/>
      </w:pPr>
      <w:r>
        <w:rPr>
          <w:color w:val="1B4D3E"/>
        </w:rPr>
        <w:t>9. Trayectoria: nuestro punto más fuerte</w:t>
      </w:r>
    </w:p>
    <w:p>
      <w:pPr>
        <w:spacing w:after="120"/>
      </w:pPr>
      <w:r>
        <w:t xml:space="preserve">Las bases excluyen "proyectos en etapa de ideas" y las FAQ precisan que la validación puede ser </w:t>
      </w:r>
      <w:r>
        <w:rPr>
          <w:b/>
        </w:rPr>
        <w:t>un piloto, trabajo previo con la comunidad u otros antecedentes de factibilidad</w:t>
      </w:r>
      <w:r>
        <w:t>. Lo que podemos acreditar, todo verificable en línea:</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Evidencia</w:t>
            </w:r>
          </w:p>
        </w:tc>
        <w:tc>
          <w:tcPr>
            <w:tcW w:type="dxa" w:w="4320"/>
            <w:shd w:val="clear" w:fill="E8F0E4"/>
          </w:tcPr>
          <w:p>
            <w:r>
              <w:rPr>
                <w:b/>
                <w:sz w:val="19"/>
              </w:rPr>
            </w:r>
            <w:r>
              <w:rPr>
                <w:b/>
                <w:sz w:val="19"/>
              </w:rPr>
              <w:t>Verificable en</w:t>
            </w:r>
          </w:p>
        </w:tc>
      </w:tr>
      <w:tr>
        <w:tc>
          <w:tcPr>
            <w:tcW w:type="dxa" w:w="4320"/>
          </w:tcPr>
          <w:p>
            <w:r>
              <w:rPr>
                <w:sz w:val="19"/>
              </w:rPr>
            </w:r>
            <w:r>
              <w:rPr>
                <w:sz w:val="19"/>
              </w:rPr>
              <w:t>Sitio público operativo con análisis satelital 2005–2024</w:t>
            </w:r>
          </w:p>
        </w:tc>
        <w:tc>
          <w:tcPr>
            <w:tcW w:type="dxa" w:w="4320"/>
          </w:tcPr>
          <w:p>
            <w:r>
              <w:rPr>
                <w:sz w:val="19"/>
              </w:rPr>
            </w:r>
            <w:r>
              <w:rPr>
                <w:sz w:val="19"/>
              </w:rPr>
              <w:t>daniaros18-glitch.github.io/arboles</w:t>
            </w:r>
          </w:p>
        </w:tc>
      </w:tr>
      <w:tr>
        <w:tc>
          <w:tcPr>
            <w:tcW w:type="dxa" w:w="4320"/>
          </w:tcPr>
          <w:p>
            <w:r>
              <w:rPr>
                <w:sz w:val="19"/>
              </w:rPr>
            </w:r>
            <w:r>
              <w:rPr>
                <w:b/>
                <w:sz w:val="19"/>
              </w:rPr>
              <w:t>Resultado propio ya producido</w:t>
            </w:r>
            <w:r>
              <w:rPr>
                <w:sz w:val="19"/>
              </w:rPr>
              <w:t>: 4,2× más pérdida de verde dentro de loteos, cruzando 344 loteos oficiales</w:t>
            </w:r>
          </w:p>
        </w:tc>
        <w:tc>
          <w:tcPr>
            <w:tcW w:type="dxa" w:w="4320"/>
          </w:tcPr>
          <w:p>
            <w:r>
              <w:rPr>
                <w:sz w:val="19"/>
              </w:rPr>
            </w:r>
            <w:r>
              <w:rPr>
                <w:sz w:val="19"/>
              </w:rPr>
              <w:t>Sección "Por qué se pierde" del sitio</w:t>
            </w:r>
          </w:p>
        </w:tc>
      </w:tr>
      <w:tr>
        <w:tc>
          <w:tcPr>
            <w:tcW w:type="dxa" w:w="4320"/>
          </w:tcPr>
          <w:p>
            <w:r>
              <w:rPr>
                <w:sz w:val="19"/>
              </w:rPr>
            </w:r>
            <w:r>
              <w:rPr>
                <w:b/>
                <w:sz w:val="19"/>
              </w:rPr>
              <w:t>Medición térmica propia</w:t>
            </w:r>
            <w:r>
              <w:rPr>
                <w:sz w:val="19"/>
              </w:rPr>
              <w:t>: +1,4 °C donde se perdió el dosel</w:t>
            </w:r>
          </w:p>
        </w:tc>
        <w:tc>
          <w:tcPr>
            <w:tcW w:type="dxa" w:w="4320"/>
          </w:tcPr>
          <w:p>
            <w:r>
              <w:rPr>
                <w:sz w:val="19"/>
              </w:rPr>
            </w:r>
            <w:r>
              <w:rPr>
                <w:sz w:val="19"/>
              </w:rPr>
              <w:t>Sección "El costo en calor"</w:t>
            </w:r>
          </w:p>
        </w:tc>
      </w:tr>
      <w:tr>
        <w:tc>
          <w:tcPr>
            <w:tcW w:type="dxa" w:w="4320"/>
          </w:tcPr>
          <w:p>
            <w:r>
              <w:rPr>
                <w:sz w:val="19"/>
              </w:rPr>
            </w:r>
            <w:r>
              <w:rPr>
                <w:b/>
                <w:sz w:val="19"/>
              </w:rPr>
              <w:t>Índice de equidad por unidad vecinal</w:t>
            </w:r>
            <w:r>
              <w:rPr>
                <w:sz w:val="19"/>
              </w:rPr>
              <w:t xml:space="preserve"> (36 UV, Censo 2024) — que además </w:t>
            </w:r>
            <w:r>
              <w:rPr>
                <w:b/>
                <w:sz w:val="19"/>
              </w:rPr>
              <w:t>fundamenta el diseño de muestreo</w:t>
            </w:r>
            <w:r>
              <w:rPr>
                <w:sz w:val="19"/>
              </w:rPr>
              <w:t xml:space="preserve"> de esta propuesta</w:t>
            </w:r>
          </w:p>
        </w:tc>
        <w:tc>
          <w:tcPr>
            <w:tcW w:type="dxa" w:w="4320"/>
          </w:tcPr>
          <w:p>
            <w:r>
              <w:rPr>
                <w:sz w:val="19"/>
              </w:rPr>
            </w:r>
            <w:r>
              <w:rPr>
                <w:sz w:val="19"/>
              </w:rPr>
              <w:t>Sección "Justicia ambiental"</w:t>
            </w:r>
          </w:p>
        </w:tc>
      </w:tr>
      <w:tr>
        <w:tc>
          <w:tcPr>
            <w:tcW w:type="dxa" w:w="4320"/>
          </w:tcPr>
          <w:p>
            <w:r>
              <w:rPr>
                <w:sz w:val="19"/>
              </w:rPr>
            </w:r>
            <w:r>
              <w:rPr>
                <w:b/>
                <w:sz w:val="19"/>
              </w:rPr>
              <w:t>Sistema de registro ciudadano funcionando</w:t>
            </w:r>
            <w:r>
              <w:rPr>
                <w:sz w:val="19"/>
              </w:rPr>
              <w:t>, con denuncias reales recibidas y moderadas</w:t>
            </w:r>
          </w:p>
        </w:tc>
        <w:tc>
          <w:tcPr>
            <w:tcW w:type="dxa" w:w="4320"/>
          </w:tcPr>
          <w:p>
            <w:r>
              <w:rPr>
                <w:sz w:val="19"/>
              </w:rPr>
            </w:r>
            <w:r>
              <w:rPr>
                <w:sz w:val="19"/>
              </w:rPr>
              <w:t>Formulario y mapa públicos</w:t>
            </w:r>
          </w:p>
        </w:tc>
      </w:tr>
      <w:tr>
        <w:tc>
          <w:tcPr>
            <w:tcW w:type="dxa" w:w="4320"/>
          </w:tcPr>
          <w:p>
            <w:r>
              <w:rPr>
                <w:sz w:val="19"/>
              </w:rPr>
            </w:r>
            <w:r>
              <w:rPr>
                <w:sz w:val="19"/>
              </w:rPr>
              <w:t>Investigación normativa: OCR y análisis de la Ordenanza 004/2021</w:t>
            </w:r>
          </w:p>
        </w:tc>
        <w:tc>
          <w:tcPr>
            <w:tcW w:type="dxa" w:w="4320"/>
          </w:tcPr>
          <w:p>
            <w:r>
              <w:rPr>
                <w:sz w:val="19"/>
              </w:rPr>
            </w:r>
            <w:r>
              <w:rPr>
                <w:rFonts w:ascii="Consolas" w:hAnsi="Consolas"/>
                <w:sz w:val="19"/>
              </w:rPr>
              <w:t>investigacion/regulacion/</w:t>
            </w:r>
          </w:p>
        </w:tc>
      </w:tr>
      <w:tr>
        <w:tc>
          <w:tcPr>
            <w:tcW w:type="dxa" w:w="4320"/>
          </w:tcPr>
          <w:p>
            <w:r>
              <w:rPr>
                <w:sz w:val="19"/>
              </w:rPr>
            </w:r>
            <w:r>
              <w:rPr>
                <w:sz w:val="19"/>
              </w:rPr>
              <w:t>Revisión bibliográfica con citas verificadas contra Crossref</w:t>
            </w:r>
          </w:p>
        </w:tc>
        <w:tc>
          <w:tcPr>
            <w:tcW w:type="dxa" w:w="4320"/>
          </w:tcPr>
          <w:p>
            <w:r>
              <w:rPr>
                <w:sz w:val="19"/>
              </w:rPr>
            </w:r>
            <w:r>
              <w:rPr>
                <w:rFonts w:ascii="Consolas" w:hAnsi="Consolas"/>
                <w:sz w:val="19"/>
              </w:rPr>
              <w:t>investigacion/SERVICIOS_ECOSISTEMICOS_E_INDICE.md</w:t>
            </w:r>
          </w:p>
        </w:tc>
      </w:tr>
      <w:tr>
        <w:tc>
          <w:tcPr>
            <w:tcW w:type="dxa" w:w="4320"/>
          </w:tcPr>
          <w:p>
            <w:r>
              <w:rPr>
                <w:sz w:val="19"/>
              </w:rPr>
            </w:r>
            <w:r>
              <w:rPr>
                <w:sz w:val="19"/>
              </w:rPr>
              <w:t>Código y datos abiertos, reproducibles</w:t>
            </w:r>
          </w:p>
        </w:tc>
        <w:tc>
          <w:tcPr>
            <w:tcW w:type="dxa" w:w="4320"/>
          </w:tcPr>
          <w:p>
            <w:r>
              <w:rPr>
                <w:sz w:val="19"/>
              </w:rPr>
            </w:r>
            <w:r>
              <w:rPr>
                <w:sz w:val="19"/>
              </w:rPr>
              <w:t>Repositorio público</w:t>
            </w:r>
          </w:p>
        </w:tc>
      </w:tr>
    </w:tbl>
    <w:p/>
    <w:p>
      <w:pPr>
        <w:spacing w:after="120"/>
      </w:pPr>
      <w:r>
        <w:rPr>
          <w:b/>
        </w:rPr>
        <w:t>Cómo usarlo:</w:t>
      </w:r>
      <w:r>
        <w:t xml:space="preserve"> no como lista de logros, sino como </w:t>
      </w:r>
      <w:r>
        <w:rPr>
          <w:b/>
        </w:rPr>
        <w:t>argumento de que el diseño de esta propuesta se apoya en datos propios</w:t>
      </w:r>
      <w:r>
        <w:t>. Que el muestreo se estratifique con un índice que ya construimos es la prueba más elegante de que no partimos de cero.</w:t>
      </w:r>
    </w:p>
    <w:p>
      <w:pPr>
        <w:spacing w:after="120"/>
      </w:pPr>
      <w:r>
        <w:t xml:space="preserve">⚠️ </w:t>
      </w:r>
      <w:r>
        <w:rPr>
          <w:b/>
        </w:rPr>
        <w:t>Honestidad obligatoria:</w:t>
      </w:r>
      <w:r>
        <w:t xml:space="preserve"> lo que </w:t>
      </w:r>
      <w:r>
        <w:rPr>
          <w:b/>
        </w:rPr>
        <w:t>no</w:t>
      </w:r>
      <w:r>
        <w:t xml:space="preserve"> tenemos es trabajo previo con escuelas. Las bases piden "trayectoria previa en el territorio </w:t>
      </w:r>
      <w:r>
        <w:rPr>
          <w:b/>
        </w:rPr>
        <w:t>y/o</w:t>
      </w:r>
      <w:r>
        <w:t xml:space="preserve"> con comunidades locales" — el "y/o" nos salva, porque trayectoria en el territorio sí tenemos. Pero si hay tiempo de hacer </w:t>
      </w:r>
      <w:r>
        <w:rPr>
          <w:b/>
        </w:rPr>
        <w:t>una actividad piloto con una escuela antes del 24 de agosto</w:t>
      </w:r>
      <w:r>
        <w:t>, aunque sea una sola salida a terreno con un curso, eso vale más que cualquier párrafo.</w:t>
      </w:r>
    </w:p>
    <w:p>
      <w:pPr>
        <w:spacing w:before="40" w:after="120"/>
        <w:pBdr>
          <w:bottom w:val="single" w:sz="6" w:color="BBBBBB"/>
        </w:pBdr>
      </w:pPr>
    </w:p>
    <w:p>
      <w:pPr>
        <w:pStyle w:val="Heading2"/>
      </w:pPr>
      <w:r>
        <w:rPr>
          <w:color w:val="1B4D3E"/>
        </w:rPr>
        <w:t>10. Qué cambiaría, en concreto</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Del proyecto actual</w:t>
            </w:r>
          </w:p>
        </w:tc>
        <w:tc>
          <w:tcPr>
            <w:tcW w:type="dxa" w:w="4320"/>
            <w:shd w:val="clear" w:fill="E8F0E4"/>
          </w:tcPr>
          <w:p>
            <w:r>
              <w:rPr>
                <w:b/>
                <w:sz w:val="19"/>
              </w:rPr>
            </w:r>
            <w:r>
              <w:rPr>
                <w:b/>
                <w:sz w:val="19"/>
              </w:rPr>
              <w:t>A la versión FMA</w:t>
            </w:r>
          </w:p>
        </w:tc>
      </w:tr>
      <w:tr>
        <w:tc>
          <w:tcPr>
            <w:tcW w:type="dxa" w:w="4320"/>
          </w:tcPr>
          <w:p>
            <w:r>
              <w:rPr>
                <w:sz w:val="19"/>
              </w:rPr>
            </w:r>
            <w:r>
              <w:rPr>
                <w:sz w:val="19"/>
              </w:rPr>
              <w:t>El árbol como objeto de estudio</w:t>
            </w:r>
          </w:p>
        </w:tc>
        <w:tc>
          <w:tcPr>
            <w:tcW w:type="dxa" w:w="4320"/>
          </w:tcPr>
          <w:p>
            <w:r>
              <w:rPr>
                <w:sz w:val="19"/>
              </w:rPr>
            </w:r>
            <w:r>
              <w:rPr>
                <w:b/>
                <w:sz w:val="19"/>
              </w:rPr>
              <w:t>El árbol como hábitat y unidad de muestreo</w:t>
            </w:r>
          </w:p>
        </w:tc>
      </w:tr>
      <w:tr>
        <w:tc>
          <w:tcPr>
            <w:tcW w:type="dxa" w:w="4320"/>
          </w:tcPr>
          <w:p>
            <w:r>
              <w:rPr>
                <w:sz w:val="19"/>
              </w:rPr>
            </w:r>
            <w:r>
              <w:rPr>
                <w:sz w:val="19"/>
              </w:rPr>
              <w:t>Catastro de la ciudad</w:t>
            </w:r>
          </w:p>
        </w:tc>
        <w:tc>
          <w:tcPr>
            <w:tcW w:type="dxa" w:w="4320"/>
          </w:tcPr>
          <w:p>
            <w:r>
              <w:rPr>
                <w:sz w:val="19"/>
              </w:rPr>
            </w:r>
            <w:r>
              <w:rPr>
                <w:b/>
                <w:sz w:val="19"/>
              </w:rPr>
              <w:t>Muestreo estratificado</w:t>
            </w:r>
            <w:r>
              <w:rPr>
                <w:sz w:val="19"/>
              </w:rPr>
              <w:t xml:space="preserve"> en 4-6 escuelas, con hipótesis</w:t>
            </w:r>
          </w:p>
        </w:tc>
      </w:tr>
      <w:tr>
        <w:tc>
          <w:tcPr>
            <w:tcW w:type="dxa" w:w="4320"/>
          </w:tcPr>
          <w:p>
            <w:r>
              <w:rPr>
                <w:sz w:val="19"/>
              </w:rPr>
            </w:r>
            <w:r>
              <w:rPr>
                <w:sz w:val="19"/>
              </w:rPr>
              <w:t>Carbono como resultado estrella</w:t>
            </w:r>
          </w:p>
        </w:tc>
        <w:tc>
          <w:tcPr>
            <w:tcW w:type="dxa" w:w="4320"/>
          </w:tcPr>
          <w:p>
            <w:r>
              <w:rPr>
                <w:sz w:val="19"/>
              </w:rPr>
            </w:r>
            <w:r>
              <w:rPr>
                <w:b/>
                <w:sz w:val="19"/>
              </w:rPr>
              <w:t>Biodiversidad asociada</w:t>
            </w:r>
            <w:r>
              <w:rPr>
                <w:sz w:val="19"/>
              </w:rPr>
              <w:t xml:space="preserve"> como resultado; carbono como producto secundario con rangos</w:t>
            </w:r>
          </w:p>
        </w:tc>
      </w:tr>
      <w:tr>
        <w:tc>
          <w:tcPr>
            <w:tcW w:type="dxa" w:w="4320"/>
          </w:tcPr>
          <w:p>
            <w:r>
              <w:rPr>
                <w:sz w:val="19"/>
              </w:rPr>
            </w:r>
            <w:r>
              <w:rPr>
                <w:sz w:val="19"/>
              </w:rPr>
              <w:t>Plataforma como protagonista</w:t>
            </w:r>
          </w:p>
        </w:tc>
        <w:tc>
          <w:tcPr>
            <w:tcW w:type="dxa" w:w="4320"/>
          </w:tcPr>
          <w:p>
            <w:r>
              <w:rPr>
                <w:sz w:val="19"/>
              </w:rPr>
            </w:r>
            <w:r>
              <w:rPr>
                <w:sz w:val="19"/>
              </w:rPr>
              <w:t xml:space="preserve">Plataforma como </w:t>
            </w:r>
            <w:r>
              <w:rPr>
                <w:b/>
                <w:sz w:val="19"/>
              </w:rPr>
              <w:t>infraestructura que ya existe y no cuesta</w:t>
            </w:r>
          </w:p>
        </w:tc>
      </w:tr>
      <w:tr>
        <w:tc>
          <w:tcPr>
            <w:tcW w:type="dxa" w:w="4320"/>
          </w:tcPr>
          <w:p>
            <w:r>
              <w:rPr>
                <w:sz w:val="19"/>
              </w:rPr>
            </w:r>
            <w:r>
              <w:rPr>
                <w:sz w:val="19"/>
              </w:rPr>
              <w:t>"Monitoreo en el tiempo"</w:t>
            </w:r>
          </w:p>
        </w:tc>
        <w:tc>
          <w:tcPr>
            <w:tcW w:type="dxa" w:w="4320"/>
          </w:tcPr>
          <w:p>
            <w:r>
              <w:rPr>
                <w:sz w:val="19"/>
              </w:rPr>
            </w:r>
            <w:r>
              <w:rPr>
                <w:b/>
                <w:sz w:val="19"/>
              </w:rPr>
              <w:t>Línea base + protocolo + red instalada</w:t>
            </w:r>
          </w:p>
        </w:tc>
      </w:tr>
      <w:tr>
        <w:tc>
          <w:tcPr>
            <w:tcW w:type="dxa" w:w="4320"/>
          </w:tcPr>
          <w:p>
            <w:r>
              <w:rPr>
                <w:sz w:val="19"/>
              </w:rPr>
            </w:r>
            <w:r>
              <w:rPr>
                <w:sz w:val="19"/>
              </w:rPr>
              <w:t>Ciencia ciudadana como fuente de datos</w:t>
            </w:r>
          </w:p>
        </w:tc>
        <w:tc>
          <w:tcPr>
            <w:tcW w:type="dxa" w:w="4320"/>
          </w:tcPr>
          <w:p>
            <w:r>
              <w:rPr>
                <w:sz w:val="19"/>
              </w:rPr>
            </w:r>
            <w:r>
              <w:rPr>
                <w:sz w:val="19"/>
              </w:rPr>
              <w:t xml:space="preserve">Ciencia ciudadana como </w:t>
            </w:r>
            <w:r>
              <w:rPr>
                <w:b/>
                <w:sz w:val="19"/>
              </w:rPr>
              <w:t>única metodología posible</w:t>
            </w:r>
            <w:r>
              <w:rPr>
                <w:sz w:val="19"/>
              </w:rPr>
              <w:t xml:space="preserve"> para la pregunta</w:t>
            </w:r>
          </w:p>
        </w:tc>
      </w:tr>
      <w:tr>
        <w:tc>
          <w:tcPr>
            <w:tcW w:type="dxa" w:w="4320"/>
          </w:tcPr>
          <w:p>
            <w:r>
              <w:rPr>
                <w:sz w:val="19"/>
              </w:rPr>
            </w:r>
            <w:r>
              <w:rPr>
                <w:sz w:val="19"/>
              </w:rPr>
              <w:t>Difusión en redes sociales</w:t>
            </w:r>
          </w:p>
        </w:tc>
        <w:tc>
          <w:tcPr>
            <w:tcW w:type="dxa" w:w="4320"/>
          </w:tcPr>
          <w:p>
            <w:r>
              <w:rPr>
                <w:sz w:val="19"/>
              </w:rPr>
            </w:r>
            <w:r>
              <w:rPr>
                <w:sz w:val="19"/>
              </w:rPr>
              <w:t xml:space="preserve">❌ </w:t>
            </w:r>
            <w:r>
              <w:rPr>
                <w:b/>
                <w:sz w:val="19"/>
              </w:rPr>
              <w:t>Fuera</w:t>
            </w:r>
            <w:r>
              <w:rPr>
                <w:sz w:val="19"/>
              </w:rPr>
              <w:t xml:space="preserve"> (excluido por bases)</w:t>
            </w:r>
          </w:p>
        </w:tc>
      </w:tr>
      <w:tr>
        <w:tc>
          <w:tcPr>
            <w:tcW w:type="dxa" w:w="4320"/>
          </w:tcPr>
          <w:p>
            <w:r>
              <w:rPr>
                <w:sz w:val="19"/>
              </w:rPr>
            </w:r>
            <w:r>
              <w:rPr>
                <w:sz w:val="19"/>
              </w:rPr>
              <w:t>Oxígeno y captura de contaminantes</w:t>
            </w:r>
          </w:p>
        </w:tc>
        <w:tc>
          <w:tcPr>
            <w:tcW w:type="dxa" w:w="4320"/>
          </w:tcPr>
          <w:p>
            <w:r>
              <w:rPr>
                <w:sz w:val="19"/>
              </w:rPr>
            </w:r>
            <w:r>
              <w:rPr>
                <w:sz w:val="19"/>
              </w:rPr>
              <w:t xml:space="preserve">❌ </w:t>
            </w:r>
            <w:r>
              <w:rPr>
                <w:b/>
                <w:sz w:val="19"/>
              </w:rPr>
              <w:t>Fuera</w:t>
            </w:r>
            <w:r>
              <w:rPr>
                <w:sz w:val="19"/>
              </w:rPr>
              <w:t xml:space="preserve"> (científicamente indefendibles)</w:t>
            </w:r>
          </w:p>
        </w:tc>
      </w:tr>
      <w:tr>
        <w:tc>
          <w:tcPr>
            <w:tcW w:type="dxa" w:w="4320"/>
          </w:tcPr>
          <w:p>
            <w:r>
              <w:rPr>
                <w:sz w:val="19"/>
              </w:rPr>
            </w:r>
            <w:r>
              <w:rPr>
                <w:sz w:val="19"/>
              </w:rPr>
              <w:t>Ciencias naturales + tecnología</w:t>
            </w:r>
          </w:p>
        </w:tc>
        <w:tc>
          <w:tcPr>
            <w:tcW w:type="dxa" w:w="4320"/>
          </w:tcPr>
          <w:p>
            <w:r>
              <w:rPr>
                <w:sz w:val="19"/>
              </w:rPr>
            </w:r>
            <w:r>
              <w:rPr>
                <w:sz w:val="19"/>
              </w:rPr>
              <w:t xml:space="preserve">Ciencias naturales + </w:t>
            </w:r>
            <w:r>
              <w:rPr>
                <w:b/>
                <w:sz w:val="19"/>
              </w:rPr>
              <w:t>educación + ciencias sociales + arte</w:t>
            </w:r>
          </w:p>
        </w:tc>
      </w:tr>
      <w:tr>
        <w:tc>
          <w:tcPr>
            <w:tcW w:type="dxa" w:w="4320"/>
          </w:tcPr>
          <w:p>
            <w:r>
              <w:rPr>
                <w:sz w:val="19"/>
              </w:rPr>
            </w:r>
            <w:r>
              <w:rPr>
                <w:sz w:val="19"/>
              </w:rPr>
              <w:t>Sin componente cultural</w:t>
            </w:r>
          </w:p>
        </w:tc>
        <w:tc>
          <w:tcPr>
            <w:tcW w:type="dxa" w:w="4320"/>
          </w:tcPr>
          <w:p>
            <w:r>
              <w:rPr>
                <w:sz w:val="19"/>
              </w:rPr>
            </w:r>
            <w:r>
              <w:rPr>
                <w:b/>
                <w:sz w:val="19"/>
              </w:rPr>
              <w:t>Nombres y saberes mapuche</w:t>
            </w:r>
            <w:r>
              <w:rPr>
                <w:sz w:val="19"/>
              </w:rPr>
              <w:t xml:space="preserve"> sobre los árboles</w:t>
            </w:r>
          </w:p>
        </w:tc>
      </w:tr>
    </w:tbl>
    <w:p/>
    <w:p>
      <w:pPr>
        <w:spacing w:before="40" w:after="120"/>
        <w:pBdr>
          <w:bottom w:val="single" w:sz="6" w:color="BBBBBB"/>
        </w:pBdr>
      </w:pPr>
    </w:p>
    <w:p>
      <w:pPr>
        <w:pStyle w:val="Heading2"/>
      </w:pPr>
      <w:r>
        <w:rPr>
          <w:color w:val="1B4D3E"/>
        </w:rPr>
        <w:t>11. Antes de escribir: decisiones que tienes que tomar tú</w:t>
      </w:r>
    </w:p>
    <w:p>
      <w:pPr>
        <w:pStyle w:val="ListNumber"/>
      </w:pPr>
      <w:r>
        <w:rPr>
          <w:b/>
        </w:rPr>
        <w:t>¿Quién postula?</w:t>
      </w:r>
      <w:r>
        <w:t xml:space="preserve"> ¿Tú como persona natural, o en alianza con la UFRO / una junta de vecinos? Cambia el tono completo de la propuesta.</w:t>
      </w:r>
    </w:p>
    <w:p>
      <w:pPr>
        <w:pStyle w:val="ListNumber"/>
      </w:pPr>
      <w:r>
        <w:rPr>
          <w:b/>
        </w:rPr>
        <w:t>¿Qué escuelas?</w:t>
      </w:r>
      <w:r>
        <w:t xml:space="preserve"> Hay que tener nombres y contactos esta semana.</w:t>
      </w:r>
    </w:p>
    <w:p>
      <w:pPr>
        <w:pStyle w:val="ListNumber"/>
      </w:pPr>
      <w:r>
        <w:rPr>
          <w:b/>
        </w:rPr>
        <w:t>¿Hay alguien de biología en el equipo?</w:t>
      </w:r>
      <w:r>
        <w:t xml:space="preserve"> Si no, hay que buscarlo. Es la brecha más seria.</w:t>
      </w:r>
    </w:p>
    <w:p>
      <w:pPr>
        <w:pStyle w:val="ListNumber"/>
      </w:pPr>
      <w:r>
        <w:rPr>
          <w:b/>
        </w:rPr>
        <w:t>¿Componente artístico?</w:t>
      </w:r>
      <w:r>
        <w:t xml:space="preserve"> Mi recomendación es el herbario ilustrado.</w:t>
      </w:r>
    </w:p>
    <w:p>
      <w:pPr>
        <w:pStyle w:val="ListNumber"/>
      </w:pPr>
      <w:r>
        <w:rPr>
          <w:b/>
        </w:rPr>
        <w:t>¿Se incluye el eje mapuche?</w:t>
      </w:r>
      <w:r>
        <w:t xml:space="preserve"> Si sí, hay que hacerlo con participación real, no como mención. Si no hay tiempo de hacerlo bien, es más honesto dejarlo fuera.</w:t>
      </w:r>
    </w:p>
    <w:p>
      <w:pPr>
        <w:spacing w:before="40" w:after="120"/>
        <w:pBdr>
          <w:bottom w:val="single" w:sz="6" w:color="BBBBBB"/>
        </w:pBdr>
      </w:pPr>
    </w:p>
    <w:p>
      <w:pPr>
        <w:pStyle w:val="Heading2"/>
      </w:pPr>
      <w:r>
        <w:rPr>
          <w:color w:val="1B4D3E"/>
        </w:rPr>
        <w:t>12. Fuentes</w:t>
      </w:r>
    </w:p>
    <w:p>
      <w:pPr>
        <w:pStyle w:val="ListBullet"/>
      </w:pPr>
      <w:r>
        <w:t>Bases Fondo FMA 2026-2027 (PDF oficial) — descargado, 9 págs., leído íntegro</w:t>
      </w:r>
    </w:p>
    <w:p>
      <w:pPr>
        <w:pStyle w:val="ListBullet"/>
      </w:pPr>
      <w:r>
        <w:t>Preguntas frecuentes Fondo FMA 2026-2027 (PDF oficial) — descargado, leído íntegro</w:t>
      </w:r>
    </w:p>
    <w:p>
      <w:pPr>
        <w:pStyle w:val="ListBullet"/>
      </w:pPr>
      <w:r>
        <w:t>Noticia de convocatoria</w:t>
      </w:r>
    </w:p>
    <w:p>
      <w:pPr>
        <w:pStyle w:val="ListBullet"/>
      </w:pPr>
      <w:r>
        <w:t>Formulario de postulación</w:t>
      </w:r>
    </w:p>
    <w:p>
      <w:pPr>
        <w:pStyle w:val="ListBullet"/>
      </w:pPr>
      <w:r>
        <w:t xml:space="preserve">Base científica propia: </w:t>
      </w:r>
      <w:r>
        <w:rPr>
          <w:rFonts w:ascii="Consolas" w:hAnsi="Consolas"/>
          <w:sz w:val="19"/>
        </w:rPr>
        <w:t>investigacion/SERVICIOS_ECOSISTEMICOS_E_INDICE.md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