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Revisión del diseño a la luz de las respuestas oficiales de la Jornada</w:t>
      </w:r>
    </w:p>
    <w:p>
      <w:pPr>
        <w:spacing w:after="120"/>
      </w:pPr>
      <w:r>
        <w:rPr>
          <w:b/>
        </w:rPr>
        <w:t>Fuente:</w:t>
      </w:r>
      <w:r>
        <w:t xml:space="preserve"> </w:t>
      </w:r>
      <w:r>
        <w:rPr>
          <w:i/>
        </w:rPr>
        <w:t>Fondo FMA 2026-2027 — Preguntas y respuestas, Jornada de Orientación del 11 de agosto de 2026</w:t>
      </w:r>
      <w:r>
        <w:t xml:space="preserve"> (56 respuestas)</w:t>
      </w:r>
    </w:p>
    <w:p>
      <w:pPr>
        <w:spacing w:after="120"/>
      </w:pPr>
      <w:r>
        <w:rPr>
          <w:b/>
        </w:rPr>
        <w:t>Fecha de revisión:</w:t>
      </w:r>
      <w:r>
        <w:t xml:space="preserve"> 12 de agosto de 2026</w:t>
      </w:r>
    </w:p>
    <w:p>
      <w:pPr>
        <w:spacing w:after="120"/>
      </w:pPr>
      <w:r>
        <w:rPr>
          <w:b/>
        </w:rPr>
        <w:t>Documentos revisados:</w:t>
      </w:r>
      <w:r>
        <w:t xml:space="preserve"> </w:t>
      </w:r>
      <w:r>
        <w:rPr>
          <w:rFonts w:ascii="Consolas" w:hAnsi="Consolas"/>
          <w:sz w:val="19"/>
        </w:rPr>
        <w:t>FMA_2026_ESTRUCTURA_CONCEPTUAL.md</w:t>
      </w:r>
      <w:r>
        <w:t xml:space="preserve"> · </w:t>
      </w:r>
      <w:r>
        <w:rPr>
          <w:rFonts w:ascii="Consolas" w:hAnsi="Consolas"/>
          <w:sz w:val="19"/>
        </w:rPr>
        <w:t>FMA_2026_DISENO_CIENTIFICO.md</w:t>
      </w:r>
      <w:r>
        <w:t xml:space="preserve"> · </w:t>
      </w:r>
      <w:r>
        <w:rPr>
          <w:rFonts w:ascii="Consolas" w:hAnsi="Consolas"/>
          <w:sz w:val="19"/>
        </w:rPr>
        <w:t>FMA_2026_PILOTO.md</w:t>
      </w:r>
    </w:p>
    <w:p>
      <w:pPr>
        <w:ind w:left="432"/>
      </w:pPr>
      <w:r>
        <w:rPr>
          <w:b/>
          <w:i/>
          <w:color w:val="444444"/>
        </w:rPr>
        <w:t>Criterio de esta revisión:</w:t>
      </w:r>
      <w:r>
        <w:rPr>
          <w:i/>
          <w:color w:val="444444"/>
        </w:rPr>
        <w:t xml:space="preserve"> solo se afirma lo que el documento de preguntas y respuestas dice.</w:t>
      </w:r>
    </w:p>
    <w:p>
      <w:pPr>
        <w:ind w:left="432"/>
      </w:pPr>
      <w:r>
        <w:rPr>
          <w:i/>
          <w:color w:val="444444"/>
        </w:rPr>
        <w:t xml:space="preserve">Cuando una respuesta deja algo sin resolver, se marca como </w:t>
      </w:r>
      <w:r>
        <w:rPr>
          <w:b/>
          <w:i/>
          <w:color w:val="444444"/>
        </w:rPr>
        <w:t>no resuelto</w:t>
      </w:r>
      <w:r>
        <w:rPr>
          <w:i/>
          <w:color w:val="444444"/>
        </w:rPr>
        <w:t xml:space="preserve"> en vez de completarlo</w:t>
      </w:r>
    </w:p>
    <w:p>
      <w:pPr>
        <w:ind w:left="432"/>
      </w:pPr>
      <w:r>
        <w:rPr>
          <w:i/>
          <w:color w:val="444444"/>
        </w:rPr>
        <w:t xml:space="preserve">con supuestos. Las referencias </w:t>
      </w:r>
      <w:r>
        <w:rPr>
          <w:rFonts w:ascii="Consolas" w:hAnsi="Consolas"/>
          <w:i/>
          <w:color w:val="444444"/>
          <w:sz w:val="19"/>
        </w:rPr>
        <w:t>Q##</w:t>
      </w:r>
      <w:r>
        <w:rPr>
          <w:i/>
          <w:color w:val="444444"/>
        </w:rPr>
        <w:t xml:space="preserve"> remiten al número de pregunta del documento oficial.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Resumen: tres cambios de peso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creíamos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dice la Jornada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Efecto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"Ser un proyecto urbano en un fondo de naturaleza es nuestro mayor riesgo de encaje"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Q24 y Q32</w:t>
            </w:r>
            <w:r>
              <w:rPr>
                <w:sz w:val="19"/>
              </w:rPr>
              <w:t>: lo urbano no está excluido ni acotado a zonas rurales o naturales; encaja en temática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🟢 </w:t>
            </w:r>
            <w:r>
              <w:rPr>
                <w:b/>
                <w:sz w:val="19"/>
              </w:rPr>
              <w:t>El riesgo N°1 se desactiva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"Hay que ejecutar el piloto antes del 24 de agosto o no acreditamos trayectoria"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Q4 y Q9</w:t>
            </w:r>
            <w:r>
              <w:rPr>
                <w:sz w:val="19"/>
              </w:rPr>
              <w:t xml:space="preserve">: basta piloto </w:t>
            </w:r>
            <w:r>
              <w:rPr>
                <w:b/>
                <w:sz w:val="19"/>
              </w:rPr>
              <w:t>o</w:t>
            </w:r>
            <w:r>
              <w:rPr>
                <w:sz w:val="19"/>
              </w:rPr>
              <w:t xml:space="preserve"> experiencia previa </w:t>
            </w:r>
            <w:r>
              <w:rPr>
                <w:b/>
                <w:sz w:val="19"/>
              </w:rPr>
              <w:t>o</w:t>
            </w:r>
            <w:r>
              <w:rPr>
                <w:sz w:val="19"/>
              </w:rPr>
              <w:t xml:space="preserve"> trabajo con la comunidad; no se exige estar en ejecución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🟢 </w:t>
            </w:r>
            <w:r>
              <w:rPr>
                <w:b/>
                <w:sz w:val="19"/>
              </w:rPr>
              <w:t>Ya cumplimos. El piloto deja de ser urgencia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"Las aves eran opcionales, quizá prescindibles"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Q32</w:t>
            </w:r>
            <w:r>
              <w:rPr>
                <w:sz w:val="19"/>
              </w:rPr>
              <w:t xml:space="preserve"> valida explícitamente un proyecto de </w:t>
            </w:r>
            <w:r>
              <w:rPr>
                <w:b/>
                <w:sz w:val="19"/>
              </w:rPr>
              <w:t>aves urbanas</w:t>
            </w:r>
            <w:r>
              <w:rPr>
                <w:sz w:val="19"/>
              </w:rPr>
              <w:t xml:space="preserve"> en temática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🟢 </w:t>
            </w:r>
            <w:r>
              <w:rPr>
                <w:b/>
                <w:sz w:val="19"/>
              </w:rPr>
              <w:t>Las aves ganan valor estratégico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Ecosistemas urbanos — el punto que más nos afectaba</w:t>
      </w:r>
    </w:p>
    <w:p>
      <w:pPr>
        <w:spacing w:after="120"/>
      </w:pPr>
      <w:r>
        <w:rPr>
          <w:b/>
        </w:rPr>
        <w:t>Lo que dice el documento:</w:t>
      </w:r>
    </w:p>
    <w:p>
      <w:pPr>
        <w:pStyle w:val="ListBullet"/>
      </w:pPr>
      <w:r>
        <w:rPr>
          <w:b/>
        </w:rPr>
        <w:t>Q32</w:t>
      </w:r>
      <w:r>
        <w:t xml:space="preserve"> (ecosistemas urbanos y conservación de aves): *puede enmarcarse en la temática 1, ya que las aves urbanas y ecosistemas urbanos </w:t>
      </w:r>
      <w:r>
        <w:rPr>
          <w:b/>
        </w:rPr>
        <w:t>no están excluidos ni acotados a zonas rurales o naturales</w:t>
      </w:r>
      <w:r>
        <w:t>; lo relevante es la coherencia con los objetivos de conservación y monitoreo.*</w:t>
      </w:r>
    </w:p>
    <w:p>
      <w:pPr>
        <w:pStyle w:val="ListBullet"/>
      </w:pPr>
      <w:r>
        <w:rPr>
          <w:b/>
        </w:rPr>
        <w:t>Q24</w:t>
      </w:r>
      <w:r>
        <w:t xml:space="preserve"> (proyecto urbano de refugios de flora nativa): *puede enmarcarse en la temática 1 o 3. </w:t>
      </w:r>
      <w:r>
        <w:rPr>
          <w:b/>
        </w:rPr>
        <w:t>Lo urbano no está excluido</w:t>
      </w:r>
      <w:r>
        <w:t>, siempre que se implemente en territorio nacional y cumpla los demás requisitos.*</w:t>
      </w:r>
    </w:p>
    <w:p>
      <w:pPr>
        <w:spacing w:after="120"/>
      </w:pPr>
      <w:r>
        <w:rPr>
          <w:b/>
        </w:rPr>
        <w:t>Qué cambia en nuestro diseño:</w:t>
      </w:r>
    </w:p>
    <w:p>
      <w:pPr>
        <w:spacing w:after="120"/>
      </w:pPr>
      <w:r>
        <w:t xml:space="preserve">En </w:t>
      </w:r>
      <w:r>
        <w:rPr>
          <w:rFonts w:ascii="Consolas" w:hAnsi="Consolas"/>
          <w:sz w:val="19"/>
        </w:rPr>
        <w:t>FMA_2026_ESTRUCTURA_CONCEPTUAL.md</w:t>
      </w:r>
      <w:r>
        <w:t xml:space="preserve"> §8 puse como debilidad N°1 </w:t>
      </w:r>
      <w:r>
        <w:rPr>
          <w:i/>
        </w:rPr>
        <w:t>"esto es un proyecto urbano en un fondo de conservación de naturaleza"</w:t>
      </w:r>
      <w:r>
        <w:t xml:space="preserve">, y dije que había que </w:t>
      </w:r>
      <w:r>
        <w:rPr>
          <w:b/>
        </w:rPr>
        <w:t>ganarse</w:t>
      </w:r>
      <w:r>
        <w:t xml:space="preserve"> el argumento de que lo urbano cabe. </w:t>
      </w:r>
      <w:r>
        <w:rPr>
          <w:b/>
        </w:rPr>
        <w:t>Ya no hay que ganárselo: está respondido dos veces, y una de ellas para un caso casi idéntico al nuestro</w:t>
      </w:r>
      <w:r>
        <w:t xml:space="preserve"> (aves urbanas en una comuna de Santiago).</w:t>
      </w:r>
    </w:p>
    <w:p>
      <w:pPr>
        <w:pStyle w:val="ListBullet"/>
      </w:pPr>
      <w:r>
        <w:t xml:space="preserve">✅ </w:t>
      </w:r>
      <w:r>
        <w:rPr>
          <w:b/>
        </w:rPr>
        <w:t>Bajar esa debilidad del primer lugar</w:t>
      </w:r>
      <w:r>
        <w:t xml:space="preserve"> al rango de "riesgo menor, ya aclarado por la organización".</w:t>
      </w:r>
    </w:p>
    <w:p>
      <w:pPr>
        <w:pStyle w:val="ListBullet"/>
      </w:pPr>
      <w:r>
        <w:t xml:space="preserve">✅ </w:t>
      </w:r>
      <w:r>
        <w:rPr>
          <w:b/>
        </w:rPr>
        <w:t>Seguir argumentando la subrepresentación</w:t>
      </w:r>
      <w:r>
        <w:t>, porque eso sí sigue siendo nuestro: el fundamento de la temática 1 es que el ecosistema esté subrepresentado, y eso hay que demostrarlo con datos, no con la mera condición de urbano.</w:t>
      </w:r>
    </w:p>
    <w:p>
      <w:pPr>
        <w:pStyle w:val="ListBullet"/>
      </w:pPr>
      <w:r>
        <w:t xml:space="preserve">⚠️ </w:t>
      </w:r>
      <w:r>
        <w:rPr>
          <w:b/>
        </w:rPr>
        <w:t>Lo que la respuesta condiciona:</w:t>
      </w:r>
      <w:r>
        <w:t xml:space="preserve"> </w:t>
      </w:r>
      <w:r>
        <w:rPr>
          <w:i/>
        </w:rPr>
        <w:t>"lo relevante es la coherencia con los objetivos de conservación y monitoreo"</w:t>
      </w:r>
      <w:r>
        <w:t xml:space="preserve">. O sea: lo urbano entra, pero el proyecto igual tiene que leerse como conservación y monitoreo, no como gestión municipal ni como plataforma. </w:t>
      </w:r>
      <w:r>
        <w:rPr>
          <w:b/>
        </w:rPr>
        <w:t>El giro que ya decidimos —el árbol como hábitat— sigue siendo indispensable.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Monitoreo de biodiversidad subrepresentada</w:t>
      </w:r>
    </w:p>
    <w:p>
      <w:pPr>
        <w:spacing w:after="120"/>
      </w:pPr>
      <w:r>
        <w:rPr>
          <w:b/>
        </w:rPr>
        <w:t>Lo que dice:</w:t>
      </w:r>
      <w:r>
        <w:t xml:space="preserve"> Q32 y Q24 confirman la temática 1 como vía para proyectos urbanos de monitoreo de biodiversidad.</w:t>
      </w:r>
    </w:p>
    <w:p>
      <w:pPr>
        <w:spacing w:after="120"/>
      </w:pPr>
      <w:r>
        <w:rPr>
          <w:b/>
        </w:rPr>
        <w:t>Lo que NO dice:</w:t>
      </w:r>
      <w:r>
        <w:t xml:space="preserve"> no hay definición de qué cuenta como "subrepresentado", ni criterio para acreditarlo. </w:t>
      </w:r>
      <w:r>
        <w:rPr>
          <w:b/>
        </w:rPr>
        <w:t>No está resuelto en el documento.</w:t>
      </w:r>
    </w:p>
    <w:p>
      <w:pPr>
        <w:spacing w:after="120"/>
      </w:pPr>
      <w:r>
        <w:rPr>
          <w:b/>
        </w:rPr>
        <w:t>Qué hacemos con eso:</w:t>
      </w:r>
      <w:r>
        <w:t xml:space="preserve"> como no hay definición oficial, la carga de la prueba es nuestra y conviene resolverla con evidencia propia y verificable, no con retórica. Tres argumentos disponibles:</w:t>
      </w:r>
    </w:p>
    <w:p>
      <w:pPr>
        <w:pStyle w:val="ListNumber"/>
      </w:pPr>
      <w:r>
        <w:rPr>
          <w:b/>
        </w:rPr>
        <w:t>Ausencia de catastro municipal.</w:t>
      </w:r>
      <w:r>
        <w:t xml:space="preserve"> El Art. 28 de la Ordenanza 004/2021 obliga al municipio a mantener un catastro forestal público y una plataforma que reciba aportes vecinales; no existe. Eso es subrepresentación documentada por omisión normativa.</w:t>
      </w:r>
    </w:p>
    <w:p>
      <w:pPr>
        <w:pStyle w:val="ListNumber"/>
      </w:pPr>
      <w:r>
        <w:rPr>
          <w:b/>
        </w:rPr>
        <w:t>Ausencia de datos de biodiversidad urbana</w:t>
      </w:r>
      <w:r>
        <w:t xml:space="preserve"> para Temuco en las fuentes que revisamos.</w:t>
      </w:r>
    </w:p>
    <w:p>
      <w:pPr>
        <w:pStyle w:val="ListNumber"/>
      </w:pPr>
      <w:r>
        <w:rPr>
          <w:b/>
        </w:rPr>
        <w:t>Nuestro propio índice</w:t>
      </w:r>
      <w:r>
        <w:t xml:space="preserve"> muestra unidades vecinales con 3% de cobertura arbórea: no solo faltan datos, falta el ecosistema mismo en buena parte de la ciudad.</w:t>
      </w:r>
    </w:p>
    <w:p>
      <w:pPr>
        <w:spacing w:after="120"/>
      </w:pPr>
      <w:r>
        <w:t xml:space="preserve">⚠️ Antes de escribir el argumento 2 en la postulación </w:t>
      </w:r>
      <w:r>
        <w:rPr>
          <w:b/>
        </w:rPr>
        <w:t>hay que verificarlo</w:t>
      </w:r>
      <w:r>
        <w:t xml:space="preserve">: una consulta a GBIF/iNaturalist acotada a Temuco para cuantificar cuántos registros de biodiversidad urbana existen. Si resultan ser muchos, el argumento se cae y hay que usar otro. </w:t>
      </w:r>
      <w:r>
        <w:rPr>
          <w:b/>
        </w:rPr>
        <w:t>No afirmarlo sin haberlo consultado.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Trayectoria con comunidades — mejor de lo que pensábamos</w:t>
      </w:r>
    </w:p>
    <w:p>
      <w:pPr>
        <w:spacing w:after="120"/>
      </w:pPr>
      <w:r>
        <w:rPr>
          <w:b/>
        </w:rPr>
        <w:t>Lo que dice:</w:t>
      </w:r>
    </w:p>
    <w:p>
      <w:pPr>
        <w:pStyle w:val="ListBullet"/>
      </w:pPr>
      <w:r>
        <w:rPr>
          <w:b/>
        </w:rPr>
        <w:t>Q1:</w:t>
      </w:r>
      <w:r>
        <w:t xml:space="preserve"> las bases piden trayectoria en el territorio </w:t>
      </w:r>
      <w:r>
        <w:rPr>
          <w:b/>
        </w:rPr>
        <w:t>y/o</w:t>
      </w:r>
      <w:r>
        <w:t xml:space="preserve"> con comunidades locales — </w:t>
      </w:r>
      <w:r>
        <w:rPr>
          <w:i/>
        </w:rPr>
        <w:t>"'y/o', no ambos a la vez"</w:t>
      </w:r>
      <w:r>
        <w:t xml:space="preserve">. La experiencia con </w:t>
      </w:r>
      <w:r>
        <w:rPr>
          <w:b/>
        </w:rPr>
        <w:t>otras</w:t>
      </w:r>
      <w:r>
        <w:t xml:space="preserve"> comunidades es antecedente válido como respaldo de capacidad. Formato </w:t>
      </w:r>
      <w:r>
        <w:rPr>
          <w:b/>
        </w:rPr>
        <w:t>libre</w:t>
      </w:r>
      <w:r>
        <w:t>.</w:t>
      </w:r>
    </w:p>
    <w:p>
      <w:pPr>
        <w:pStyle w:val="ListBullet"/>
      </w:pPr>
      <w:r>
        <w:rPr>
          <w:b/>
        </w:rPr>
        <w:t>Q29:</w:t>
      </w:r>
      <w:r>
        <w:t xml:space="preserve"> las </w:t>
      </w:r>
      <w:r>
        <w:rPr>
          <w:b/>
        </w:rPr>
        <w:t>trayectorias individuales de los integrantes del equipo</w:t>
      </w:r>
      <w:r>
        <w:t xml:space="preserve"> son válidas como experiencia comprobable.</w:t>
      </w:r>
    </w:p>
    <w:p>
      <w:pPr>
        <w:pStyle w:val="ListBullet"/>
      </w:pPr>
      <w:r>
        <w:rPr>
          <w:b/>
        </w:rPr>
        <w:t>Q40:</w:t>
      </w:r>
      <w:r>
        <w:t xml:space="preserve"> la experiencia general con comunidades sirve aunque el trabajo </w:t>
      </w:r>
      <w:r>
        <w:rPr>
          <w:b/>
        </w:rPr>
        <w:t>en este territorio sea reciente</w:t>
      </w:r>
      <w:r>
        <w:t xml:space="preserve">, y </w:t>
      </w:r>
      <w:r>
        <w:rPr>
          <w:b/>
        </w:rPr>
        <w:t>no se exige que los grupos locales tengan personalidad jurídica</w:t>
      </w:r>
      <w:r>
        <w:t>.</w:t>
      </w:r>
    </w:p>
    <w:p>
      <w:pPr>
        <w:pStyle w:val="ListBullet"/>
      </w:pPr>
      <w:r>
        <w:rPr>
          <w:b/>
        </w:rPr>
        <w:t>Q2:</w:t>
      </w:r>
      <w:r>
        <w:t xml:space="preserve"> no hay lista cerrada de documentos; se justifica con los antecedentes que se estimen más relevantes.</w:t>
      </w:r>
    </w:p>
    <w:p>
      <w:pPr>
        <w:spacing w:after="120"/>
      </w:pPr>
      <w:r>
        <w:rPr>
          <w:b/>
        </w:rPr>
        <w:t>Qué cambia:</w:t>
      </w:r>
    </w:p>
    <w:p>
      <w:pPr>
        <w:pStyle w:val="ListBullet"/>
      </w:pPr>
      <w:r>
        <w:t xml:space="preserve">✅ El vínculo de </w:t>
      </w:r>
      <w:r>
        <w:rPr>
          <w:b/>
        </w:rPr>
        <w:t>Ekuwün con las tres escuelas</w:t>
      </w:r>
      <w:r>
        <w:t xml:space="preserve"> cumple el requisito aunque sea reciente (Q40) y aunque las escuelas o el colectivo no tengan personalidad jurídica propia.</w:t>
      </w:r>
    </w:p>
    <w:p>
      <w:pPr>
        <w:pStyle w:val="ListBullet"/>
      </w:pPr>
      <w:r>
        <w:t xml:space="preserve">✅ </w:t>
      </w:r>
      <w:r>
        <w:rPr>
          <w:b/>
        </w:rPr>
        <w:t>Los CV de cada integrante suman</w:t>
      </w:r>
      <w:r>
        <w:t xml:space="preserve"> (Q29). Conviene armar una ficha corta por persona: qué hizo, dónde, con quién.</w:t>
      </w:r>
    </w:p>
    <w:p>
      <w:pPr>
        <w:pStyle w:val="ListBullet"/>
      </w:pPr>
      <w:r>
        <w:t xml:space="preserve">✅ Al ser formato libre (Q1, Q2), podemos acreditar trayectoria con lo que mejor tenemos: </w:t>
      </w:r>
      <w:r>
        <w:rPr>
          <w:b/>
        </w:rPr>
        <w:t>el sitio público con resultados propios ya producidos</w:t>
      </w:r>
      <w:r>
        <w:t>.</w:t>
      </w:r>
    </w:p>
    <w:p>
      <w:pPr>
        <w:pStyle w:val="ListBullet"/>
      </w:pPr>
      <w:r>
        <w:t xml:space="preserve">⚠️ Ojo con </w:t>
      </w:r>
      <w:r>
        <w:rPr>
          <w:b/>
        </w:rPr>
        <w:t>Q31 y Q35</w:t>
      </w:r>
      <w:r>
        <w:t xml:space="preserve">: una misma organización o agrupación </w:t>
      </w:r>
      <w:r>
        <w:rPr>
          <w:b/>
        </w:rPr>
        <w:t>no puede presentar dos proyectos distintos</w:t>
      </w:r>
      <w:r>
        <w:t xml:space="preserve">. Si Ekuwün pensaba postular algo más a este mismo fondo, hay que elegir. Y </w:t>
      </w:r>
      <w:r>
        <w:rPr>
          <w:b/>
        </w:rPr>
        <w:t>Q7</w:t>
      </w:r>
      <w:r>
        <w:t>: una persona puede ser responsable de un proyecto e integrante del equipo de otro.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Piloto — deja de ser una urgencia (pero sigue siendo buena idea)</w:t>
      </w:r>
    </w:p>
    <w:p>
      <w:pPr>
        <w:spacing w:after="120"/>
      </w:pPr>
      <w:r>
        <w:rPr>
          <w:b/>
        </w:rPr>
        <w:t>Lo que dice:</w:t>
      </w:r>
    </w:p>
    <w:p>
      <w:pPr>
        <w:pStyle w:val="ListBullet"/>
      </w:pPr>
      <w:r>
        <w:rPr>
          <w:b/>
        </w:rPr>
        <w:t>Q4:</w:t>
      </w:r>
      <w:r>
        <w:t xml:space="preserve"> "etapa de ideas" es un proyecto </w:t>
      </w:r>
      <w:r>
        <w:rPr>
          <w:b/>
        </w:rPr>
        <w:t>sin ningún grado de desarrollo o validación previa</w:t>
      </w:r>
      <w:r>
        <w:t xml:space="preserve"> — </w:t>
      </w:r>
      <w:r>
        <w:rPr>
          <w:i/>
        </w:rPr>
        <w:t>sin piloto, sin trabajo previo con la comunidad, sin antecedentes de factibilidad</w:t>
      </w:r>
      <w:r>
        <w:t>. Esos quedan excluidos.</w:t>
      </w:r>
    </w:p>
    <w:p>
      <w:pPr>
        <w:pStyle w:val="ListBullet"/>
      </w:pPr>
      <w:r>
        <w:rPr>
          <w:b/>
        </w:rPr>
        <w:t>Q9:</w:t>
      </w:r>
      <w:r>
        <w:t xml:space="preserve"> </w:t>
      </w:r>
      <w:r>
        <w:rPr>
          <w:b/>
        </w:rPr>
        <w:t>no se exige que el proyecto esté en ejecución</w:t>
      </w:r>
      <w:r>
        <w:t xml:space="preserve">. Se exige validación que supere la etapa de idea: </w:t>
      </w:r>
      <w:r>
        <w:rPr>
          <w:i/>
        </w:rPr>
        <w:t>piloto, experiencia previa, o trabajo con la comunidad</w:t>
      </w:r>
      <w:r>
        <w:t xml:space="preserve">. Estar en marcha es antecedente favorable pero </w:t>
      </w:r>
      <w:r>
        <w:rPr>
          <w:b/>
        </w:rPr>
        <w:t>no requisito excluyente</w:t>
      </w:r>
      <w:r>
        <w:t>.</w:t>
      </w:r>
    </w:p>
    <w:p>
      <w:pPr>
        <w:spacing w:after="120"/>
      </w:pPr>
      <w:r>
        <w:rPr>
          <w:b/>
        </w:rPr>
        <w:t>Corrección a lo que te dije antes.</w:t>
      </w:r>
      <w:r>
        <w:t xml:space="preserve"> En </w:t>
      </w:r>
      <w:r>
        <w:rPr>
          <w:rFonts w:ascii="Consolas" w:hAnsi="Consolas"/>
          <w:sz w:val="19"/>
        </w:rPr>
        <w:t>FMA_2026_PILOTO.md</w:t>
      </w:r>
      <w:r>
        <w:t xml:space="preserve"> §0 planteé el piloto casi como condición para acreditar trayectoria. </w:t>
      </w:r>
      <w:r>
        <w:rPr>
          <w:b/>
        </w:rPr>
        <w:t>Según Q4 y Q9 eso no es así:</w:t>
      </w:r>
      <w:r>
        <w:t xml:space="preserve"> los tres criterios son alternativos, y nosotros ya cumplimos dos de forma independiente (antecedentes de factibilidad con el análisis satelital publicado; trabajo con la comunidad vía Ekuwün y el sistema de denuncias en operación).</w:t>
      </w:r>
    </w:p>
    <w:p>
      <w:pPr>
        <w:spacing w:after="120"/>
      </w:pPr>
      <w:r>
        <w:rPr>
          <w:b/>
        </w:rPr>
        <w:t>Qué cambia en la práctica:</w:t>
      </w:r>
    </w:p>
    <w:p>
      <w:pPr>
        <w:pStyle w:val="ListBullet"/>
      </w:pPr>
      <w:r>
        <w:t xml:space="preserve">✅ </w:t>
      </w:r>
      <w:r>
        <w:rPr>
          <w:b/>
        </w:rPr>
        <w:t>El piloto deja de ser una carrera contra el 24 de agosto.</w:t>
      </w:r>
      <w:r>
        <w:t xml:space="preserve"> Si se puede hacer antes, suma; si no alcanza, la postulación no queda coja.</w:t>
      </w:r>
    </w:p>
    <w:p>
      <w:pPr>
        <w:pStyle w:val="ListBullet"/>
      </w:pPr>
      <w:r>
        <w:t xml:space="preserve">✅ Eso </w:t>
      </w:r>
      <w:r>
        <w:rPr>
          <w:b/>
        </w:rPr>
        <w:t>libera los días restantes</w:t>
      </w:r>
      <w:r>
        <w:t xml:space="preserve"> para lo que sí es indispensable: cartas de apoyo, equipo, formulario y el PDF de presentación.</w:t>
      </w:r>
    </w:p>
    <w:p>
      <w:pPr>
        <w:pStyle w:val="ListBullet"/>
      </w:pPr>
      <w:r>
        <w:t xml:space="preserve">✅ </w:t>
      </w:r>
      <w:r>
        <w:rPr>
          <w:b/>
        </w:rPr>
        <w:t>El piloto sigue siendo necesario metodológicamente</w:t>
      </w:r>
      <w:r>
        <w:t xml:space="preserve"> —el tiempo por árbol define si el proyecto cabe en 240 árboles— pero puede ejecutarse como </w:t>
      </w:r>
      <w:r>
        <w:rPr>
          <w:b/>
        </w:rPr>
        <w:t>primera actividad del proyecto adjudicado</w:t>
      </w:r>
      <w:r>
        <w:t>, en diciembre.</w:t>
      </w:r>
    </w:p>
    <w:p>
      <w:pPr>
        <w:pStyle w:val="ListBullet"/>
      </w:pPr>
      <w:r>
        <w:t xml:space="preserve">💡 </w:t>
      </w:r>
      <w:r>
        <w:rPr>
          <w:b/>
        </w:rPr>
        <w:t>Alternativa que aparece:</w:t>
      </w:r>
      <w:r>
        <w:t xml:space="preserve"> si no alcanza el piloto completo, se puede hacer </w:t>
      </w:r>
      <w:r>
        <w:rPr>
          <w:b/>
        </w:rPr>
        <w:t>solo la prueba de iNaturalist</w:t>
      </w:r>
      <w:r>
        <w:t xml:space="preserve"> (§6 del documento del piloto), que toma una tarde, no requiere escuela y </w:t>
      </w:r>
      <w:r>
        <w:rPr>
          <w:b/>
        </w:rPr>
        <w:t>cierra la única verificación técnica que dejamos pendiente por escrito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Continuidad — el requisito es más blando de lo que asumimos</w:t>
      </w:r>
    </w:p>
    <w:p>
      <w:pPr>
        <w:spacing w:after="120"/>
      </w:pPr>
      <w:r>
        <w:rPr>
          <w:b/>
        </w:rPr>
        <w:t>Lo que dice Q3:</w:t>
      </w:r>
      <w:r>
        <w:t xml:space="preserve"> "impulsar mayores acciones a largo plazo" significa que el proyecto *no sea un hecho aislado, sino que deje </w:t>
      </w:r>
      <w:r>
        <w:rPr>
          <w:b/>
        </w:rPr>
        <w:t>capacidades, metodologías, alianzas o resultados</w:t>
      </w:r>
      <w:r>
        <w:t xml:space="preserve"> que permitan continuidad, réplica o escalamiento*. Y explícitamente: </w:t>
      </w:r>
      <w:r>
        <w:rPr>
          <w:b/>
        </w:rPr>
        <w:t>no se exige que esa continuidad esté financiada o comprometida al momento de postular.</w:t>
      </w:r>
    </w:p>
    <w:p>
      <w:pPr>
        <w:spacing w:after="120"/>
      </w:pPr>
      <w:r>
        <w:rPr>
          <w:b/>
        </w:rPr>
        <w:t>Qué cambia:</w:t>
      </w:r>
    </w:p>
    <w:p>
      <w:pPr>
        <w:pStyle w:val="ListBullet"/>
      </w:pPr>
      <w:r>
        <w:t>✅ Nuestro entregable central —</w:t>
      </w:r>
      <w:r>
        <w:rPr>
          <w:b/>
        </w:rPr>
        <w:t>protocolo replicable + red de docentes formados + línea base marcada</w:t>
      </w:r>
      <w:r>
        <w:t>— es literalmente la definición de Q3. Las cuatro palabras que usa (capacidades, metodologías, alianzas, resultados) describen el proyecto.</w:t>
      </w:r>
    </w:p>
    <w:p>
      <w:pPr>
        <w:pStyle w:val="ListBullet"/>
      </w:pPr>
      <w:r>
        <w:t xml:space="preserve">✅ </w:t>
      </w:r>
      <w:r>
        <w:rPr>
          <w:b/>
        </w:rPr>
        <w:t>No hay que prometer financiamiento futuro</w:t>
      </w:r>
      <w:r>
        <w:t xml:space="preserve"> ni convenios firmados de continuidad. Alivia la sección más incómoda de escribir.</w:t>
      </w:r>
    </w:p>
    <w:p>
      <w:pPr>
        <w:pStyle w:val="ListBullet"/>
      </w:pPr>
      <w:r>
        <w:t xml:space="preserve">💡 Y refuerza algo que ya habíamos decidido: la </w:t>
      </w:r>
      <w:r>
        <w:rPr>
          <w:b/>
        </w:rPr>
        <w:t>remedición a 3-5 años</w:t>
      </w:r>
      <w:r>
        <w:t xml:space="preserve"> no necesita estar financiada para ser un argumento válido de continuidad.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Equipamiento — se abre una puerta que teníamos cerrada</w:t>
      </w:r>
    </w:p>
    <w:p>
      <w:pPr>
        <w:spacing w:after="120"/>
      </w:pPr>
      <w:r>
        <w:rPr>
          <w:b/>
        </w:rPr>
        <w:t>Lo que dice Q38:</w:t>
      </w:r>
      <w:r>
        <w:t xml:space="preserve"> bienes durables y equipamiento (</w:t>
      </w:r>
      <w:r>
        <w:rPr>
          <w:b/>
        </w:rPr>
        <w:t>cámaras, herramientas, mobiliario</w:t>
      </w:r>
      <w:r>
        <w:t xml:space="preserve">) son financiables </w:t>
      </w:r>
      <w:r>
        <w:rPr>
          <w:i/>
        </w:rPr>
        <w:t>en principio</w:t>
      </w:r>
      <w:r>
        <w:t xml:space="preserve">, si son pertinentes y necesarios para la ejecución. </w:t>
      </w:r>
      <w:r>
        <w:rPr>
          <w:b/>
        </w:rPr>
        <w:t>No hay lista cerrada</w:t>
      </w:r>
      <w:r>
        <w:t xml:space="preserve"> de bienes permitidos o prohibidos.</w:t>
      </w:r>
    </w:p>
    <w:p>
      <w:pPr>
        <w:spacing w:after="120"/>
      </w:pPr>
      <w:r>
        <w:rPr>
          <w:b/>
        </w:rPr>
        <w:t>Qué cambia:</w:t>
      </w:r>
      <w:r>
        <w:t xml:space="preserve"> habíamos presupuestado mentalmente solo consumibles (huinchas, impresión). Ahora es legítimo considerar: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Equipamiento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 qué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Justificación de pertinencia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Binoculares</w:t>
            </w:r>
            <w:r>
              <w:rPr>
                <w:sz w:val="19"/>
              </w:rPr>
              <w:t xml:space="preserve"> (2-3)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Punto de conteo de aves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Sin ellos, las aves no son viables como grupo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Lupas de mano 10×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Morfotipos de líquenes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Aumenta la resolución de la variable núcleo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Forcípula o cinta diamétrica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Submuestra de control del técnico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 el instrumento de referencia contra el que se mide el 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Cámara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 audiovisual comprometido con FMA + fotos de identificación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Q38 la menciona expresamente; y </w:t>
            </w:r>
            <w:r>
              <w:rPr>
                <w:b/>
                <w:sz w:val="19"/>
              </w:rPr>
              <w:t>Q13/Q46</w:t>
            </w:r>
            <w:r>
              <w:rPr>
                <w:sz w:val="19"/>
              </w:rPr>
              <w:t xml:space="preserve"> hacen del audiovisual un componente válido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Grillas de acetato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 de líquenes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Consumible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Con criterio:</w:t>
      </w:r>
      <w:r>
        <w:t xml:space="preserve"> Q38 dice "en principio" y condiciona a pertinencia. Un presupuesto cargado a equipamiento en un proyecto de $6.000.000 se leería mal. Los binoculares y las lupas se justifican solos porque </w:t>
      </w:r>
      <w:r>
        <w:rPr>
          <w:b/>
        </w:rPr>
        <w:t>habilitan variables del diseño</w:t>
      </w:r>
      <w:r>
        <w:t>; el mobiliario no tendría cómo justificarse.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Honorarios — sin techo, y la coordinación se paga</w:t>
      </w:r>
    </w:p>
    <w:p>
      <w:pPr>
        <w:spacing w:after="120"/>
      </w:pPr>
      <w:r>
        <w:rPr>
          <w:b/>
        </w:rPr>
        <w:t>Lo que dice:</w:t>
      </w:r>
    </w:p>
    <w:p>
      <w:pPr>
        <w:pStyle w:val="ListBullet"/>
      </w:pPr>
      <w:r>
        <w:rPr>
          <w:b/>
        </w:rPr>
        <w:t>Q5 y Q25:</w:t>
      </w:r>
      <w:r>
        <w:t xml:space="preserve"> no hay porcentajes máximos ni mínimos por ítem, salvo la </w:t>
      </w:r>
      <w:r>
        <w:rPr>
          <w:b/>
        </w:rPr>
        <w:t>recomendación</w:t>
      </w:r>
      <w:r>
        <w:t xml:space="preserve"> de no concentrar todo en honorarios. Financiables: honorarios, gastos operacionales, materiales, insumos, </w:t>
      </w:r>
      <w:r>
        <w:rPr>
          <w:b/>
        </w:rPr>
        <w:t>traslados</w:t>
      </w:r>
      <w:r>
        <w:t xml:space="preserve"> y otros.</w:t>
      </w:r>
    </w:p>
    <w:p>
      <w:pPr>
        <w:pStyle w:val="ListBullet"/>
      </w:pPr>
      <w:r>
        <w:rPr>
          <w:b/>
        </w:rPr>
        <w:t>Q55:</w:t>
      </w:r>
      <w:r>
        <w:t xml:space="preserve"> la coordinación </w:t>
      </w:r>
      <w:r>
        <w:rPr>
          <w:b/>
        </w:rPr>
        <w:t>no</w:t>
      </w:r>
      <w:r>
        <w:t xml:space="preserve"> tiene por qué ser ad honorem; los recursos pueden pagarla.</w:t>
      </w:r>
    </w:p>
    <w:p>
      <w:pPr>
        <w:pStyle w:val="ListBullet"/>
      </w:pPr>
      <w:r>
        <w:rPr>
          <w:b/>
        </w:rPr>
        <w:t>Q17:</w:t>
      </w:r>
      <w:r>
        <w:t xml:space="preserve"> traslado y combustible son financiables.</w:t>
      </w:r>
    </w:p>
    <w:p>
      <w:pPr>
        <w:pStyle w:val="ListBullet"/>
      </w:pPr>
      <w:r>
        <w:rPr>
          <w:b/>
        </w:rPr>
        <w:t>Q36:</w:t>
      </w:r>
      <w:r>
        <w:t xml:space="preserve"> el representante legal de una persona jurídica puede percibir honorarios.</w:t>
      </w:r>
    </w:p>
    <w:p>
      <w:pPr>
        <w:spacing w:after="120"/>
      </w:pPr>
      <w:r>
        <w:rPr>
          <w:b/>
        </w:rPr>
        <w:t>Qué cambia:</w:t>
      </w:r>
      <w:r>
        <w:t xml:space="preserve"> el rol que identificamos como </w:t>
      </w:r>
      <w:r>
        <w:rPr>
          <w:b/>
        </w:rPr>
        <w:t>cuello de botella —quien valida taxonómicamente y hace la submuestra de control— se puede pagar</w:t>
      </w:r>
      <w:r>
        <w:t>, y eso vuelve mucho más realista conseguirlo. Lo mismo la coordinación y el traslado de los equipos a terreno. Es información directamente aplicable al paso 7 (presupuesto), donde ya no hay que asumir voluntariado.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Gestión de datos — admisible, pero subordinada</w:t>
      </w:r>
    </w:p>
    <w:p>
      <w:pPr>
        <w:spacing w:after="120"/>
      </w:pPr>
      <w:r>
        <w:rPr>
          <w:b/>
        </w:rPr>
        <w:t>Lo que dice Q23:</w:t>
      </w:r>
      <w:r>
        <w:t xml:space="preserve"> las bases exigen vincular ciencias naturales con "otras disciplinas" sin cerrar la lista. *Administración o </w:t>
      </w:r>
      <w:r>
        <w:rPr>
          <w:b/>
        </w:rPr>
        <w:t>gestión de datos</w:t>
      </w:r>
      <w:r>
        <w:t xml:space="preserve"> </w:t>
      </w:r>
      <w:r>
        <w:rPr>
          <w:b/>
        </w:rPr>
        <w:t>podría calzar</w:t>
      </w:r>
      <w:r>
        <w:t xml:space="preserve"> si está </w:t>
      </w:r>
      <w:r>
        <w:rPr>
          <w:b/>
        </w:rPr>
        <w:t>al servicio de los objetivos de conservación</w:t>
      </w:r>
      <w:r>
        <w:t>; "negocios" es más riesgoso.*</w:t>
      </w:r>
    </w:p>
    <w:p>
      <w:pPr>
        <w:spacing w:after="120"/>
      </w:pPr>
      <w:r>
        <w:rPr>
          <w:b/>
        </w:rPr>
        <w:t>Qué cambia:</w:t>
      </w:r>
      <w:r>
        <w:t xml:space="preserve"> en el análisis conceptual dije que la tecnología </w:t>
      </w:r>
      <w:r>
        <w:rPr>
          <w:b/>
        </w:rPr>
        <w:t>no</w:t>
      </w:r>
      <w:r>
        <w:t xml:space="preserve"> figura entre las disciplinas nombradas por las bases y que había que presentarla solo como herramienta. Q23 matiza: </w:t>
      </w:r>
      <w:r>
        <w:rPr>
          <w:b/>
        </w:rPr>
        <w:t>la gestión de datos puede contar como disciplina vinculada</w:t>
      </w:r>
      <w:r>
        <w:t>, pero con la condición explícita de estar al servicio de la conservación.</w:t>
      </w:r>
    </w:p>
    <w:p>
      <w:pPr>
        <w:pStyle w:val="ListBullet"/>
      </w:pPr>
      <w:r>
        <w:t>✅ Podemos mencionar la gestión de datos como una de las disciplinas articuladas.</w:t>
      </w:r>
    </w:p>
    <w:p>
      <w:pPr>
        <w:pStyle w:val="ListBullet"/>
      </w:pPr>
      <w:r>
        <w:t xml:space="preserve">⚠️ </w:t>
      </w:r>
      <w:r>
        <w:rPr>
          <w:b/>
        </w:rPr>
        <w:t>Pero la respuesta usa "podría", no "puede".</w:t>
      </w:r>
      <w:r>
        <w:t xml:space="preserve"> No es una habilitación firme. Sigue siendo más seguro apoyarse en </w:t>
      </w:r>
      <w:r>
        <w:rPr>
          <w:b/>
        </w:rPr>
        <w:t>educación, ciencias sociales y arte</w:t>
      </w:r>
      <w:r>
        <w:t xml:space="preserve"> como disciplinas principales, y presentar los datos como el hilo que las conecta.</w:t>
      </w:r>
    </w:p>
    <w:p>
      <w:pPr>
        <w:pStyle w:val="ListBullet"/>
      </w:pPr>
      <w:r>
        <w:t xml:space="preserve">⚠️ </w:t>
      </w:r>
      <w:r>
        <w:rPr>
          <w:b/>
        </w:rPr>
        <w:t>No cambia nada</w:t>
      </w:r>
      <w:r>
        <w:t xml:space="preserve"> respecto de la exclusión de campañas comunicacionales: el generador de contenido para redes sigue fuera.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Colecciones biológicas — la oportunidad más concreta que aparece</w:t>
      </w:r>
    </w:p>
    <w:p>
      <w:pPr>
        <w:spacing w:after="120"/>
      </w:pPr>
      <w:r>
        <w:rPr>
          <w:b/>
        </w:rPr>
        <w:t>Lo que dice Q21:</w:t>
      </w:r>
      <w:r>
        <w:t xml:space="preserve"> la temática 6 es *"Colecciones biológicas y/o geológicas: </w:t>
      </w:r>
      <w:r>
        <w:rPr>
          <w:b/>
        </w:rPr>
        <w:t>creación</w:t>
      </w:r>
      <w:r>
        <w:t xml:space="preserve">, mantención, sistematización, rescate y </w:t>
      </w:r>
      <w:r>
        <w:rPr>
          <w:b/>
        </w:rPr>
        <w:t>capacitación para su gestión</w:t>
      </w:r>
      <w:r>
        <w:t>"*, y es una de las siete temáticas admisibles.</w:t>
      </w:r>
    </w:p>
    <w:p>
      <w:pPr>
        <w:spacing w:after="120"/>
      </w:pPr>
      <w:r>
        <w:rPr>
          <w:b/>
        </w:rPr>
        <w:t>Qué cambia:</w:t>
      </w:r>
      <w:r>
        <w:t xml:space="preserve"> el </w:t>
      </w:r>
      <w:r>
        <w:rPr>
          <w:b/>
        </w:rPr>
        <w:t>herbario escolar ilustrado</w:t>
      </w:r>
      <w:r>
        <w:t xml:space="preserve"> que propuse como componente artístico deja de ser un adorno y pasa a ser </w:t>
      </w:r>
      <w:r>
        <w:rPr>
          <w:b/>
        </w:rPr>
        <w:t>encaje temático adicional explícito</w:t>
      </w:r>
      <w:r>
        <w:t>. La palabra "creación" cubre exactamente lo que haríamos, y "capacitación para su gestión" cubre la formación de docentes y estudiantes para mantenerlo.</w:t>
      </w:r>
    </w:p>
    <w:p>
      <w:pPr>
        <w:spacing w:after="120"/>
      </w:pPr>
      <w:r>
        <w:rPr>
          <w:b/>
        </w:rPr>
        <w:t>Recomendación:</w:t>
      </w:r>
      <w:r>
        <w:t xml:space="preserve"> declarar el proyecto en </w:t>
      </w:r>
      <w:r>
        <w:rPr>
          <w:b/>
        </w:rPr>
        <w:t>temática 1 como principal</w:t>
      </w:r>
      <w:r>
        <w:t xml:space="preserve">, mencionando vínculo con </w:t>
      </w:r>
      <w:r>
        <w:rPr>
          <w:b/>
        </w:rPr>
        <w:t>2</w:t>
      </w:r>
      <w:r>
        <w:t xml:space="preserve"> (traspaso de conocimientos a generaciones jóvenes) y </w:t>
      </w:r>
      <w:r>
        <w:rPr>
          <w:b/>
        </w:rPr>
        <w:t>6</w:t>
      </w:r>
      <w:r>
        <w:t xml:space="preserve"> (creación de colección). Las bases solo exigen relacionarse con </w:t>
      </w:r>
      <w:r>
        <w:rPr>
          <w:b/>
        </w:rPr>
        <w:t>al menos una</w:t>
      </w:r>
      <w:r>
        <w:t>; mostrar tres bien fundamentadas es coherencia, no dispersión — siempre que las tres sean reales y no decorativas.</w:t>
      </w:r>
    </w:p>
    <w:p>
      <w:pPr>
        <w:spacing w:after="120"/>
      </w:pPr>
      <w:r>
        <w:t xml:space="preserve">💡 </w:t>
      </w:r>
      <w:r>
        <w:rPr>
          <w:b/>
        </w:rPr>
        <w:t>Una idea que ahora tiene respaldo:</w:t>
      </w:r>
      <w:r>
        <w:t xml:space="preserve"> una </w:t>
      </w:r>
      <w:r>
        <w:rPr>
          <w:b/>
        </w:rPr>
        <w:t>colección de referencia de líquenes y cortezas</w:t>
      </w:r>
      <w:r>
        <w:t xml:space="preserve"> del arbolado de Temuco, curada por las escuelas, con fotografías e ilustraciones. Es colección biológica (temática 6), es la variable núcleo del diseño científico, y es el objeto tangible que queda en cada escuela.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10. Componente audiovisual — permitido, con una condición estricta</w:t>
      </w:r>
    </w:p>
    <w:p>
      <w:pPr>
        <w:spacing w:after="120"/>
      </w:pPr>
      <w:r>
        <w:rPr>
          <w:b/>
        </w:rPr>
        <w:t>Lo que dice:</w:t>
      </w:r>
    </w:p>
    <w:p>
      <w:pPr>
        <w:pStyle w:val="ListBullet"/>
      </w:pPr>
      <w:r>
        <w:rPr>
          <w:b/>
        </w:rPr>
        <w:t>Q13:</w:t>
      </w:r>
      <w:r>
        <w:t xml:space="preserve"> un cortometraje es admisible en principio, pero *debe leerse como </w:t>
      </w:r>
      <w:r>
        <w:rPr>
          <w:b/>
        </w:rPr>
        <w:t>documentación o educación</w:t>
      </w:r>
      <w:r>
        <w:t>, no como pieza de difusión aislada*. Se excluyen campañas comunicacionales.</w:t>
      </w:r>
    </w:p>
    <w:p>
      <w:pPr>
        <w:pStyle w:val="ListBullet"/>
      </w:pPr>
      <w:r>
        <w:rPr>
          <w:b/>
        </w:rPr>
        <w:t>Q46:</w:t>
      </w:r>
      <w:r>
        <w:t xml:space="preserve"> documental, audiovisual o audiolibro son de interés si se enmarcan en las temáticas; </w:t>
      </w:r>
      <w:r>
        <w:rPr>
          <w:i/>
        </w:rPr>
        <w:t>el riesgo está en que se lean como campañas comunicacionales</w:t>
      </w:r>
      <w:r>
        <w:t>.</w:t>
      </w:r>
    </w:p>
    <w:p>
      <w:pPr>
        <w:pStyle w:val="ListBullet"/>
      </w:pPr>
      <w:r>
        <w:rPr>
          <w:b/>
        </w:rPr>
        <w:t>Q41 y Q42:</w:t>
      </w:r>
      <w:r>
        <w:t xml:space="preserve"> un documental es financiable si se enmarca como </w:t>
      </w:r>
      <w:r>
        <w:rPr>
          <w:b/>
        </w:rPr>
        <w:t>documentación de conocimientos</w:t>
      </w:r>
      <w:r>
        <w:t xml:space="preserve"> (temática 2), y su difusión en el territorio es coherente como actividad </w:t>
      </w:r>
      <w:r>
        <w:rPr>
          <w:b/>
        </w:rPr>
        <w:t>complementaria</w:t>
      </w:r>
      <w:r>
        <w:t>.</w:t>
      </w:r>
    </w:p>
    <w:p>
      <w:pPr>
        <w:pStyle w:val="ListBullet"/>
      </w:pPr>
      <w:r>
        <w:rPr>
          <w:b/>
        </w:rPr>
        <w:t>Q27:</w:t>
      </w:r>
      <w:r>
        <w:t xml:space="preserve"> una muestra fotográfica debe enmarcarse como difusión de un proyecto de conservación, </w:t>
      </w:r>
      <w:r>
        <w:rPr>
          <w:b/>
        </w:rPr>
        <w:t>no como fin en sí misma</w:t>
      </w:r>
      <w:r>
        <w:t xml:space="preserve"> (las exposiciones de arte están excluidas).</w:t>
      </w:r>
    </w:p>
    <w:p>
      <w:pPr>
        <w:spacing w:after="120"/>
      </w:pPr>
      <w:r>
        <w:rPr>
          <w:b/>
        </w:rPr>
        <w:t>Qué cambia:</w:t>
      </w:r>
    </w:p>
    <w:p>
      <w:pPr>
        <w:pStyle w:val="ListBullet"/>
      </w:pPr>
      <w:r>
        <w:t xml:space="preserve">✅ El </w:t>
      </w:r>
      <w:r>
        <w:rPr>
          <w:b/>
        </w:rPr>
        <w:t>registro audiovisual</w:t>
      </w:r>
      <w:r>
        <w:t xml:space="preserve"> que FMA exige como compromiso puede además ser un producto del proyecto si se enmarca como documentación educativa.</w:t>
      </w:r>
    </w:p>
    <w:p>
      <w:pPr>
        <w:pStyle w:val="ListBullet"/>
      </w:pPr>
      <w:r>
        <w:t xml:space="preserve">✅ Refuerza la elección del </w:t>
      </w:r>
      <w:r>
        <w:rPr>
          <w:b/>
        </w:rPr>
        <w:t>herbario ilustrado</w:t>
      </w:r>
      <w:r>
        <w:t xml:space="preserve"> por sobre una exposición: Q27 pone la exposición en zona de riesgo, mientras que la colección tiene respaldo explícito en Q21.</w:t>
      </w:r>
    </w:p>
    <w:p>
      <w:pPr>
        <w:pStyle w:val="ListBullet"/>
      </w:pPr>
      <w:r>
        <w:t xml:space="preserve">⚠️ </w:t>
      </w:r>
      <w:r>
        <w:rPr>
          <w:b/>
        </w:rPr>
        <w:t>Regla práctica que se desprende:</w:t>
      </w:r>
      <w:r>
        <w:t xml:space="preserve"> todo producto visual del proyecto debe presentarse como </w:t>
      </w:r>
      <w:r>
        <w:rPr>
          <w:b/>
        </w:rPr>
        <w:t>documentación o material educativo</w:t>
      </w:r>
      <w:r>
        <w:t>, nunca como "difusión" a secas. Es una cuestión de encuadre, y de encuadre depende que sea financiable o excluido.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11. Participación científica — no resuelto, y hay que decirlo así</w:t>
      </w:r>
    </w:p>
    <w:p>
      <w:pPr>
        <w:spacing w:after="120"/>
      </w:pPr>
      <w:r>
        <w:rPr>
          <w:b/>
        </w:rPr>
        <w:t>Lo que dice Q48, literalmente:</w:t>
      </w:r>
      <w:r>
        <w:t xml:space="preserve"> *"No se define un nivel de participación específico. Las bases piden vincular las ciencias naturales con otras disciplinas para el logro de los objetivos, </w:t>
      </w:r>
      <w:r>
        <w:rPr>
          <w:b/>
        </w:rPr>
        <w:t>sin precisar si esto exige un rol activo permanente del científico dentro del equipo o si puede ser un aporte puntual</w:t>
      </w:r>
      <w:r>
        <w:t>."*</w:t>
      </w:r>
    </w:p>
    <w:p>
      <w:pPr>
        <w:spacing w:after="120"/>
      </w:pPr>
      <w:r>
        <w:rPr>
          <w:b/>
        </w:rPr>
        <w:t>Qué significa para nosotros:</w:t>
      </w:r>
    </w:p>
    <w:p>
      <w:pPr>
        <w:pStyle w:val="ListBullet"/>
      </w:pPr>
      <w:r>
        <w:t xml:space="preserve">🟡 </w:t>
      </w:r>
      <w:r>
        <w:rPr>
          <w:b/>
        </w:rPr>
        <w:t>No hay respuesta.</w:t>
      </w:r>
      <w:r>
        <w:t xml:space="preserve"> La pregunta que más nos importaba —¿basta un especialista que valide de forma puntual?— quedó explícitamente sin resolver.</w:t>
      </w:r>
    </w:p>
    <w:p>
      <w:pPr>
        <w:pStyle w:val="ListBullet"/>
      </w:pPr>
      <w:r>
        <w:rPr>
          <w:b/>
        </w:rPr>
        <w:t>Decisión prudente:</w:t>
      </w:r>
      <w:r>
        <w:t xml:space="preserve"> diseñar como si </w:t>
      </w:r>
      <w:r>
        <w:rPr>
          <w:b/>
        </w:rPr>
        <w:t>sí</w:t>
      </w:r>
      <w:r>
        <w:t xml:space="preserve"> hiciera falta un rol sustantivo. En nuestro caso no es una concesión, porque el diseño </w:t>
      </w:r>
      <w:r>
        <w:rPr>
          <w:b/>
        </w:rPr>
        <w:t>realmente lo necesita</w:t>
      </w:r>
      <w:r>
        <w:t>: sin validación taxonómica no hay H1 ni H3, y sin submuestra de control no hay control de calidad. La necesidad es científica antes que reglamentaria.</w:t>
      </w:r>
    </w:p>
    <w:p>
      <w:pPr>
        <w:pStyle w:val="ListBullet"/>
      </w:pPr>
      <w:r>
        <w:t xml:space="preserve">✅ Y con </w:t>
      </w:r>
      <w:r>
        <w:rPr>
          <w:b/>
        </w:rPr>
        <w:t>Q5/Q55/Q29</w:t>
      </w:r>
      <w:r>
        <w:t xml:space="preserve">, ese rol </w:t>
      </w:r>
      <w:r>
        <w:rPr>
          <w:b/>
        </w:rPr>
        <w:t>se puede pagar</w:t>
      </w:r>
      <w:r>
        <w:t xml:space="preserve"> y su </w:t>
      </w:r>
      <w:r>
        <w:rPr>
          <w:b/>
        </w:rPr>
        <w:t>trayectoria individual acredita experiencia</w:t>
      </w:r>
      <w:r>
        <w:t xml:space="preserve"> del equipo. Las tres respuestas juntas convierten el cuello de botella en algo resoluble.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12. Otros hallazgos operativos que conviene tener a la 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Consecuencia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 postulación incluye un </w:t>
            </w:r>
            <w:r>
              <w:rPr>
                <w:b/>
                <w:sz w:val="19"/>
              </w:rPr>
              <w:t>PDF de presentación de 7 planas</w:t>
            </w:r>
            <w:r>
              <w:rPr>
                <w:sz w:val="19"/>
              </w:rPr>
              <w:t xml:space="preserve">, de </w:t>
            </w:r>
            <w:r>
              <w:rPr>
                <w:b/>
                <w:sz w:val="19"/>
              </w:rPr>
              <w:t>contenido y formato libres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Hay que producirlo. No estaba en nuestro plan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Q34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formulario en línea detalla los documentos requeridos y </w:t>
            </w:r>
            <w:r>
              <w:rPr>
                <w:b/>
                <w:sz w:val="19"/>
              </w:rPr>
              <w:t>permite guardar el progreso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Conviene abrirlo ya para inventariar qué piden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Q11 y Q12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hay que usar toda la ventana dic-2026 a ago-2027; </w:t>
            </w:r>
            <w:r>
              <w:rPr>
                <w:b/>
                <w:sz w:val="19"/>
              </w:rPr>
              <w:t>no se fija duración mínima ni máxima</w:t>
            </w:r>
            <w:r>
              <w:rPr>
                <w:sz w:val="19"/>
              </w:rPr>
              <w:t xml:space="preserve">. Q12 aclara que la concentración de actividades </w:t>
            </w:r>
            <w:r>
              <w:rPr>
                <w:b/>
                <w:sz w:val="19"/>
              </w:rPr>
              <w:t>no está desarrollada</w:t>
            </w:r>
            <w:r>
              <w:rPr>
                <w:sz w:val="19"/>
              </w:rPr>
              <w:t xml:space="preserve"> en la documentación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Muy relevante — ver §13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Q33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hay planilla de evaluación publicada; el comité evalúa cumplimiento de requisitos y </w:t>
            </w:r>
            <w:r>
              <w:rPr>
                <w:b/>
                <w:sz w:val="19"/>
              </w:rPr>
              <w:t>coherencia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 hay puntajes que optimizar. La coherencia interna es el criterio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Q39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hay formato exigido</w:t>
            </w:r>
            <w:r>
              <w:rPr>
                <w:sz w:val="19"/>
              </w:rPr>
              <w:t xml:space="preserve"> para cartas de apoyo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 pueden pedir ya, sin esperar plantilla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Q47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Un colectivo no formalizado postula </w:t>
            </w:r>
            <w:r>
              <w:rPr>
                <w:b/>
                <w:sz w:val="19"/>
              </w:rPr>
              <w:t>a nombre de una persona natural representante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Aplicable si Ekuwün no tiene personalidad jurídica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Una fundación ligada a un </w:t>
            </w:r>
            <w:r>
              <w:rPr>
                <w:b/>
                <w:sz w:val="19"/>
              </w:rPr>
              <w:t>colegio subvencionado</w:t>
            </w:r>
            <w:r>
              <w:rPr>
                <w:sz w:val="19"/>
              </w:rPr>
              <w:t xml:space="preserve"> puede postular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Vía alternativa si alguna escuela tiene fundación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hay número mínimo ni máximo</w:t>
            </w:r>
            <w:r>
              <w:rPr>
                <w:sz w:val="19"/>
              </w:rPr>
              <w:t xml:space="preserve"> de integrantes del equipo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Libertad para dimensionar el equipo (paso 3)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Q53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FMA acompaña y hace seguimiento tras la adjudicación, también a personas naturales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Reduce el riesgo de postular como persona natural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13. El hallazgo que más afecta el diseño: la ventana de ejecución vs. la biología</w:t>
      </w:r>
    </w:p>
    <w:p>
      <w:pPr>
        <w:spacing w:after="120"/>
      </w:pPr>
      <w:r>
        <w:rPr>
          <w:b/>
        </w:rPr>
        <w:t>Q11 y Q12</w:t>
      </w:r>
      <w:r>
        <w:t xml:space="preserve"> confirman que la ejecución va entre </w:t>
      </w:r>
      <w:r>
        <w:rPr>
          <w:b/>
        </w:rPr>
        <w:t>diciembre 2026 y agosto 2027</w:t>
      </w:r>
      <w:r>
        <w:t xml:space="preserve">, sin obligación de usar todo el rango. Al cruzar eso con el calendario escolar chileno y con la fenología del hemisferio sur aparece una tensión que </w:t>
      </w:r>
      <w:r>
        <w:rPr>
          <w:b/>
        </w:rPr>
        <w:t>no habíamos considerado y que hay que resolver antes de escribir el cronograma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Mes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Escuela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Biología (Temuco)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Dic 2026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Últimas semanas, cierre de año, evaluaciones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Óptimo: verano, máxima actividad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Ene-Feb 2027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Vacaciones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Óptimo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Mar-Abr 2027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Inicio de año escolar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Bueno</w:t>
            </w:r>
            <w:r>
              <w:rPr>
                <w:sz w:val="19"/>
              </w:rPr>
              <w:t>: aún cálido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May-Ago 2027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En clases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❌ Otoño-invierno lluvioso y frío: artrópodos y aves en mínimos</w:t>
            </w:r>
          </w:p>
        </w:tc>
      </w:tr>
    </w:tbl>
    <w:p/>
    <w:p>
      <w:pPr>
        <w:spacing w:after="120"/>
      </w:pPr>
      <w:r>
        <w:rPr>
          <w:b/>
        </w:rPr>
        <w:t>Consecuencias concretas:</w:t>
      </w:r>
    </w:p>
    <w:p>
      <w:pPr>
        <w:pStyle w:val="ListNumber"/>
      </w:pPr>
      <w:r>
        <w:rPr>
          <w:b/>
        </w:rPr>
        <w:t>La ventana real de terreno con estudiantes para artrópodos y aves es marzo-abril de 2027.</w:t>
      </w:r>
      <w:r>
        <w:t xml:space="preserve"> Son unas seis semanas. Todo el trabajo de campo de esos grupos tiene que caber ahí.</w:t>
      </w:r>
    </w:p>
    <w:p>
      <w:pPr>
        <w:pStyle w:val="ListNumber"/>
      </w:pPr>
      <w:r>
        <w:rPr>
          <w:b/>
        </w:rPr>
        <w:t>Esto refuerza —ahora por una razón adicional— la decisión de poner los líquenes como grupo núcleo:</w:t>
      </w:r>
      <w:r>
        <w:t xml:space="preserve"> son los únicos observables todo el año, incluido el invierno de Temuco. Sin ellos, el proyecto tendría meses muertos.</w:t>
      </w:r>
    </w:p>
    <w:p>
      <w:pPr>
        <w:pStyle w:val="ListNumber"/>
      </w:pPr>
      <w:r>
        <w:rPr>
          <w:b/>
        </w:rPr>
        <w:t>Diciembre 2026 sirve para preparar, no para medir con cursos</w:t>
      </w:r>
      <w:r>
        <w:t>: piloto, formación docente, compra de materiales, prueba de iNaturalist.</w:t>
      </w:r>
    </w:p>
    <w:p>
      <w:pPr>
        <w:pStyle w:val="ListNumber"/>
      </w:pPr>
      <w:r>
        <w:rPr>
          <w:b/>
        </w:rPr>
        <w:t>Mayo a agosto de 2027 es tiempo de gabinete</w:t>
      </w:r>
      <w:r>
        <w:t>: validación taxonómica, análisis, expedientes del Art. 9, herbario, devolución a las comunidades. Que sea invierno no es un problema si las actividades de esos meses son bajo techo.</w:t>
      </w:r>
    </w:p>
    <w:p>
      <w:pPr>
        <w:spacing w:after="120"/>
      </w:pPr>
      <w:r>
        <w:rPr>
          <w:b/>
        </w:rPr>
        <w:t>Es un ajuste de diseño, no un obstáculo</w:t>
      </w:r>
      <w:r>
        <w:t xml:space="preserve"> — pero había que verlo antes del cronograma, no después.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14. Qué cambio en los documentos anteriores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Cambio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FMA_2026_ESTRUCTURA_CONCEPTUAL.md</w:t>
            </w:r>
            <w:r>
              <w:rPr>
                <w:sz w:val="19"/>
              </w:rPr>
              <w:t xml:space="preserve"> §8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 debilidad N°1 ("proyecto urbano en fondo de naturaleza") baja de categoría por Q24/Q32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FMA_2026_ESTRUCTURA_CONCEPTUAL.md</w:t>
            </w:r>
            <w:r>
              <w:rPr>
                <w:sz w:val="19"/>
              </w:rPr>
              <w:t xml:space="preserve"> §2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 agrega la temática 6 (colecciones) como vínculo declarable por Q21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FMA_2026_PILOTO.md</w:t>
            </w:r>
            <w:r>
              <w:rPr>
                <w:sz w:val="19"/>
              </w:rPr>
              <w:t xml:space="preserve"> §0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 corrige: el piloto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es condición de admisibilidad (Q4, Q9)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FMA_2026_DISENO_CIENTIFICO.md</w:t>
            </w:r>
            <w:r>
              <w:rPr>
                <w:sz w:val="19"/>
              </w:rPr>
              <w:t xml:space="preserve"> §6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Las aves suben de prioridad por Q32; se agrega la restricción estacional de §13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15. Lo que sigue sin estar resuelto por el documento</w:t>
      </w:r>
    </w:p>
    <w:p>
      <w:pPr>
        <w:spacing w:after="120"/>
      </w:pPr>
      <w:r>
        <w:t xml:space="preserve">Para no inventar requisitos, dejo explícito lo que </w:t>
      </w:r>
      <w:r>
        <w:rPr>
          <w:b/>
        </w:rPr>
        <w:t>no</w:t>
      </w:r>
      <w:r>
        <w:t xml:space="preserve"> quedó respondido:</w:t>
      </w:r>
    </w:p>
    <w:p>
      <w:pPr>
        <w:pStyle w:val="ListBullet"/>
      </w:pPr>
      <w:r>
        <w:rPr>
          <w:b/>
        </w:rPr>
        <w:t>Q48:</w:t>
      </w:r>
      <w:r>
        <w:t xml:space="preserve"> el nivel de participación exigido al científico. Sin definir.</w:t>
      </w:r>
    </w:p>
    <w:p>
      <w:pPr>
        <w:pStyle w:val="ListBullet"/>
      </w:pPr>
      <w:r>
        <w:rPr>
          <w:b/>
        </w:rPr>
        <w:t>Q12:</w:t>
      </w:r>
      <w:r>
        <w:t xml:space="preserve"> reglas sobre concentración de actividades en el período. </w:t>
      </w:r>
      <w:r>
        <w:rPr>
          <w:i/>
        </w:rPr>
        <w:t>"No está desarrollado en la documentación disponible."</w:t>
      </w:r>
    </w:p>
    <w:p>
      <w:pPr>
        <w:pStyle w:val="ListBullet"/>
      </w:pPr>
      <w:r>
        <w:rPr>
          <w:b/>
        </w:rPr>
        <w:t>Q33:</w:t>
      </w:r>
      <w:r>
        <w:t xml:space="preserve"> no existe planilla de evaluación con puntajes publicada.</w:t>
      </w:r>
    </w:p>
    <w:p>
      <w:pPr>
        <w:pStyle w:val="ListBullet"/>
      </w:pPr>
      <w:r>
        <w:rPr>
          <w:b/>
        </w:rPr>
        <w:t>Q27:</w:t>
      </w:r>
      <w:r>
        <w:t xml:space="preserve"> "beneficiarios directos" no está definido explícitamente; se infiere que son quienes participan o se benefician directamente.</w:t>
      </w:r>
    </w:p>
    <w:p>
      <w:pPr>
        <w:pStyle w:val="ListBullet"/>
      </w:pPr>
      <w:r>
        <w:rPr>
          <w:b/>
        </w:rPr>
        <w:t>Qué cuenta como "subrepresentado"</w:t>
      </w:r>
      <w:r>
        <w:t>: ninguna respuesta lo define (§2).</w:t>
      </w:r>
    </w:p>
    <w:p>
      <w:pPr>
        <w:spacing w:after="120"/>
      </w:pPr>
      <w:r>
        <w:t xml:space="preserve">En los cinco casos, la conducta correcta es </w:t>
      </w:r>
      <w:r>
        <w:rPr>
          <w:b/>
        </w:rPr>
        <w:t>diseñar por el lado conservador</w:t>
      </w:r>
      <w:r>
        <w:t xml:space="preserve"> y no dar por ganado lo que no está escrito.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