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59BAE31C" w:rsidR="009A7547" w:rsidRPr="00B34903" w:rsidRDefault="005671F2" w:rsidP="00B34903">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w:t>
      </w:r>
      <w:r w:rsidR="00B34903">
        <w:rPr>
          <w:rFonts w:ascii="Times New Roman" w:hAnsi="Times New Roman" w:cs="Times New Roman"/>
        </w:rPr>
        <w:t xml:space="preserve"> </w:t>
      </w:r>
      <w:hyperlink r:id="rId21" w:history="1">
        <w:r w:rsidR="00EB6D63" w:rsidRPr="002B4823">
          <w:rPr>
            <w:rStyle w:val="Hyperlink"/>
            <w:rFonts w:ascii="Times New Roman" w:hAnsi="Times New Roman" w:cs="Times New Roman"/>
          </w:rPr>
          <w:t>https://openknowledge.worldbank.org/server/api/core/bitstreams/a8021d9e-bdcd-5371-b00c-589e10b5c0ec/content</w:t>
        </w:r>
      </w:hyperlink>
    </w:p>
    <w:p w14:paraId="5A96F129" w14:textId="65CEC63E" w:rsidR="006F263B" w:rsidRDefault="00EB6D63" w:rsidP="00EB6D63">
      <w:pPr>
        <w:tabs>
          <w:tab w:val="left" w:pos="4142"/>
        </w:tabs>
        <w:rPr>
          <w:rFonts w:ascii="Times New Roman" w:hAnsi="Times New Roman" w:cs="Times New Roman"/>
        </w:rPr>
      </w:pPr>
      <w:r>
        <w:rPr>
          <w:rFonts w:ascii="Times New Roman" w:hAnsi="Times New Roman" w:cs="Times New Roman"/>
        </w:rPr>
        <w:tab/>
      </w:r>
      <w:r w:rsidRPr="00EB6D63">
        <w:rPr>
          <w:rFonts w:ascii="Times New Roman" w:hAnsi="Times New Roman" w:cs="Times New Roman"/>
          <w:noProof/>
        </w:rPr>
        <w:drawing>
          <wp:inline distT="0" distB="0" distL="0" distR="0" wp14:anchorId="0573F0AB" wp14:editId="77220CCB">
            <wp:extent cx="5943600" cy="2756535"/>
            <wp:effectExtent l="0" t="0" r="0" b="5715"/>
            <wp:docPr id="20536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67300" name=""/>
                    <pic:cNvPicPr/>
                  </pic:nvPicPr>
                  <pic:blipFill>
                    <a:blip r:embed="rId22"/>
                    <a:stretch>
                      <a:fillRect/>
                    </a:stretch>
                  </pic:blipFill>
                  <pic:spPr>
                    <a:xfrm>
                      <a:off x="0" y="0"/>
                      <a:ext cx="5943600" cy="2756535"/>
                    </a:xfrm>
                    <a:prstGeom prst="rect">
                      <a:avLst/>
                    </a:prstGeom>
                  </pic:spPr>
                </pic:pic>
              </a:graphicData>
            </a:graphic>
          </wp:inline>
        </w:drawing>
      </w:r>
    </w:p>
    <w:p w14:paraId="24A340E8" w14:textId="77777777" w:rsidR="006F263B" w:rsidRPr="006F263B" w:rsidRDefault="006F263B" w:rsidP="006F263B">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2"/>
        <w:gridCol w:w="910"/>
        <w:gridCol w:w="1148"/>
        <w:gridCol w:w="797"/>
        <w:gridCol w:w="850"/>
        <w:gridCol w:w="1006"/>
        <w:gridCol w:w="827"/>
        <w:gridCol w:w="821"/>
        <w:gridCol w:w="772"/>
        <w:gridCol w:w="761"/>
      </w:tblGrid>
      <w:tr w:rsidR="00A92B31" w:rsidRPr="00B34903"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change (%)</w:t>
            </w:r>
          </w:p>
        </w:tc>
      </w:tr>
      <w:tr w:rsidR="00A92B31" w:rsidRPr="00B34903"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-39.58</w:t>
            </w:r>
          </w:p>
        </w:tc>
      </w:tr>
      <w:tr w:rsidR="00A92B31" w:rsidRPr="00B34903"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-9.06</w:t>
            </w:r>
          </w:p>
        </w:tc>
      </w:tr>
      <w:tr w:rsidR="00A92B31" w:rsidRPr="00B34903"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-19.17</w:t>
            </w:r>
          </w:p>
        </w:tc>
      </w:tr>
      <w:tr w:rsidR="00A92B31" w:rsidRPr="00B34903"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-12.47</w:t>
            </w:r>
          </w:p>
        </w:tc>
      </w:tr>
      <w:tr w:rsidR="00A92B31" w:rsidRPr="00B34903"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r>
      <w:tr w:rsidR="00A92B31" w:rsidRPr="00B34903"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-8.00</w:t>
            </w:r>
          </w:p>
        </w:tc>
      </w:tr>
      <w:tr w:rsidR="00A92B31" w:rsidRPr="00B34903"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-14.17</w:t>
            </w:r>
          </w:p>
        </w:tc>
      </w:tr>
      <w:tr w:rsidR="00A92B31" w:rsidRPr="00B34903"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-15.94</w:t>
            </w:r>
          </w:p>
        </w:tc>
      </w:tr>
      <w:tr w:rsidR="00A92B31" w:rsidRPr="00B34903"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-11.23</w:t>
            </w:r>
          </w:p>
        </w:tc>
      </w:tr>
      <w:tr w:rsidR="00A92B31" w:rsidRPr="00B34903"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r>
      <w:tr w:rsidR="00A92B31" w:rsidRPr="00B34903"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-4.50</w:t>
            </w:r>
          </w:p>
        </w:tc>
      </w:tr>
      <w:tr w:rsidR="00A92B31" w:rsidRPr="00B34903"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-6.97</w:t>
            </w:r>
          </w:p>
        </w:tc>
      </w:tr>
      <w:tr w:rsidR="00A92B31" w:rsidRPr="00B34903"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-11.08</w:t>
            </w:r>
          </w:p>
        </w:tc>
      </w:tr>
      <w:tr w:rsidR="00A92B31" w:rsidRPr="00B34903"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-19.19</w:t>
            </w:r>
          </w:p>
        </w:tc>
      </w:tr>
      <w:tr w:rsidR="00A92B31" w:rsidRPr="00B34903"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-7.22</w:t>
            </w:r>
          </w:p>
        </w:tc>
      </w:tr>
      <w:tr w:rsidR="00A92B31" w:rsidRPr="00B34903"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-10.45</w:t>
            </w:r>
          </w:p>
        </w:tc>
      </w:tr>
      <w:tr w:rsidR="00A92B31" w:rsidRPr="00B34903"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-17.62</w:t>
            </w:r>
          </w:p>
        </w:tc>
      </w:tr>
      <w:tr w:rsidR="00A92B31" w:rsidRPr="00B34903"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-11.18</w:t>
            </w:r>
          </w:p>
        </w:tc>
      </w:tr>
      <w:tr w:rsidR="00A92B31" w:rsidRPr="00B34903"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-18.17</w:t>
            </w:r>
          </w:p>
        </w:tc>
      </w:tr>
      <w:tr w:rsidR="00A92B31" w:rsidRPr="00B34903"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-11.80</w:t>
            </w:r>
          </w:p>
        </w:tc>
      </w:tr>
      <w:tr w:rsidR="00A92B31" w:rsidRPr="00B34903"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-8.43</w:t>
            </w:r>
          </w:p>
        </w:tc>
      </w:tr>
      <w:tr w:rsidR="00A92B31" w:rsidRPr="00B34903"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-6.79</w:t>
            </w:r>
          </w:p>
        </w:tc>
      </w:tr>
      <w:tr w:rsidR="00A92B31" w:rsidRPr="00B34903"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-8.19</w:t>
            </w:r>
          </w:p>
        </w:tc>
      </w:tr>
      <w:tr w:rsidR="00A92B31" w:rsidRPr="00B34903"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lastRenderedPageBreak/>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676714CB" w14:textId="22F55AE1" w:rsidR="00821A6A" w:rsidRPr="000B4DE6" w:rsidRDefault="000B4DE6" w:rsidP="000B4DE6">
      <w:pPr>
        <w:pStyle w:val="ListParagraph"/>
        <w:numPr>
          <w:ilvl w:val="0"/>
          <w:numId w:val="17"/>
        </w:numPr>
        <w:rPr>
          <w:rFonts w:ascii="Times New Roman" w:hAnsi="Times New Roman" w:cs="Times New Roman"/>
        </w:rPr>
      </w:pPr>
      <w:r>
        <w:rPr>
          <w:rFonts w:ascii="Times New Roman" w:hAnsi="Times New Roman" w:cs="Times New Roman"/>
        </w:rPr>
        <w:t xml:space="preserve">(Nishant) </w:t>
      </w:r>
      <w:r w:rsidRPr="000B4DE6">
        <w:rPr>
          <w:rFonts w:ascii="Times New Roman" w:hAnsi="Times New Roman" w:cs="Times New Roman"/>
        </w:rPr>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In short, I think we have at least three approaches to understand how extreme the outliers are: (a) Pareto, (b) GB2, and (c) regression.  </w:t>
      </w:r>
    </w:p>
    <w:p w14:paraId="741FB2D8" w14:textId="77777777" w:rsidR="007A72A5" w:rsidRDefault="007A72A5" w:rsidP="007E55AC">
      <w:pPr>
        <w:rPr>
          <w:rFonts w:ascii="Times New Roman" w:hAnsi="Times New Roman" w:cs="Times New Roman"/>
        </w:rPr>
      </w:pPr>
    </w:p>
    <w:p w14:paraId="0F007EA6" w14:textId="50E13C5E" w:rsidR="00ED1A88" w:rsidRDefault="00ED1A88" w:rsidP="00ED1A88">
      <w:pPr>
        <w:rPr>
          <w:rFonts w:ascii="Times New Roman" w:hAnsi="Times New Roman" w:cs="Times New Roman"/>
          <w:b/>
          <w:bCs/>
          <w:u w:val="single"/>
        </w:rPr>
      </w:pPr>
      <w:commentRangeStart w:id="7"/>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1</w:t>
      </w:r>
      <w:r w:rsidR="006E7405">
        <w:rPr>
          <w:rFonts w:ascii="Times New Roman" w:hAnsi="Times New Roman" w:cs="Times New Roman"/>
          <w:b/>
          <w:bCs/>
          <w:u w:val="single"/>
        </w:rPr>
        <w:t>1</w:t>
      </w:r>
      <w:r w:rsidRPr="006A7426">
        <w:rPr>
          <w:rFonts w:ascii="Times New Roman" w:hAnsi="Times New Roman" w:cs="Times New Roman"/>
          <w:b/>
          <w:bCs/>
          <w:u w:val="single"/>
        </w:rPr>
        <w:t>, 2026</w:t>
      </w:r>
      <w:commentRangeEnd w:id="7"/>
      <w:r w:rsidR="005A4BB2">
        <w:rPr>
          <w:rStyle w:val="CommentReference"/>
          <w:rFonts w:ascii="Times New Roman" w:hAnsi="Times New Roman" w:cs="Times New Roman"/>
          <w:b/>
          <w:bCs/>
          <w:sz w:val="24"/>
          <w:szCs w:val="24"/>
          <w:u w:val="single"/>
        </w:rPr>
        <w:commentReference w:id="7"/>
      </w:r>
    </w:p>
    <w:p w14:paraId="0057B912" w14:textId="7D985629" w:rsidR="006E7405" w:rsidRDefault="006E7405" w:rsidP="00ED1A88">
      <w:pPr>
        <w:rPr>
          <w:rFonts w:ascii="Times New Roman" w:hAnsi="Times New Roman" w:cs="Times New Roman"/>
        </w:rPr>
      </w:pPr>
      <w:r>
        <w:rPr>
          <w:rFonts w:ascii="Times New Roman" w:hAnsi="Times New Roman" w:cs="Times New Roman"/>
        </w:rPr>
        <w:t>Idea for</w:t>
      </w:r>
      <w:r w:rsidR="00597CD2">
        <w:rPr>
          <w:rFonts w:ascii="Times New Roman" w:hAnsi="Times New Roman" w:cs="Times New Roman"/>
        </w:rPr>
        <w:t xml:space="preserve"> Wednesday’s presentation</w:t>
      </w:r>
      <w:r>
        <w:rPr>
          <w:rFonts w:ascii="Times New Roman" w:hAnsi="Times New Roman" w:cs="Times New Roman"/>
        </w:rPr>
        <w:t>:</w:t>
      </w:r>
    </w:p>
    <w:p w14:paraId="35C2CA46" w14:textId="5E4911E0" w:rsidR="00597CD2" w:rsidRPr="00597CD2" w:rsidRDefault="00597CD2" w:rsidP="00597CD2">
      <w:pPr>
        <w:rPr>
          <w:rFonts w:ascii="Times New Roman" w:hAnsi="Times New Roman" w:cs="Times New Roman"/>
          <w:b/>
          <w:bCs/>
        </w:rPr>
      </w:pPr>
      <w:r w:rsidRPr="00597CD2">
        <w:rPr>
          <w:rFonts w:ascii="Times New Roman" w:hAnsi="Times New Roman" w:cs="Times New Roman"/>
          <w:b/>
          <w:bCs/>
        </w:rPr>
        <w:t xml:space="preserve">Project narrative: </w:t>
      </w:r>
    </w:p>
    <w:p w14:paraId="0CD6AA23" w14:textId="555F5B3E"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started with a literature review to understand how different frameworks treat upper-tail values </w:t>
      </w:r>
      <w:r>
        <w:rPr>
          <w:rFonts w:ascii="Times New Roman" w:hAnsi="Times New Roman" w:cs="Times New Roman"/>
          <w:b/>
          <w:bCs/>
        </w:rPr>
        <w:t xml:space="preserve">- </w:t>
      </w:r>
      <w:r w:rsidRPr="00597CD2">
        <w:rPr>
          <w:rFonts w:ascii="Times New Roman" w:hAnsi="Times New Roman" w:cs="Times New Roman"/>
          <w:b/>
          <w:bCs/>
        </w:rPr>
        <w:t>LIS, CPS, EU-SILC, and WID.</w:t>
      </w:r>
      <w:r w:rsidRPr="00597CD2">
        <w:rPr>
          <w:rFonts w:ascii="Times New Roman" w:hAnsi="Times New Roman" w:cs="Times New Roman"/>
        </w:rPr>
        <w:br/>
        <w:t>Each has a different objective: LIS uses a transparent log-IQR rule; CPS is driven by disclosure avoidance, not statistical validity; EU-SILC (Van Kerm) compares trimming/winsorizing/Pareto approaches; WID goes the opposite direction, correcting for </w:t>
      </w:r>
      <w:r w:rsidRPr="00597CD2">
        <w:rPr>
          <w:rFonts w:ascii="Times New Roman" w:hAnsi="Times New Roman" w:cs="Times New Roman"/>
          <w:i/>
          <w:iCs/>
        </w:rPr>
        <w:t>underrepresentation</w:t>
      </w:r>
      <w:r w:rsidRPr="00597CD2">
        <w:rPr>
          <w:rFonts w:ascii="Times New Roman" w:hAnsi="Times New Roman" w:cs="Times New Roman"/>
        </w:rPr>
        <w:t> of the rich by blending survey and tax data.</w:t>
      </w:r>
    </w:p>
    <w:p w14:paraId="2249B7DD" w14:textId="23C2273C"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applied the LIS rule to all 1,825 surveys and found 24 cases where a </w:t>
      </w:r>
      <w:r>
        <w:rPr>
          <w:rFonts w:ascii="Times New Roman" w:hAnsi="Times New Roman" w:cs="Times New Roman"/>
          <w:b/>
          <w:bCs/>
        </w:rPr>
        <w:t>small</w:t>
      </w:r>
      <w:r w:rsidRPr="00597CD2">
        <w:rPr>
          <w:rFonts w:ascii="Times New Roman" w:hAnsi="Times New Roman" w:cs="Times New Roman"/>
          <w:b/>
          <w:bCs/>
        </w:rPr>
        <w:t xml:space="preserve"> share of the population accounts for a disproportionately large share of total welfare.</w:t>
      </w:r>
      <w:r w:rsidRPr="00597CD2">
        <w:rPr>
          <w:rFonts w:ascii="Times New Roman" w:hAnsi="Times New Roman" w:cs="Times New Roman"/>
        </w:rPr>
        <w:br/>
        <w:t>Threshold: </w:t>
      </w:r>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⁡y)+3×IQR(</m:t>
        </m:r>
        <m:r>
          <m:rPr>
            <m:sty m:val="p"/>
          </m:rPr>
          <w:rPr>
            <w:rFonts w:ascii="Cambria Math" w:hAnsi="Cambria Math" w:cs="Times New Roman"/>
          </w:rPr>
          <m:t>ln</m:t>
        </m:r>
        <m:r>
          <w:rPr>
            <w:rFonts w:ascii="Cambria Math" w:hAnsi="Cambria Math" w:cs="Times New Roman"/>
          </w:rPr>
          <m:t>⁡y)]</m:t>
        </m:r>
      </m:oMath>
      <w:r w:rsidRPr="00597CD2">
        <w:rPr>
          <w:rFonts w:ascii="Times New Roman" w:hAnsi="Times New Roman" w:cs="Times New Roman"/>
        </w:rPr>
        <w:t>. In all 24 flagged surveys, less than 0.5% of the population sits above the ceiling, yet in several cases (led by Malawi 1997) that group holds over 40% of total measured welfare.</w:t>
      </w:r>
      <w:r w:rsidR="00B437AB">
        <w:rPr>
          <w:rFonts w:ascii="Times New Roman" w:hAnsi="Times New Roman" w:cs="Times New Roman"/>
        </w:rPr>
        <w:t xml:space="preserve"> Criteria: </w:t>
      </w:r>
      <w:r w:rsidR="00B437AB" w:rsidRPr="00B437AB">
        <w:rPr>
          <w:rFonts w:ascii="Times New Roman" w:hAnsi="Times New Roman" w:cs="Times New Roman"/>
        </w:rPr>
        <w:t>surveys where the population above the ceiling holds ≥5% of total welfare.</w:t>
      </w:r>
    </w:p>
    <w:p w14:paraId="7F0F121E" w14:textId="77777777" w:rsidR="00646212" w:rsidRDefault="00597CD2" w:rsidP="00646212">
      <w:pPr>
        <w:numPr>
          <w:ilvl w:val="0"/>
          <w:numId w:val="18"/>
        </w:numPr>
        <w:rPr>
          <w:rFonts w:ascii="Times New Roman" w:hAnsi="Times New Roman" w:cs="Times New Roman"/>
        </w:rPr>
      </w:pPr>
      <w:r w:rsidRPr="00597CD2">
        <w:rPr>
          <w:rFonts w:ascii="Times New Roman" w:hAnsi="Times New Roman" w:cs="Times New Roman"/>
          <w:b/>
          <w:bCs/>
        </w:rPr>
        <w:t>To make sure this wasn't just an artifact of the LIS rule, we applied a second, independent method — Stata's outdetect procedure, reimplemented in Python</w:t>
      </w:r>
      <w:r w:rsidR="00276736">
        <w:rPr>
          <w:rFonts w:ascii="Times New Roman" w:hAnsi="Times New Roman" w:cs="Times New Roman"/>
          <w:b/>
          <w:bCs/>
        </w:rPr>
        <w:t xml:space="preserve">. </w:t>
      </w:r>
      <w:r w:rsidR="00276736">
        <w:rPr>
          <w:rFonts w:ascii="Times New Roman" w:hAnsi="Times New Roman" w:cs="Times New Roman"/>
        </w:rPr>
        <w:t>O</w:t>
      </w:r>
      <w:r w:rsidRPr="00597CD2">
        <w:rPr>
          <w:rFonts w:ascii="Times New Roman" w:hAnsi="Times New Roman" w:cs="Times New Roman"/>
        </w:rPr>
        <w:t>utdetect uses an unweighted median + S-estimator (a robust scale estimator), which is methodologically distinct from LIS's log-IQR approach</w:t>
      </w:r>
      <w:r w:rsidR="00276736">
        <w:rPr>
          <w:rFonts w:ascii="Times New Roman" w:hAnsi="Times New Roman" w:cs="Times New Roman"/>
        </w:rPr>
        <w:t xml:space="preserve">. </w:t>
      </w:r>
      <w:r w:rsidR="00276736" w:rsidRPr="00276736">
        <w:rPr>
          <w:rFonts w:ascii="Times New Roman" w:hAnsi="Times New Roman" w:cs="Times New Roman"/>
        </w:rPr>
        <w:t>We applied the same 5% welfare-share criterion to the observations flagged by the Python implementation of Stata’s outdetect procedure. Using its recommended robust z-score threshold of 3, outdetect identified 398 surveys where flagged observations accounted for at least 5% of total welfare. All 24 surveys identified by LIS were included in this group, together with 374 additional surveys. As an alternative criterion, we used a 1% population-share threshold. This is an empirical reference</w:t>
      </w:r>
      <w:r w:rsidR="00882D8C">
        <w:rPr>
          <w:rFonts w:ascii="Times New Roman" w:hAnsi="Times New Roman" w:cs="Times New Roman"/>
        </w:rPr>
        <w:t xml:space="preserve"> point</w:t>
      </w:r>
      <w:r w:rsidR="00276736" w:rsidRPr="00276736">
        <w:rPr>
          <w:rFonts w:ascii="Times New Roman" w:hAnsi="Times New Roman" w:cs="Times New Roman"/>
        </w:rPr>
        <w:t xml:space="preserve"> based on the outdetect documentation, not an official survey-level cutoff. Under this criterion, 143 surveys were flagged, including 5 </w:t>
      </w:r>
      <w:r w:rsidR="00276736" w:rsidRPr="00276736">
        <w:rPr>
          <w:rFonts w:ascii="Times New Roman" w:hAnsi="Times New Roman" w:cs="Times New Roman"/>
        </w:rPr>
        <w:lastRenderedPageBreak/>
        <w:t xml:space="preserve">of the 24 LIS surveys: </w:t>
      </w:r>
      <w:r w:rsidR="006E6608" w:rsidRPr="006E6608">
        <w:rPr>
          <w:rFonts w:ascii="Times New Roman" w:hAnsi="Times New Roman" w:cs="Times New Roman"/>
        </w:rPr>
        <w:t>Comoros 2004, Malawi 1997, Rwanda 2000, Rwanda 2005, and Rwanda 2013</w:t>
      </w:r>
      <w:r w:rsidR="00276736" w:rsidRPr="00276736">
        <w:rPr>
          <w:rFonts w:ascii="Times New Roman" w:hAnsi="Times New Roman" w:cs="Times New Roman"/>
        </w:rPr>
        <w:t>.</w:t>
      </w:r>
    </w:p>
    <w:p w14:paraId="4F191D88" w14:textId="75255D86" w:rsidR="00646212" w:rsidRPr="00646212" w:rsidRDefault="00646212" w:rsidP="00646212">
      <w:pPr>
        <w:numPr>
          <w:ilvl w:val="0"/>
          <w:numId w:val="18"/>
        </w:numPr>
        <w:rPr>
          <w:rFonts w:ascii="Times New Roman" w:hAnsi="Times New Roman" w:cs="Times New Roman"/>
        </w:rPr>
      </w:pPr>
      <w:r w:rsidRPr="00646212">
        <w:rPr>
          <w:rFonts w:ascii="Times New Roman" w:hAnsi="Times New Roman" w:cs="Times New Roman"/>
          <w:b/>
          <w:bCs/>
        </w:rPr>
        <w:t>We used Malawi 1997 as a deep-dive case study to show how the headline indicators respond to different treatments of extreme welfare values</w:t>
      </w:r>
      <w:r w:rsidRPr="00646212">
        <w:rPr>
          <w:rFonts w:ascii="Times New Roman" w:hAnsi="Times New Roman" w:cs="Times New Roman"/>
        </w:rPr>
        <w:t>, using the country file MWI_1997.dta throughout. Under the LIS correction, 59 records, representing 0.43% of the weighted population, account for 41.6% of total welfare. Capping these observations reduces the mean by 38%, the Gini by 32%, the MLD by 59%, and Atkinson(2) by 33%, while removing all observations above the LIS cap produces reductions of 41%, 36%, 64%, and 38%, respectively. The outdetect correction, which caps 206 records and uses a cap of 20.22 PPP USD per person per day, produces larger reductions: capping the affected observations reduces the mean by 42%, the Gini by 37%, the MLD by 65%, and Atkinson(2) by 39%; removing them reduces the indicators by approximately 46%, 42%, 71%, and 45%. As a simpler sensitivity check, removing only the two most extreme observations reduces the mean by 34%, the Gini by 27%, the MLD by 52%, and Atkinson(2) by 28%. This shows that extreme observations substantially affect inequality and mean estimates, while poverty estimates remain comparatively stable.</w:t>
      </w:r>
    </w:p>
    <w:p w14:paraId="16BFDDDE" w14:textId="77777777" w:rsidR="00DC77BC" w:rsidRDefault="00DC77BC" w:rsidP="00DC77BC">
      <w:pPr>
        <w:pStyle w:val="ListParagraph"/>
        <w:numPr>
          <w:ilvl w:val="0"/>
          <w:numId w:val="18"/>
        </w:numPr>
        <w:rPr>
          <w:rFonts w:ascii="Times New Roman" w:hAnsi="Times New Roman" w:cs="Times New Roman"/>
        </w:rPr>
      </w:pPr>
      <w:r w:rsidRPr="00305007">
        <w:rPr>
          <w:rFonts w:ascii="Times New Roman" w:hAnsi="Times New Roman" w:cs="Times New Roman"/>
          <w:b/>
          <w:bCs/>
        </w:rPr>
        <w:t xml:space="preserve">We then fitted Pareto distributions to the upper tails of the most extreme cases. </w:t>
      </w:r>
      <w:r w:rsidRPr="00305007">
        <w:rPr>
          <w:rFonts w:ascii="Times New Roman" w:hAnsi="Times New Roman" w:cs="Times New Roman"/>
        </w:rPr>
        <w:t>The analysis showed substantial deviations between the largest observed values and the fitted Pareto pattern, providing additional evidence that these observations were not simply large values from an otherwise regular tail.</w:t>
      </w:r>
    </w:p>
    <w:p w14:paraId="0F359C75" w14:textId="59AF4B50" w:rsidR="00DC77BC" w:rsidRDefault="00DC77BC" w:rsidP="00DC77BC">
      <w:pPr>
        <w:ind w:left="360"/>
        <w:rPr>
          <w:rFonts w:ascii="Times New Roman" w:hAnsi="Times New Roman" w:cs="Times New Roman"/>
          <w:b/>
          <w:bCs/>
        </w:rPr>
      </w:pPr>
      <w:r>
        <w:rPr>
          <w:noProof/>
        </w:rPr>
        <w:lastRenderedPageBreak/>
        <w:drawing>
          <wp:inline distT="0" distB="0" distL="0" distR="0" wp14:anchorId="34E928B6" wp14:editId="6FCB9020">
            <wp:extent cx="5943600" cy="3962400"/>
            <wp:effectExtent l="0" t="0" r="0" b="0"/>
            <wp:docPr id="1826104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p>
    <w:p w14:paraId="34F7D358" w14:textId="77777777" w:rsidR="003D4F2C" w:rsidRDefault="003D4F2C" w:rsidP="003D4F2C">
      <w:pPr>
        <w:numPr>
          <w:ilvl w:val="0"/>
          <w:numId w:val="18"/>
        </w:numPr>
        <w:rPr>
          <w:rFonts w:ascii="Times New Roman" w:hAnsi="Times New Roman" w:cs="Times New Roman"/>
          <w:b/>
          <w:bCs/>
        </w:rPr>
      </w:pPr>
      <w:r>
        <w:rPr>
          <w:rFonts w:ascii="Times New Roman" w:hAnsi="Times New Roman" w:cs="Times New Roman"/>
          <w:b/>
          <w:bCs/>
        </w:rPr>
        <w:t>T</w:t>
      </w:r>
      <w:r w:rsidR="00235A8A" w:rsidRPr="00235A8A">
        <w:rPr>
          <w:rFonts w:ascii="Times New Roman" w:hAnsi="Times New Roman" w:cs="Times New Roman"/>
          <w:b/>
          <w:bCs/>
        </w:rPr>
        <w:t>wo additional analyses focused on Malawi 1997</w:t>
      </w:r>
      <w:r>
        <w:rPr>
          <w:rFonts w:ascii="Times New Roman" w:hAnsi="Times New Roman" w:cs="Times New Roman"/>
          <w:b/>
          <w:bCs/>
        </w:rPr>
        <w:t xml:space="preserve"> were done</w:t>
      </w:r>
      <w:r w:rsidR="00235A8A" w:rsidRPr="00235A8A">
        <w:rPr>
          <w:rFonts w:ascii="Times New Roman" w:hAnsi="Times New Roman" w:cs="Times New Roman"/>
          <w:b/>
          <w:bCs/>
        </w:rPr>
        <w:t>. First, we assess whether the extreme welfare observations are statistically plausible under a GB2 distribution. Second, we examine whether they can be explained by observable household characteristics using regression analysis, or whether substantial unexplained deviations remain after accounting for those characteristics.</w:t>
      </w:r>
    </w:p>
    <w:p w14:paraId="0385CCF0" w14:textId="778B458B" w:rsidR="00597CD2" w:rsidRPr="003D4F2C" w:rsidRDefault="00597CD2" w:rsidP="003D4F2C">
      <w:pPr>
        <w:numPr>
          <w:ilvl w:val="1"/>
          <w:numId w:val="18"/>
        </w:numPr>
        <w:rPr>
          <w:rFonts w:ascii="Times New Roman" w:hAnsi="Times New Roman" w:cs="Times New Roman"/>
          <w:b/>
          <w:bCs/>
        </w:rPr>
      </w:pPr>
      <w:r w:rsidRPr="003D4F2C">
        <w:rPr>
          <w:rFonts w:ascii="Times New Roman" w:hAnsi="Times New Roman" w:cs="Times New Roman"/>
          <w:b/>
          <w:bCs/>
        </w:rPr>
        <w:t>GB2</w:t>
      </w:r>
      <w:r w:rsidRPr="003D4F2C">
        <w:rPr>
          <w:rFonts w:ascii="Times New Roman" w:hAnsi="Times New Roman" w:cs="Times New Roman"/>
        </w:rPr>
        <w:t>: fit a Generalized Beta of the Second Kind excluding the top-x values, then check how far the actual observed values fall from the fitted distribution.</w:t>
      </w:r>
    </w:p>
    <w:p w14:paraId="188BC251" w14:textId="77777777" w:rsidR="0098721D" w:rsidRDefault="0098721D" w:rsidP="0098721D">
      <w:pPr>
        <w:rPr>
          <w:rFonts w:ascii="Times New Roman" w:hAnsi="Times New Roman" w:cs="Times New Roman"/>
        </w:rPr>
      </w:pPr>
      <w:r w:rsidRPr="0098721D">
        <w:rPr>
          <w:rFonts w:ascii="Times New Roman" w:hAnsi="Times New Roman" w:cs="Times New Roman"/>
        </w:rPr>
        <w:t>A GB2 distribution was fitted to the positive welfare values from the Malawi 1997 country dataset using weighted maximum likelihood and 2021 PPP-adjusted welfare measures. The analysis included the full sample and additional specifications that excluded the largest 1, 2, 5, 10, and 20 observations. All models converged, but the estimated shape parameters changed as extreme observations were removed, indicating that the upper tail has a significant influence on the fitted distribution. In the full-sample model, the second-largest observation had an empirical survival probability approximately 166 times larger than the probability predicted by the GB2 distribution. These results suggest that the highest welfare observations are unusually extreme relative to a smooth GB2 tail. However, the analysis is diagnostic and does not establish that these observations are erroneous; they may reflect genuine heterogeneity, measurement issues, or other features of the survey data.</w:t>
      </w:r>
    </w:p>
    <w:p w14:paraId="2D9C24E7" w14:textId="53DDCD61" w:rsidR="00AD1C96" w:rsidRPr="0098721D" w:rsidRDefault="00AD1C96" w:rsidP="0098721D">
      <w:pPr>
        <w:rPr>
          <w:rFonts w:ascii="Times New Roman" w:hAnsi="Times New Roman" w:cs="Times New Roman"/>
        </w:rPr>
      </w:pPr>
      <w:r w:rsidRPr="00AD1C96">
        <w:rPr>
          <w:rFonts w:ascii="Times New Roman" w:hAnsi="Times New Roman" w:cs="Times New Roman"/>
          <w:noProof/>
        </w:rPr>
        <w:lastRenderedPageBreak/>
        <w:drawing>
          <wp:inline distT="0" distB="0" distL="0" distR="0" wp14:anchorId="7F1CD88D" wp14:editId="1ED06B1F">
            <wp:extent cx="5943600" cy="3962400"/>
            <wp:effectExtent l="0" t="0" r="0" b="0"/>
            <wp:docPr id="126301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15326" name=""/>
                    <pic:cNvPicPr/>
                  </pic:nvPicPr>
                  <pic:blipFill>
                    <a:blip r:embed="rId23"/>
                    <a:stretch>
                      <a:fillRect/>
                    </a:stretch>
                  </pic:blipFill>
                  <pic:spPr>
                    <a:xfrm>
                      <a:off x="0" y="0"/>
                      <a:ext cx="5943600" cy="3962400"/>
                    </a:xfrm>
                    <a:prstGeom prst="rect">
                      <a:avLst/>
                    </a:prstGeom>
                  </pic:spPr>
                </pic:pic>
              </a:graphicData>
            </a:graphic>
          </wp:inline>
        </w:drawing>
      </w:r>
    </w:p>
    <w:p w14:paraId="2D160AD6" w14:textId="77777777" w:rsidR="0098721D" w:rsidRPr="00597CD2" w:rsidRDefault="0098721D" w:rsidP="0098721D">
      <w:pPr>
        <w:rPr>
          <w:rFonts w:ascii="Times New Roman" w:hAnsi="Times New Roman" w:cs="Times New Roman"/>
        </w:rPr>
      </w:pPr>
    </w:p>
    <w:p w14:paraId="3F13B6DB" w14:textId="77777777" w:rsid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t>Regression</w:t>
      </w:r>
      <w:r w:rsidRPr="00597CD2">
        <w:rPr>
          <w:rFonts w:ascii="Times New Roman" w:hAnsi="Times New Roman" w:cs="Times New Roman"/>
        </w:rPr>
        <w:t>: predict welfare/consumption from household characteristics (roof material, water access, education, etc.) and compare fitted vs. actual values to flag households whose reported welfare looks inconsistent with their observed characteristics.</w:t>
      </w:r>
    </w:p>
    <w:p w14:paraId="3B6F47C9" w14:textId="581EEA4B" w:rsidR="00E56E70" w:rsidRDefault="00E56E70" w:rsidP="0032609D">
      <w:pPr>
        <w:rPr>
          <w:rFonts w:ascii="Times New Roman" w:hAnsi="Times New Roman" w:cs="Times New Roman"/>
        </w:rPr>
      </w:pPr>
      <w:r>
        <w:rPr>
          <w:rFonts w:ascii="Times New Roman" w:hAnsi="Times New Roman" w:cs="Times New Roman"/>
        </w:rPr>
        <w:t xml:space="preserve">**I </w:t>
      </w:r>
      <w:r w:rsidR="00693ABB">
        <w:rPr>
          <w:rFonts w:ascii="Times New Roman" w:hAnsi="Times New Roman" w:cs="Times New Roman"/>
        </w:rPr>
        <w:t xml:space="preserve">have to </w:t>
      </w:r>
      <w:r>
        <w:rPr>
          <w:rFonts w:ascii="Times New Roman" w:hAnsi="Times New Roman" w:cs="Times New Roman"/>
        </w:rPr>
        <w:t xml:space="preserve">figure out where to get </w:t>
      </w:r>
      <w:r w:rsidR="005A4BB2">
        <w:rPr>
          <w:rFonts w:ascii="Times New Roman" w:hAnsi="Times New Roman" w:cs="Times New Roman"/>
        </w:rPr>
        <w:t>household characteristics</w:t>
      </w:r>
      <w:r w:rsidR="00646212">
        <w:rPr>
          <w:rFonts w:ascii="Times New Roman" w:hAnsi="Times New Roman" w:cs="Times New Roman"/>
        </w:rPr>
        <w:t xml:space="preserve"> (in the meanwhile I just used what I found in gmd)</w:t>
      </w:r>
    </w:p>
    <w:p w14:paraId="2FF77015" w14:textId="07935D4F" w:rsidR="0032609D" w:rsidRPr="0032609D" w:rsidRDefault="0032609D" w:rsidP="0032609D">
      <w:pPr>
        <w:rPr>
          <w:rFonts w:ascii="Times New Roman" w:hAnsi="Times New Roman" w:cs="Times New Roman"/>
        </w:rPr>
      </w:pPr>
      <w:r w:rsidRPr="0032609D">
        <w:rPr>
          <w:rFonts w:ascii="Times New Roman" w:hAnsi="Times New Roman" w:cs="Times New Roman"/>
        </w:rPr>
        <w:t>A weighted regression model was used to predict household welfare in Malawi 1997 based on the available characteristics in the survey: urban or rural location, household size, and subnational area. To obtain unbiased comparisons, five-fold cross-fitting was applied, meaning each household was predicted using a model estimated without that household. Households were flagged when the difference between observed and predicted log welfare exceeded three weighted standard deviations. The model explained approximately 39% of the variation in log welfare and flagged 118 households, representing about 1.1% of the sample weight. Most flagged households reported welfare substantially higher than predicted, although these flags indicate unusual observations for further review rather than confirmed errors.</w:t>
      </w:r>
    </w:p>
    <w:p w14:paraId="721DF86C" w14:textId="7FD12D24" w:rsidR="006E7405" w:rsidRDefault="000A05D1" w:rsidP="00ED1A88">
      <w:pPr>
        <w:rPr>
          <w:rFonts w:ascii="Times New Roman" w:hAnsi="Times New Roman" w:cs="Times New Roman"/>
          <w:lang w:val="es-CL"/>
        </w:rPr>
      </w:pPr>
      <w:r w:rsidRPr="000A05D1">
        <w:rPr>
          <w:rFonts w:ascii="Times New Roman" w:hAnsi="Times New Roman" w:cs="Times New Roman"/>
          <w:noProof/>
          <w:lang w:val="es-CL"/>
        </w:rPr>
        <w:drawing>
          <wp:inline distT="0" distB="0" distL="0" distR="0" wp14:anchorId="16BDC208" wp14:editId="0A4BE65B">
            <wp:extent cx="5943600" cy="481965"/>
            <wp:effectExtent l="0" t="0" r="0" b="0"/>
            <wp:docPr id="180502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9976" name=""/>
                    <pic:cNvPicPr/>
                  </pic:nvPicPr>
                  <pic:blipFill>
                    <a:blip r:embed="rId24"/>
                    <a:stretch>
                      <a:fillRect/>
                    </a:stretch>
                  </pic:blipFill>
                  <pic:spPr>
                    <a:xfrm>
                      <a:off x="0" y="0"/>
                      <a:ext cx="5943600" cy="481965"/>
                    </a:xfrm>
                    <a:prstGeom prst="rect">
                      <a:avLst/>
                    </a:prstGeom>
                  </pic:spPr>
                </pic:pic>
              </a:graphicData>
            </a:graphic>
          </wp:inline>
        </w:drawing>
      </w:r>
    </w:p>
    <w:p w14:paraId="723B60FE" w14:textId="7DDF4B0D" w:rsidR="00693ABB" w:rsidRPr="00960A58" w:rsidRDefault="00693ABB" w:rsidP="00ED1A88">
      <w:pPr>
        <w:rPr>
          <w:rFonts w:ascii="Times New Roman" w:hAnsi="Times New Roman" w:cs="Times New Roman"/>
          <w:lang w:val="es-CL"/>
        </w:rPr>
      </w:pPr>
      <w:r w:rsidRPr="00693ABB">
        <w:rPr>
          <w:rFonts w:ascii="Times New Roman" w:hAnsi="Times New Roman" w:cs="Times New Roman"/>
          <w:noProof/>
          <w:lang w:val="es-CL"/>
        </w:rPr>
        <w:lastRenderedPageBreak/>
        <w:drawing>
          <wp:inline distT="0" distB="0" distL="0" distR="0" wp14:anchorId="7A4F3FA2" wp14:editId="2F150C3C">
            <wp:extent cx="5943600" cy="4457700"/>
            <wp:effectExtent l="0" t="0" r="0" b="0"/>
            <wp:docPr id="12127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3112" name=""/>
                    <pic:cNvPicPr/>
                  </pic:nvPicPr>
                  <pic:blipFill>
                    <a:blip r:embed="rId25"/>
                    <a:stretch>
                      <a:fillRect/>
                    </a:stretch>
                  </pic:blipFill>
                  <pic:spPr>
                    <a:xfrm>
                      <a:off x="0" y="0"/>
                      <a:ext cx="5943600" cy="4457700"/>
                    </a:xfrm>
                    <a:prstGeom prst="rect">
                      <a:avLst/>
                    </a:prstGeom>
                  </pic:spPr>
                </pic:pic>
              </a:graphicData>
            </a:graphic>
          </wp:inline>
        </w:drawing>
      </w:r>
    </w:p>
    <w:p w14:paraId="21EDC3DB" w14:textId="77777777" w:rsidR="001E074B" w:rsidRPr="001E074B" w:rsidRDefault="001E074B" w:rsidP="001E074B">
      <w:pPr>
        <w:rPr>
          <w:rFonts w:ascii="Times New Roman" w:hAnsi="Times New Roman" w:cs="Times New Roman"/>
        </w:rPr>
      </w:pPr>
      <w:r w:rsidRPr="001E074B">
        <w:rPr>
          <w:rFonts w:ascii="Times New Roman" w:hAnsi="Times New Roman" w:cs="Times New Roman"/>
        </w:rPr>
        <w:t>The Malawi 1997 file does not contain roof material, water access, or education variables. Therefore, the regression used the available predictors: urban/rural status, household size, and subnational area.</w:t>
      </w:r>
    </w:p>
    <w:p w14:paraId="6D0E6D9E" w14:textId="748A2D62" w:rsidR="19987528" w:rsidRPr="001E074B" w:rsidRDefault="19987528" w:rsidP="19987528">
      <w:pPr>
        <w:rPr>
          <w:rFonts w:ascii="Times New Roman" w:hAnsi="Times New Roman" w:cs="Times New Roman"/>
        </w:rPr>
      </w:pPr>
    </w:p>
    <w:p w14:paraId="7FFFB99E" w14:textId="77777777" w:rsidR="00980A20" w:rsidRPr="001E074B" w:rsidRDefault="00980A20" w:rsidP="19987528">
      <w:pPr>
        <w:rPr>
          <w:rFonts w:ascii="Times New Roman" w:hAnsi="Times New Roman" w:cs="Times New Roman"/>
        </w:rPr>
      </w:pPr>
    </w:p>
    <w:p w14:paraId="39099C25" w14:textId="77777777" w:rsidR="00980A20" w:rsidRPr="001E074B" w:rsidRDefault="00980A20" w:rsidP="19987528">
      <w:pPr>
        <w:rPr>
          <w:rFonts w:ascii="Times New Roman" w:hAnsi="Times New Roman" w:cs="Times New Roman"/>
        </w:rPr>
      </w:pPr>
    </w:p>
    <w:p w14:paraId="38822D87" w14:textId="7E7D4DFD" w:rsidR="00980A20" w:rsidRPr="001E074B" w:rsidRDefault="00980A20" w:rsidP="19987528">
      <w:pPr>
        <w:rPr>
          <w:rFonts w:ascii="Times New Roman" w:hAnsi="Times New Roman" w:cs="Times New Roman"/>
        </w:rPr>
      </w:pPr>
    </w:p>
    <w:sectPr w:rsidR="00980A20" w:rsidRPr="001E074B">
      <w:footerReference w:type="even" r:id="rId26"/>
      <w:footerReference w:type="default" r:id="rId27"/>
      <w:footerReference w:type="first" r:id="rId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5C10AF" w:rsidRDefault="00000000">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5C10AF" w:rsidRDefault="00000000">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5C10AF" w:rsidRDefault="00000000">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5C10AF" w:rsidRDefault="005C10AF">
      <w:pPr>
        <w:pStyle w:val="CommentText"/>
      </w:pPr>
    </w:p>
    <w:p w14:paraId="7F992D3A" w14:textId="6EF884A7" w:rsidR="005C10AF" w:rsidRDefault="00000000">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 w:id="7" w:author="Daniela Avayu Zaliasnik" w:date="2026-09-12T13:07:00Z" w:initials="DA">
    <w:p w14:paraId="2825E104" w14:textId="75DAE1BB" w:rsidR="005A4BB2" w:rsidRDefault="005A4BB2" w:rsidP="005A4BB2">
      <w:pPr>
        <w:pStyle w:val="CommentText"/>
      </w:pPr>
      <w:r>
        <w:rPr>
          <w:rStyle w:val="CommentReference"/>
        </w:rPr>
        <w:annotationRef/>
      </w:r>
      <w:r>
        <w:fldChar w:fldCharType="begin"/>
      </w:r>
      <w:r>
        <w:instrText>HYPERLINK "mailto:nyonzan@worldbank.org"</w:instrText>
      </w:r>
      <w:bookmarkStart w:id="8" w:name="_@_2F68CFCF323149E4B3B412CEC0E7FBD7Z"/>
      <w:r>
        <w:fldChar w:fldCharType="separate"/>
      </w:r>
      <w:bookmarkEnd w:id="8"/>
      <w:r w:rsidRPr="005A4BB2">
        <w:rPr>
          <w:rStyle w:val="Mention"/>
          <w:noProof/>
        </w:rPr>
        <w:t>@Nishant Yonzan</w:t>
      </w:r>
      <w:r>
        <w:fldChar w:fldCharType="end"/>
      </w:r>
      <w:r>
        <w:t xml:space="preserve"> </w:t>
      </w:r>
      <w:r>
        <w:fldChar w:fldCharType="begin"/>
      </w:r>
      <w:r>
        <w:instrText>HYPERLINK "mailto:ykimura1@worldbank.org"</w:instrText>
      </w:r>
      <w:bookmarkStart w:id="9" w:name="_@_BE352B7C894C432C94C0D6158BC4BDB5Z"/>
      <w:r>
        <w:fldChar w:fldCharType="separate"/>
      </w:r>
      <w:bookmarkEnd w:id="9"/>
      <w:r w:rsidRPr="005A4BB2">
        <w:rPr>
          <w:rStyle w:val="Mention"/>
          <w:noProof/>
        </w:rPr>
        <w:t>@Yuki Kimura</w:t>
      </w:r>
      <w:r>
        <w:fldChar w:fldCharType="end"/>
      </w:r>
      <w:r>
        <w:t xml:space="preserve"> let me know if this structure makes sense! I just had wifi today (Saturday) so I am trying to advance as much as possible.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Ex w15:paraId="2825E1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Extensible w16cex:durableId="72F0BA2A" w16cex:dateUtc="2026-09-12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Id w16cid:paraId="2825E104" w16cid:durableId="72F0BA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BC28D" w14:textId="77777777" w:rsidR="00C1376E" w:rsidRDefault="00C1376E" w:rsidP="0082127B">
      <w:pPr>
        <w:spacing w:after="0" w:line="240" w:lineRule="auto"/>
      </w:pPr>
      <w:r>
        <w:separator/>
      </w:r>
    </w:p>
  </w:endnote>
  <w:endnote w:type="continuationSeparator" w:id="0">
    <w:p w14:paraId="63D80623" w14:textId="77777777" w:rsidR="00C1376E" w:rsidRDefault="00C1376E"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E1016" w14:textId="77777777" w:rsidR="00C1376E" w:rsidRDefault="00C1376E" w:rsidP="0082127B">
      <w:pPr>
        <w:spacing w:after="0" w:line="240" w:lineRule="auto"/>
      </w:pPr>
      <w:r>
        <w:separator/>
      </w:r>
    </w:p>
  </w:footnote>
  <w:footnote w:type="continuationSeparator" w:id="0">
    <w:p w14:paraId="2CD67152" w14:textId="77777777" w:rsidR="00C1376E" w:rsidRDefault="00C1376E"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C993FD2"/>
    <w:multiLevelType w:val="multilevel"/>
    <w:tmpl w:val="3F58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 w:numId="18" w16cid:durableId="133086551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A05D1"/>
    <w:rsid w:val="000B4DE6"/>
    <w:rsid w:val="000C4293"/>
    <w:rsid w:val="000C4A9B"/>
    <w:rsid w:val="000C5131"/>
    <w:rsid w:val="000E0584"/>
    <w:rsid w:val="000E5D16"/>
    <w:rsid w:val="0015306A"/>
    <w:rsid w:val="001671A2"/>
    <w:rsid w:val="00172ACD"/>
    <w:rsid w:val="001772B0"/>
    <w:rsid w:val="00180E24"/>
    <w:rsid w:val="00184091"/>
    <w:rsid w:val="00190D92"/>
    <w:rsid w:val="001A1A34"/>
    <w:rsid w:val="001A1AF6"/>
    <w:rsid w:val="001C2061"/>
    <w:rsid w:val="001D1D49"/>
    <w:rsid w:val="001E074B"/>
    <w:rsid w:val="001F21BD"/>
    <w:rsid w:val="001F61FD"/>
    <w:rsid w:val="00201F62"/>
    <w:rsid w:val="00206D58"/>
    <w:rsid w:val="00233896"/>
    <w:rsid w:val="00235997"/>
    <w:rsid w:val="00235A8A"/>
    <w:rsid w:val="00235CDC"/>
    <w:rsid w:val="00243E6B"/>
    <w:rsid w:val="00276736"/>
    <w:rsid w:val="0029361C"/>
    <w:rsid w:val="002A5C5A"/>
    <w:rsid w:val="002A76DD"/>
    <w:rsid w:val="002B2624"/>
    <w:rsid w:val="002B44B6"/>
    <w:rsid w:val="002C43DE"/>
    <w:rsid w:val="002C590A"/>
    <w:rsid w:val="002D11A0"/>
    <w:rsid w:val="00305007"/>
    <w:rsid w:val="003103C7"/>
    <w:rsid w:val="00316291"/>
    <w:rsid w:val="0031D0AA"/>
    <w:rsid w:val="0032609D"/>
    <w:rsid w:val="00332E6E"/>
    <w:rsid w:val="00334E4D"/>
    <w:rsid w:val="0034439E"/>
    <w:rsid w:val="003B7807"/>
    <w:rsid w:val="003C0F00"/>
    <w:rsid w:val="003D1666"/>
    <w:rsid w:val="003D1D0F"/>
    <w:rsid w:val="003D4F2C"/>
    <w:rsid w:val="00426C55"/>
    <w:rsid w:val="004372D9"/>
    <w:rsid w:val="004533A5"/>
    <w:rsid w:val="00460E0E"/>
    <w:rsid w:val="0046140B"/>
    <w:rsid w:val="00461557"/>
    <w:rsid w:val="004616D8"/>
    <w:rsid w:val="00483D44"/>
    <w:rsid w:val="00484656"/>
    <w:rsid w:val="004B5F16"/>
    <w:rsid w:val="004F4974"/>
    <w:rsid w:val="00501286"/>
    <w:rsid w:val="005246B7"/>
    <w:rsid w:val="005253A8"/>
    <w:rsid w:val="00525D5C"/>
    <w:rsid w:val="00533A1F"/>
    <w:rsid w:val="00540222"/>
    <w:rsid w:val="00540929"/>
    <w:rsid w:val="005474C5"/>
    <w:rsid w:val="005578CA"/>
    <w:rsid w:val="005671F2"/>
    <w:rsid w:val="00573289"/>
    <w:rsid w:val="005831C8"/>
    <w:rsid w:val="005875CD"/>
    <w:rsid w:val="00587C8E"/>
    <w:rsid w:val="005933E4"/>
    <w:rsid w:val="0059438E"/>
    <w:rsid w:val="00597CD2"/>
    <w:rsid w:val="005A4BB2"/>
    <w:rsid w:val="005A56F5"/>
    <w:rsid w:val="005A7996"/>
    <w:rsid w:val="005B7851"/>
    <w:rsid w:val="005C10AF"/>
    <w:rsid w:val="005C393F"/>
    <w:rsid w:val="005E6700"/>
    <w:rsid w:val="005F5D22"/>
    <w:rsid w:val="006144F6"/>
    <w:rsid w:val="00621090"/>
    <w:rsid w:val="00646212"/>
    <w:rsid w:val="006611B3"/>
    <w:rsid w:val="00664173"/>
    <w:rsid w:val="00670A1D"/>
    <w:rsid w:val="00674C49"/>
    <w:rsid w:val="00675C42"/>
    <w:rsid w:val="0068146F"/>
    <w:rsid w:val="00693ABB"/>
    <w:rsid w:val="00693F5A"/>
    <w:rsid w:val="006A7426"/>
    <w:rsid w:val="006D2F76"/>
    <w:rsid w:val="006E46C3"/>
    <w:rsid w:val="006E6608"/>
    <w:rsid w:val="006E7405"/>
    <w:rsid w:val="006F263B"/>
    <w:rsid w:val="00705A65"/>
    <w:rsid w:val="007178F1"/>
    <w:rsid w:val="0072050D"/>
    <w:rsid w:val="007242B3"/>
    <w:rsid w:val="007267FF"/>
    <w:rsid w:val="00730998"/>
    <w:rsid w:val="00731395"/>
    <w:rsid w:val="00747400"/>
    <w:rsid w:val="00765659"/>
    <w:rsid w:val="00766B57"/>
    <w:rsid w:val="007A1DBF"/>
    <w:rsid w:val="007A72A5"/>
    <w:rsid w:val="007B5EF2"/>
    <w:rsid w:val="007B70BD"/>
    <w:rsid w:val="007D532F"/>
    <w:rsid w:val="007D6B10"/>
    <w:rsid w:val="007E0018"/>
    <w:rsid w:val="007E55AC"/>
    <w:rsid w:val="007F23DA"/>
    <w:rsid w:val="0082127B"/>
    <w:rsid w:val="00821A6A"/>
    <w:rsid w:val="00821BDD"/>
    <w:rsid w:val="008574BE"/>
    <w:rsid w:val="008635C0"/>
    <w:rsid w:val="00882D8C"/>
    <w:rsid w:val="008A4684"/>
    <w:rsid w:val="008B4B25"/>
    <w:rsid w:val="008D137F"/>
    <w:rsid w:val="008D15EE"/>
    <w:rsid w:val="008F5770"/>
    <w:rsid w:val="00917F48"/>
    <w:rsid w:val="00923221"/>
    <w:rsid w:val="0093556C"/>
    <w:rsid w:val="009510F5"/>
    <w:rsid w:val="00952EA9"/>
    <w:rsid w:val="00960A58"/>
    <w:rsid w:val="00972B7A"/>
    <w:rsid w:val="00980A20"/>
    <w:rsid w:val="00984C0F"/>
    <w:rsid w:val="0098721D"/>
    <w:rsid w:val="00992C5F"/>
    <w:rsid w:val="009A740B"/>
    <w:rsid w:val="009A7547"/>
    <w:rsid w:val="009B13A7"/>
    <w:rsid w:val="009B2590"/>
    <w:rsid w:val="009B4BB0"/>
    <w:rsid w:val="009C3000"/>
    <w:rsid w:val="009C4BC6"/>
    <w:rsid w:val="009C7A90"/>
    <w:rsid w:val="009D5159"/>
    <w:rsid w:val="009D6ECC"/>
    <w:rsid w:val="009E6266"/>
    <w:rsid w:val="00A00873"/>
    <w:rsid w:val="00A0574C"/>
    <w:rsid w:val="00A11369"/>
    <w:rsid w:val="00A20009"/>
    <w:rsid w:val="00A23D96"/>
    <w:rsid w:val="00A27F26"/>
    <w:rsid w:val="00A43611"/>
    <w:rsid w:val="00A44AE6"/>
    <w:rsid w:val="00A522DB"/>
    <w:rsid w:val="00A568A3"/>
    <w:rsid w:val="00A62E1D"/>
    <w:rsid w:val="00A64173"/>
    <w:rsid w:val="00A85EE7"/>
    <w:rsid w:val="00A9049C"/>
    <w:rsid w:val="00A92B31"/>
    <w:rsid w:val="00A969F3"/>
    <w:rsid w:val="00AD1273"/>
    <w:rsid w:val="00AD1C96"/>
    <w:rsid w:val="00AE1EBF"/>
    <w:rsid w:val="00AE44B4"/>
    <w:rsid w:val="00B0395D"/>
    <w:rsid w:val="00B04B77"/>
    <w:rsid w:val="00B0743E"/>
    <w:rsid w:val="00B07791"/>
    <w:rsid w:val="00B34903"/>
    <w:rsid w:val="00B35999"/>
    <w:rsid w:val="00B36953"/>
    <w:rsid w:val="00B434D0"/>
    <w:rsid w:val="00B437AB"/>
    <w:rsid w:val="00B46BB6"/>
    <w:rsid w:val="00B504D4"/>
    <w:rsid w:val="00B630F4"/>
    <w:rsid w:val="00B749CD"/>
    <w:rsid w:val="00BB4E54"/>
    <w:rsid w:val="00BD3B91"/>
    <w:rsid w:val="00BE0E98"/>
    <w:rsid w:val="00C074F4"/>
    <w:rsid w:val="00C1376E"/>
    <w:rsid w:val="00C22A2C"/>
    <w:rsid w:val="00C42CC2"/>
    <w:rsid w:val="00C77959"/>
    <w:rsid w:val="00C837D3"/>
    <w:rsid w:val="00C931DF"/>
    <w:rsid w:val="00CA50F1"/>
    <w:rsid w:val="00CB0FDE"/>
    <w:rsid w:val="00CB257F"/>
    <w:rsid w:val="00CC20C0"/>
    <w:rsid w:val="00CE7C1C"/>
    <w:rsid w:val="00CF0042"/>
    <w:rsid w:val="00D338D0"/>
    <w:rsid w:val="00D366D6"/>
    <w:rsid w:val="00D5702A"/>
    <w:rsid w:val="00D653C8"/>
    <w:rsid w:val="00D71559"/>
    <w:rsid w:val="00D921A3"/>
    <w:rsid w:val="00DA08D7"/>
    <w:rsid w:val="00DA42BC"/>
    <w:rsid w:val="00DC77BC"/>
    <w:rsid w:val="00DE721A"/>
    <w:rsid w:val="00E0060C"/>
    <w:rsid w:val="00E038CA"/>
    <w:rsid w:val="00E33FC0"/>
    <w:rsid w:val="00E56E70"/>
    <w:rsid w:val="00E97FD3"/>
    <w:rsid w:val="00EB2054"/>
    <w:rsid w:val="00EB3955"/>
    <w:rsid w:val="00EB6D63"/>
    <w:rsid w:val="00EC11D4"/>
    <w:rsid w:val="00EC34ED"/>
    <w:rsid w:val="00ED1A88"/>
    <w:rsid w:val="00F0442D"/>
    <w:rsid w:val="00F04D6D"/>
    <w:rsid w:val="00F17D32"/>
    <w:rsid w:val="00F21492"/>
    <w:rsid w:val="00F25BC4"/>
    <w:rsid w:val="00F44A4A"/>
    <w:rsid w:val="00F82D17"/>
    <w:rsid w:val="00F852F4"/>
    <w:rsid w:val="00F924C6"/>
    <w:rsid w:val="00FA1F3A"/>
    <w:rsid w:val="00FB1DBB"/>
    <w:rsid w:val="00FD0574"/>
    <w:rsid w:val="00FD4CAD"/>
    <w:rsid w:val="00FF0DEA"/>
    <w:rsid w:val="00FF46F6"/>
    <w:rsid w:val="01805288"/>
    <w:rsid w:val="05B04A73"/>
    <w:rsid w:val="05EDC7B9"/>
    <w:rsid w:val="0A7B1F8F"/>
    <w:rsid w:val="0DEBFA94"/>
    <w:rsid w:val="0E4D1763"/>
    <w:rsid w:val="166E6B61"/>
    <w:rsid w:val="19987528"/>
    <w:rsid w:val="1CCA3EDC"/>
    <w:rsid w:val="1E12F32A"/>
    <w:rsid w:val="1F1AB13E"/>
    <w:rsid w:val="2102C840"/>
    <w:rsid w:val="211D8BEA"/>
    <w:rsid w:val="251EC4D5"/>
    <w:rsid w:val="2942F37D"/>
    <w:rsid w:val="2973EF90"/>
    <w:rsid w:val="2DF58D61"/>
    <w:rsid w:val="32104BAA"/>
    <w:rsid w:val="33ACEA20"/>
    <w:rsid w:val="37757DBB"/>
    <w:rsid w:val="427C7962"/>
    <w:rsid w:val="4581E9D3"/>
    <w:rsid w:val="49954D9F"/>
    <w:rsid w:val="4E1827FF"/>
    <w:rsid w:val="53D86757"/>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A88"/>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 w:type="character" w:styleId="Mention">
    <w:name w:val="Mention"/>
    <w:basedOn w:val="DefaultParagraphFont"/>
    <w:uiPriority w:val="99"/>
    <w:unhideWhenUsed/>
    <w:rsid w:val="005A4BB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image" Target="media/image6.png"/><Relationship Id="rId28" Type="http://schemas.openxmlformats.org/officeDocument/2006/relationships/footer" Target="footer3.xml"/><Relationship Id="rId10" Type="http://schemas.microsoft.com/office/2018/08/relationships/commentsExtensible" Target="commentsExtensible.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image" Target="media/image5.png"/><Relationship Id="rId27" Type="http://schemas.openxmlformats.org/officeDocument/2006/relationships/footer" Target="footer2.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4793</TotalTime>
  <Pages>22</Pages>
  <Words>4554</Words>
  <Characters>25964</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30458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214</cp:revision>
  <dcterms:created xsi:type="dcterms:W3CDTF">2026-06-15T17:32:00Z</dcterms:created>
  <dcterms:modified xsi:type="dcterms:W3CDTF">2026-09-13T00:26:00Z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