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73CC8A" w14:textId="067CA1CA" w:rsidR="009C4BC6" w:rsidRPr="002A5C5A" w:rsidRDefault="00C42CC2">
      <w:pPr>
        <w:rPr>
          <w:rFonts w:ascii="Times New Roman" w:hAnsi="Times New Roman" w:cs="Times New Roman"/>
          <w:b/>
          <w:bCs/>
          <w:u w:val="single"/>
        </w:rPr>
      </w:pPr>
      <w:r w:rsidRPr="002A5C5A">
        <w:rPr>
          <w:rFonts w:ascii="Times New Roman" w:hAnsi="Times New Roman" w:cs="Times New Roman"/>
          <w:b/>
          <w:bCs/>
          <w:u w:val="single"/>
        </w:rPr>
        <w:t>Literature Review</w:t>
      </w:r>
    </w:p>
    <w:p w14:paraId="74DA3C95" w14:textId="77777777" w:rsidR="009C4BC6" w:rsidRPr="002A5C5A" w:rsidRDefault="009C4BC6" w:rsidP="009C4BC6">
      <w:pPr>
        <w:rPr>
          <w:rFonts w:ascii="Times New Roman" w:hAnsi="Times New Roman" w:cs="Times New Roman"/>
          <w:b/>
          <w:bCs/>
        </w:rPr>
      </w:pPr>
      <w:r w:rsidRPr="002A5C5A">
        <w:rPr>
          <w:rFonts w:ascii="Times New Roman" w:hAnsi="Times New Roman" w:cs="Times New Roman"/>
          <w:b/>
          <w:bCs/>
        </w:rPr>
        <w:t>Treatment of Upper-Tail Values in Income Distribution Analysis</w:t>
      </w:r>
    </w:p>
    <w:p w14:paraId="73531D7B" w14:textId="77777777" w:rsidR="009C4BC6" w:rsidRPr="002A5C5A" w:rsidRDefault="009C4BC6" w:rsidP="009C4BC6">
      <w:pPr>
        <w:rPr>
          <w:rFonts w:ascii="Times New Roman" w:hAnsi="Times New Roman" w:cs="Times New Roman"/>
        </w:rPr>
      </w:pPr>
      <w:r w:rsidRPr="002A5C5A">
        <w:rPr>
          <w:rFonts w:ascii="Times New Roman" w:hAnsi="Times New Roman" w:cs="Times New Roman"/>
        </w:rPr>
        <w:t>Inequality measures based on household survey microdata can be highly sensitive to a small number of observations at the top of the welfare distribution. This is particularly relevant for indicators that assign substantial weight to large deviations from the mean, such as the mean, Generalized Entropy measures, the mean log deviation, and Atkinson indices. Extreme upper-tail observations may reflect genuine high incomes or consumption levels, but they can also arise from reporting error, data-processing error, measurement problems, or limited representativeness of very high-income households in survey samples. The methodological challenge is therefore not simply to remove high values, but to limit undue influence while preserving plausible information about the upper tail.</w:t>
      </w:r>
    </w:p>
    <w:p w14:paraId="569EF38A" w14:textId="77777777" w:rsidR="009C4BC6" w:rsidRPr="002A5C5A" w:rsidRDefault="009C4BC6" w:rsidP="009C4BC6">
      <w:pPr>
        <w:rPr>
          <w:rFonts w:ascii="Times New Roman" w:hAnsi="Times New Roman" w:cs="Times New Roman"/>
        </w:rPr>
      </w:pPr>
      <w:r w:rsidRPr="002A5C5A">
        <w:rPr>
          <w:rFonts w:ascii="Times New Roman" w:hAnsi="Times New Roman" w:cs="Times New Roman"/>
        </w:rPr>
        <w:t>A common institutional approach is top-coding. The Luxembourg Income Study (LIS) currently identifies potential outliers using the interquartile range of log income. Specifically, the upper threshold is defined as:</w:t>
      </w:r>
    </w:p>
    <w:p w14:paraId="485A6D5C" w14:textId="1EEC44AC" w:rsidR="008A4684" w:rsidRPr="002A5C5A" w:rsidRDefault="00675C42" w:rsidP="009C4BC6">
      <w:pPr>
        <w:rPr>
          <w:rFonts w:ascii="Times New Roman" w:eastAsiaTheme="minorEastAsia" w:hAnsi="Times New Roman" w:cs="Times New Roman"/>
        </w:rPr>
      </w:pPr>
      <m:oMathPara>
        <m:oMath>
          <m:r>
            <w:rPr>
              <w:rFonts w:ascii="Cambria Math" w:eastAsiaTheme="minorEastAsia" w:hAnsi="Cambria Math" w:cs="Times New Roman"/>
            </w:rPr>
            <m:t>exp[Q3(log y)+3* IQR(log y)]</m:t>
          </m:r>
        </m:oMath>
      </m:oMathPara>
    </w:p>
    <w:p w14:paraId="1B13A752" w14:textId="5C79D12C" w:rsidR="009C4BC6" w:rsidRPr="002A5C5A" w:rsidRDefault="009C4BC6" w:rsidP="009C4BC6">
      <w:pPr>
        <w:rPr>
          <w:rFonts w:ascii="Times New Roman" w:eastAsiaTheme="minorEastAsia" w:hAnsi="Times New Roman" w:cs="Times New Roman"/>
        </w:rPr>
      </w:pPr>
      <w:r w:rsidRPr="002A5C5A">
        <w:rPr>
          <w:rFonts w:ascii="Times New Roman" w:hAnsi="Times New Roman" w:cs="Times New Roman"/>
        </w:rPr>
        <w:t>Income values above this threshold are set equal to the threshold. This method replaced an earlier LIS rule based on ten times median household income. The log-IQR rule is designed to be more adaptable across countries with different levels of inequality and income dispersion. It is also transparent and easy to apply consistently across surveys. Importantly, LIS top-coding does not delete observations or change their survey weights: it retains the affected households but limits the income value used in the calculation of inequality statistics (</w:t>
      </w:r>
      <w:proofErr w:type="spellStart"/>
      <w:r w:rsidRPr="002A5C5A">
        <w:rPr>
          <w:rFonts w:ascii="Times New Roman" w:hAnsi="Times New Roman" w:cs="Times New Roman"/>
        </w:rPr>
        <w:t>Neugschwender</w:t>
      </w:r>
      <w:proofErr w:type="spellEnd"/>
      <w:r w:rsidRPr="002A5C5A">
        <w:rPr>
          <w:rFonts w:ascii="Times New Roman" w:hAnsi="Times New Roman" w:cs="Times New Roman"/>
        </w:rPr>
        <w:t>, 2020).</w:t>
      </w:r>
    </w:p>
    <w:p w14:paraId="5C06A92A" w14:textId="6A9E2050" w:rsidR="009C4BC6" w:rsidRPr="002A5C5A" w:rsidRDefault="009C4BC6" w:rsidP="009C4BC6">
      <w:pPr>
        <w:rPr>
          <w:rFonts w:ascii="Times New Roman" w:hAnsi="Times New Roman" w:cs="Times New Roman"/>
        </w:rPr>
      </w:pPr>
      <w:r w:rsidRPr="002A5C5A">
        <w:rPr>
          <w:rFonts w:ascii="Times New Roman" w:hAnsi="Times New Roman" w:cs="Times New Roman"/>
        </w:rPr>
        <w:t xml:space="preserve">The Current Population Survey (CPS) in the United States also applies top-coding, although its main purpose is disclosure avoidance rather than robustness of inequality estimates. The exact procedure depends on the CPS product. In the Annual Social and Economic Supplement (ASEC), values above source-specific </w:t>
      </w:r>
      <w:proofErr w:type="spellStart"/>
      <w:r w:rsidRPr="002A5C5A">
        <w:rPr>
          <w:rFonts w:ascii="Times New Roman" w:hAnsi="Times New Roman" w:cs="Times New Roman"/>
        </w:rPr>
        <w:t>topcode</w:t>
      </w:r>
      <w:proofErr w:type="spellEnd"/>
      <w:r w:rsidRPr="002A5C5A">
        <w:rPr>
          <w:rFonts w:ascii="Times New Roman" w:hAnsi="Times New Roman" w:cs="Times New Roman"/>
        </w:rPr>
        <w:t xml:space="preserve"> thresholds are subject to rank-proximity swapping and rounding. This preserves much of the distribution of high values in public-use data while preventing identification of individual respondents. In the monthly CPS, some usual hourly earnings variables are top-coded dynamically: the upper 3 percent of reported earnings are replaced with their weighted average. </w:t>
      </w:r>
      <w:r w:rsidR="00B749CD" w:rsidRPr="00B749CD">
        <w:rPr>
          <w:rFonts w:ascii="Times New Roman" w:hAnsi="Times New Roman" w:cs="Times New Roman"/>
        </w:rPr>
        <w:t>These procedures are therefore useful examples of how statistical agencies protect confidentiality, but they should not be interpreted as a general empirical rule for identifying invalid upper-tail observations (U.S. Census Bureau, 2021, 2024).</w:t>
      </w:r>
    </w:p>
    <w:p w14:paraId="069488D4" w14:textId="77777777" w:rsidR="009C4BC6" w:rsidRPr="002A5C5A" w:rsidRDefault="009C4BC6" w:rsidP="009C4BC6">
      <w:pPr>
        <w:rPr>
          <w:rFonts w:ascii="Times New Roman" w:hAnsi="Times New Roman" w:cs="Times New Roman"/>
        </w:rPr>
      </w:pPr>
      <w:r w:rsidRPr="002A5C5A">
        <w:rPr>
          <w:rFonts w:ascii="Times New Roman" w:hAnsi="Times New Roman" w:cs="Times New Roman"/>
        </w:rPr>
        <w:t xml:space="preserve">A more model-based approach is developed in the EU-SILC literature. Van Kerm (2007) compares simple trimming and </w:t>
      </w:r>
      <w:proofErr w:type="spellStart"/>
      <w:r w:rsidRPr="002A5C5A">
        <w:rPr>
          <w:rFonts w:ascii="Times New Roman" w:hAnsi="Times New Roman" w:cs="Times New Roman"/>
        </w:rPr>
        <w:t>winsorizing</w:t>
      </w:r>
      <w:proofErr w:type="spellEnd"/>
      <w:r w:rsidRPr="002A5C5A">
        <w:rPr>
          <w:rFonts w:ascii="Times New Roman" w:hAnsi="Times New Roman" w:cs="Times New Roman"/>
        </w:rPr>
        <w:t xml:space="preserve"> procedures with methods based on robust parametric tail modelling. Trimming removes a fixed percentage of extreme observations, while </w:t>
      </w:r>
      <w:proofErr w:type="spellStart"/>
      <w:r w:rsidRPr="002A5C5A">
        <w:rPr>
          <w:rFonts w:ascii="Times New Roman" w:hAnsi="Times New Roman" w:cs="Times New Roman"/>
        </w:rPr>
        <w:t>winsorizing</w:t>
      </w:r>
      <w:proofErr w:type="spellEnd"/>
      <w:r w:rsidRPr="002A5C5A">
        <w:rPr>
          <w:rFonts w:ascii="Times New Roman" w:hAnsi="Times New Roman" w:cs="Times New Roman"/>
        </w:rPr>
        <w:t xml:space="preserve"> replaces them with the corresponding cutoff value. These methods are straightforward but can be arbitrary: trimming assumes that the removed observations contain no useful information, while </w:t>
      </w:r>
      <w:proofErr w:type="spellStart"/>
      <w:r w:rsidRPr="002A5C5A">
        <w:rPr>
          <w:rFonts w:ascii="Times New Roman" w:hAnsi="Times New Roman" w:cs="Times New Roman"/>
        </w:rPr>
        <w:t>winsorizing</w:t>
      </w:r>
      <w:proofErr w:type="spellEnd"/>
      <w:r w:rsidRPr="002A5C5A">
        <w:rPr>
          <w:rFonts w:ascii="Times New Roman" w:hAnsi="Times New Roman" w:cs="Times New Roman"/>
        </w:rPr>
        <w:t xml:space="preserve"> imposes the same value on all observations above the threshold.</w:t>
      </w:r>
    </w:p>
    <w:p w14:paraId="60D5C957" w14:textId="77777777" w:rsidR="007D6B10" w:rsidRDefault="007D6B10" w:rsidP="009C4BC6">
      <w:pPr>
        <w:rPr>
          <w:rFonts w:ascii="Times New Roman" w:hAnsi="Times New Roman" w:cs="Times New Roman"/>
        </w:rPr>
      </w:pPr>
      <w:r w:rsidRPr="007D6B10">
        <w:rPr>
          <w:rFonts w:ascii="Times New Roman" w:hAnsi="Times New Roman" w:cs="Times New Roman"/>
        </w:rPr>
        <w:lastRenderedPageBreak/>
        <w:t>The model-based alternative estimates the upper tail using a Pareto distribution. Rather than fitting the model to the entire income distribution, the approach combines a parametric model for the tails with the empirical distribution of the bulk of the data. Inequality and poverty indicators can then be estimated from this semi-parametric distribution. Importantly, this approach does not necessarily require modifying individual observations. However, the estimated tail model can also be used to adjust the microdata, for example by imputing extreme incomes with random draws from the fitted tail distribution or by assigning robustness weights that reduce the influence of observations that deviate strongly from the estimated tail. This approach therefore does not assume that extreme observations are necessarily erroneous; rather, it seeks to balance robustness to potentially influential observations with the preservation of information contained in the observed upper tail.</w:t>
      </w:r>
    </w:p>
    <w:p w14:paraId="5D63675C" w14:textId="422D59AB" w:rsidR="009C4BC6" w:rsidRPr="002A5C5A" w:rsidRDefault="005831C8" w:rsidP="009C4BC6">
      <w:pPr>
        <w:rPr>
          <w:rFonts w:ascii="Times New Roman" w:hAnsi="Times New Roman" w:cs="Times New Roman"/>
        </w:rPr>
      </w:pPr>
      <w:r w:rsidRPr="005831C8">
        <w:rPr>
          <w:rFonts w:ascii="Times New Roman" w:hAnsi="Times New Roman" w:cs="Times New Roman"/>
        </w:rPr>
        <w:t>The EU-SILC analysis shows that the treatment of extreme incomes can materially affect the numerical differences between countries in inequality measures, even when country rankings remain relatively stable.</w:t>
      </w:r>
      <w:r>
        <w:rPr>
          <w:rFonts w:ascii="Times New Roman" w:hAnsi="Times New Roman" w:cs="Times New Roman"/>
        </w:rPr>
        <w:t xml:space="preserve"> </w:t>
      </w:r>
      <w:r w:rsidR="009C4BC6" w:rsidRPr="002A5C5A">
        <w:rPr>
          <w:rFonts w:ascii="Times New Roman" w:hAnsi="Times New Roman" w:cs="Times New Roman"/>
        </w:rPr>
        <w:t xml:space="preserve">Measures such as the mean, income-share ratios, Gini, and especially GE(2) may change substantially after upper-tail adjustments. Poverty measures are generally less affected by top-income treatments, provided that the poverty line is based on a robust statistic such as the median. </w:t>
      </w:r>
      <w:r w:rsidR="00C77959" w:rsidRPr="00C77959">
        <w:rPr>
          <w:rFonts w:ascii="Times New Roman" w:hAnsi="Times New Roman" w:cs="Times New Roman"/>
        </w:rPr>
        <w:t>This distinction is important for empirical work: an upper-tail treatment may be necessary to obtain robust inequality estimates even when poverty rates remain nearly unchanged (Van Kerm, 2007).</w:t>
      </w:r>
    </w:p>
    <w:p w14:paraId="498122A4" w14:textId="77777777" w:rsidR="009C4BC6" w:rsidRPr="002A5C5A" w:rsidRDefault="009C4BC6" w:rsidP="009C4BC6">
      <w:pPr>
        <w:rPr>
          <w:rFonts w:ascii="Times New Roman" w:hAnsi="Times New Roman" w:cs="Times New Roman"/>
        </w:rPr>
      </w:pPr>
      <w:r w:rsidRPr="002A5C5A">
        <w:rPr>
          <w:rFonts w:ascii="Times New Roman" w:hAnsi="Times New Roman" w:cs="Times New Roman"/>
        </w:rPr>
        <w:t>Jenkins et al. (2011) address a related but different problem: estimation when the data are already top-coded. Their multiple-imputation approach uses a parametric distribution, such as the Generalized Beta of the Second Kind (GB2), to reconstruct the unobserved values above a known censoring threshold. This is appropriate when the original high incomes have been hidden by a data provider. It is not directly applicable to raw survey microdata with observed extreme values, because there is no known censoring point and no missing upper-tail income to recover. Nevertheless, it highlights that top-coding can introduce bias if the loss of upper-tail variation is not appropriately accounted for.</w:t>
      </w:r>
    </w:p>
    <w:p w14:paraId="2F695EA0" w14:textId="77777777" w:rsidR="00047BA6" w:rsidRPr="00047BA6" w:rsidRDefault="00047BA6" w:rsidP="00047BA6">
      <w:pPr>
        <w:rPr>
          <w:rFonts w:ascii="Times New Roman" w:hAnsi="Times New Roman" w:cs="Times New Roman"/>
        </w:rPr>
      </w:pPr>
      <w:r w:rsidRPr="00047BA6">
        <w:rPr>
          <w:rFonts w:ascii="Times New Roman" w:hAnsi="Times New Roman" w:cs="Times New Roman"/>
        </w:rPr>
        <w:t>The World Inequality Database (WID) addresses a problem that is conceptually distinct from top-coding. Rather than reducing the influence of observed high values, WID emphasizes that household surveys often under-represent the richest individuals and therefore understate top income and wealth shares. Its Distributional National Accounts framework combines survey data with tax records, national accounts, and, where available, wealth rankings. When fiscal information is available, WID compares survey and tax distributions, selects a merging point above which tax data are considered more reliable, reweights the survey distribution, and extends the upper end of the survey distribution using tax-based information. Generalized Pareto modelling is then used to infer the distribution within the upper tail (World Inequality Lab, 2025).</w:t>
      </w:r>
    </w:p>
    <w:p w14:paraId="717DB8BD" w14:textId="77777777" w:rsidR="009C4BC6" w:rsidRPr="002A5C5A" w:rsidRDefault="009C4BC6" w:rsidP="009C4BC6">
      <w:pPr>
        <w:rPr>
          <w:rFonts w:ascii="Times New Roman" w:hAnsi="Times New Roman" w:cs="Times New Roman"/>
        </w:rPr>
      </w:pPr>
      <w:r w:rsidRPr="002A5C5A">
        <w:rPr>
          <w:rFonts w:ascii="Times New Roman" w:hAnsi="Times New Roman" w:cs="Times New Roman"/>
        </w:rPr>
        <w:lastRenderedPageBreak/>
        <w:t>Overall, the literature suggests a practical hierarchy for the treatment of upper-tail values. A transparent rule such as the LIS log-IQR ceiling can serve as a consistent baseline treatment across surveys. Pareto-based diagnostics and robust tail modelling can then be used as sensitivity tools to assess whether the observations above the ceiling are compatible with a plausible upper-tail distribution and whether they disproportionately affect inequality measures. This combination provides a balance between cross-country comparability, transparency, and empirical flexibility.</w:t>
      </w:r>
    </w:p>
    <w:p w14:paraId="7F251222" w14:textId="77777777" w:rsidR="009C4BC6" w:rsidRPr="002A5C5A" w:rsidRDefault="009C4BC6" w:rsidP="009C4BC6">
      <w:pPr>
        <w:rPr>
          <w:rFonts w:ascii="Times New Roman" w:hAnsi="Times New Roman" w:cs="Times New Roman"/>
          <w:b/>
          <w:bCs/>
        </w:rPr>
      </w:pPr>
      <w:r w:rsidRPr="002A5C5A">
        <w:rPr>
          <w:rFonts w:ascii="Times New Roman" w:hAnsi="Times New Roman" w:cs="Times New Roman"/>
          <w:b/>
          <w:bCs/>
        </w:rPr>
        <w:t>References</w:t>
      </w:r>
    </w:p>
    <w:p w14:paraId="434653CF" w14:textId="77777777" w:rsidR="0059438E" w:rsidRDefault="0059438E" w:rsidP="0059438E">
      <w:pPr>
        <w:pStyle w:val="ListParagraph"/>
        <w:numPr>
          <w:ilvl w:val="0"/>
          <w:numId w:val="11"/>
        </w:numPr>
        <w:rPr>
          <w:rFonts w:ascii="Times New Roman" w:hAnsi="Times New Roman" w:cs="Times New Roman"/>
        </w:rPr>
      </w:pPr>
      <w:r w:rsidRPr="0059438E">
        <w:rPr>
          <w:rFonts w:ascii="Times New Roman" w:hAnsi="Times New Roman" w:cs="Times New Roman"/>
        </w:rPr>
        <w:t xml:space="preserve">Jenkins, S. P., </w:t>
      </w:r>
      <w:proofErr w:type="spellStart"/>
      <w:r w:rsidRPr="0059438E">
        <w:rPr>
          <w:rFonts w:ascii="Times New Roman" w:hAnsi="Times New Roman" w:cs="Times New Roman"/>
        </w:rPr>
        <w:t>Burkhauser</w:t>
      </w:r>
      <w:proofErr w:type="spellEnd"/>
      <w:r w:rsidRPr="0059438E">
        <w:rPr>
          <w:rFonts w:ascii="Times New Roman" w:hAnsi="Times New Roman" w:cs="Times New Roman"/>
        </w:rPr>
        <w:t>, R. V., Feng, S., &amp; Larrimore, J. (2011).</w:t>
      </w:r>
      <w:r>
        <w:rPr>
          <w:rFonts w:ascii="Times New Roman" w:hAnsi="Times New Roman" w:cs="Times New Roman"/>
        </w:rPr>
        <w:t xml:space="preserve"> </w:t>
      </w:r>
      <w:r w:rsidRPr="0059438E">
        <w:rPr>
          <w:rFonts w:ascii="Times New Roman" w:hAnsi="Times New Roman" w:cs="Times New Roman"/>
        </w:rPr>
        <w:t>Measuring inequality using censored data: A multiple-imputation approach</w:t>
      </w:r>
      <w:r>
        <w:rPr>
          <w:rFonts w:ascii="Times New Roman" w:hAnsi="Times New Roman" w:cs="Times New Roman"/>
        </w:rPr>
        <w:t xml:space="preserve"> </w:t>
      </w:r>
      <w:r w:rsidRPr="0059438E">
        <w:rPr>
          <w:rFonts w:ascii="Times New Roman" w:hAnsi="Times New Roman" w:cs="Times New Roman"/>
        </w:rPr>
        <w:t>to estimation and inference.</w:t>
      </w:r>
    </w:p>
    <w:p w14:paraId="4D2D7DE9" w14:textId="77777777" w:rsidR="0059438E" w:rsidRDefault="0059438E" w:rsidP="0059438E">
      <w:pPr>
        <w:pStyle w:val="ListParagraph"/>
        <w:numPr>
          <w:ilvl w:val="0"/>
          <w:numId w:val="11"/>
        </w:numPr>
        <w:rPr>
          <w:rFonts w:ascii="Times New Roman" w:hAnsi="Times New Roman" w:cs="Times New Roman"/>
        </w:rPr>
      </w:pPr>
      <w:proofErr w:type="spellStart"/>
      <w:r w:rsidRPr="0059438E">
        <w:rPr>
          <w:rFonts w:ascii="Times New Roman" w:hAnsi="Times New Roman" w:cs="Times New Roman"/>
        </w:rPr>
        <w:t>Neugschwender</w:t>
      </w:r>
      <w:proofErr w:type="spellEnd"/>
      <w:r w:rsidRPr="0059438E">
        <w:rPr>
          <w:rFonts w:ascii="Times New Roman" w:hAnsi="Times New Roman" w:cs="Times New Roman"/>
        </w:rPr>
        <w:t>, J. (2020). Top and Bottom Coding at LIS.</w:t>
      </w:r>
      <w:r>
        <w:rPr>
          <w:rFonts w:ascii="Times New Roman" w:hAnsi="Times New Roman" w:cs="Times New Roman"/>
        </w:rPr>
        <w:t xml:space="preserve"> </w:t>
      </w:r>
      <w:r w:rsidRPr="0059438E">
        <w:rPr>
          <w:rFonts w:ascii="Times New Roman" w:hAnsi="Times New Roman" w:cs="Times New Roman"/>
        </w:rPr>
        <w:t>LIS Technical Working Paper No. 9.</w:t>
      </w:r>
    </w:p>
    <w:p w14:paraId="70BC6D2A" w14:textId="77777777" w:rsidR="0059438E" w:rsidRDefault="0059438E" w:rsidP="0059438E">
      <w:pPr>
        <w:pStyle w:val="ListParagraph"/>
        <w:numPr>
          <w:ilvl w:val="0"/>
          <w:numId w:val="11"/>
        </w:numPr>
        <w:rPr>
          <w:rFonts w:ascii="Times New Roman" w:hAnsi="Times New Roman" w:cs="Times New Roman"/>
        </w:rPr>
      </w:pPr>
      <w:r w:rsidRPr="0059438E">
        <w:rPr>
          <w:rFonts w:ascii="Times New Roman" w:hAnsi="Times New Roman" w:cs="Times New Roman"/>
        </w:rPr>
        <w:t>U.S. Census Bureau. (2021). Current Population Survey: Annual Social and</w:t>
      </w:r>
      <w:r>
        <w:rPr>
          <w:rFonts w:ascii="Times New Roman" w:hAnsi="Times New Roman" w:cs="Times New Roman"/>
        </w:rPr>
        <w:t xml:space="preserve"> </w:t>
      </w:r>
      <w:r w:rsidRPr="0059438E">
        <w:rPr>
          <w:rFonts w:ascii="Times New Roman" w:hAnsi="Times New Roman" w:cs="Times New Roman"/>
        </w:rPr>
        <w:t>Economic Supplement technical documentation.</w:t>
      </w:r>
    </w:p>
    <w:p w14:paraId="39485CE4" w14:textId="77777777" w:rsidR="0059438E" w:rsidRDefault="0059438E" w:rsidP="0059438E">
      <w:pPr>
        <w:pStyle w:val="ListParagraph"/>
        <w:numPr>
          <w:ilvl w:val="0"/>
          <w:numId w:val="11"/>
        </w:numPr>
        <w:rPr>
          <w:rFonts w:ascii="Times New Roman" w:hAnsi="Times New Roman" w:cs="Times New Roman"/>
        </w:rPr>
      </w:pPr>
      <w:r w:rsidRPr="0059438E">
        <w:rPr>
          <w:rFonts w:ascii="Times New Roman" w:hAnsi="Times New Roman" w:cs="Times New Roman"/>
        </w:rPr>
        <w:t>U.S. Census Bureau. (2024). Disclosure avoidance of usual hourly earnings.</w:t>
      </w:r>
    </w:p>
    <w:p w14:paraId="04A207FA" w14:textId="77777777" w:rsidR="0059438E" w:rsidRDefault="0059438E" w:rsidP="0059438E">
      <w:pPr>
        <w:pStyle w:val="ListParagraph"/>
        <w:numPr>
          <w:ilvl w:val="0"/>
          <w:numId w:val="11"/>
        </w:numPr>
        <w:rPr>
          <w:rFonts w:ascii="Times New Roman" w:hAnsi="Times New Roman" w:cs="Times New Roman"/>
        </w:rPr>
      </w:pPr>
      <w:r w:rsidRPr="0059438E">
        <w:rPr>
          <w:rFonts w:ascii="Times New Roman" w:hAnsi="Times New Roman" w:cs="Times New Roman"/>
        </w:rPr>
        <w:t>Van Kerm, P. (2007). Extreme incomes and the estimation of poverty and</w:t>
      </w:r>
      <w:r>
        <w:rPr>
          <w:rFonts w:ascii="Times New Roman" w:hAnsi="Times New Roman" w:cs="Times New Roman"/>
        </w:rPr>
        <w:t xml:space="preserve"> </w:t>
      </w:r>
      <w:r w:rsidRPr="0059438E">
        <w:rPr>
          <w:rFonts w:ascii="Times New Roman" w:hAnsi="Times New Roman" w:cs="Times New Roman"/>
        </w:rPr>
        <w:t>inequality indicators from EU-SILC.</w:t>
      </w:r>
    </w:p>
    <w:p w14:paraId="589A785A" w14:textId="7BE6B403" w:rsidR="0059438E" w:rsidRPr="0059438E" w:rsidRDefault="0059438E" w:rsidP="0059438E">
      <w:pPr>
        <w:pStyle w:val="ListParagraph"/>
        <w:numPr>
          <w:ilvl w:val="0"/>
          <w:numId w:val="11"/>
        </w:numPr>
        <w:rPr>
          <w:rFonts w:ascii="Times New Roman" w:hAnsi="Times New Roman" w:cs="Times New Roman"/>
        </w:rPr>
      </w:pPr>
      <w:r w:rsidRPr="0059438E">
        <w:rPr>
          <w:rFonts w:ascii="Times New Roman" w:hAnsi="Times New Roman" w:cs="Times New Roman"/>
        </w:rPr>
        <w:t>World Inequality Lab. (2025). Distributional National Accounts (DINA</w:t>
      </w:r>
      <w:r>
        <w:rPr>
          <w:rFonts w:ascii="Times New Roman" w:hAnsi="Times New Roman" w:cs="Times New Roman"/>
        </w:rPr>
        <w:t xml:space="preserve">) </w:t>
      </w:r>
      <w:r w:rsidRPr="0059438E">
        <w:rPr>
          <w:rFonts w:ascii="Times New Roman" w:hAnsi="Times New Roman" w:cs="Times New Roman"/>
        </w:rPr>
        <w:t>Guidelines 2025: Methods and concepts used in the World Inequality Database.</w:t>
      </w:r>
    </w:p>
    <w:p w14:paraId="5699F45E" w14:textId="1913EEA5" w:rsidR="00587C8E" w:rsidRPr="002A5C5A" w:rsidRDefault="00587C8E" w:rsidP="00C074F4">
      <w:pPr>
        <w:rPr>
          <w:rFonts w:ascii="Times New Roman" w:hAnsi="Times New Roman" w:cs="Times New Roman"/>
          <w:b/>
          <w:bCs/>
        </w:rPr>
      </w:pPr>
      <w:r w:rsidRPr="002A5C5A">
        <w:rPr>
          <w:rFonts w:ascii="Times New Roman" w:hAnsi="Times New Roman" w:cs="Times New Roman"/>
          <w:b/>
          <w:bCs/>
        </w:rPr>
        <w:t>Updates</w:t>
      </w:r>
      <w:r w:rsidR="007F23DA">
        <w:rPr>
          <w:rFonts w:ascii="Times New Roman" w:hAnsi="Times New Roman" w:cs="Times New Roman"/>
          <w:b/>
          <w:bCs/>
        </w:rPr>
        <w:t>/Presentation</w:t>
      </w:r>
    </w:p>
    <w:p w14:paraId="3E20E4B3" w14:textId="110B3780" w:rsidR="00587C8E" w:rsidRPr="002A5C5A" w:rsidRDefault="00587C8E" w:rsidP="00587C8E">
      <w:pPr>
        <w:rPr>
          <w:rFonts w:ascii="Times New Roman" w:hAnsi="Times New Roman" w:cs="Times New Roman"/>
        </w:rPr>
      </w:pPr>
      <w:r w:rsidRPr="002A5C5A">
        <w:rPr>
          <w:rFonts w:ascii="Times New Roman" w:hAnsi="Times New Roman" w:cs="Times New Roman"/>
        </w:rPr>
        <w:t xml:space="preserve">Hi </w:t>
      </w:r>
      <w:r w:rsidR="0072050D" w:rsidRPr="002A5C5A">
        <w:rPr>
          <w:rFonts w:ascii="Times New Roman" w:hAnsi="Times New Roman" w:cs="Times New Roman"/>
        </w:rPr>
        <w:t>Nishant and Yuki</w:t>
      </w:r>
      <w:r w:rsidRPr="002A5C5A">
        <w:rPr>
          <w:rFonts w:ascii="Times New Roman" w:hAnsi="Times New Roman" w:cs="Times New Roman"/>
        </w:rPr>
        <w:t>,</w:t>
      </w:r>
    </w:p>
    <w:p w14:paraId="0EF26D9D" w14:textId="77777777" w:rsidR="00587C8E" w:rsidRPr="002A5C5A" w:rsidRDefault="00587C8E" w:rsidP="00587C8E">
      <w:pPr>
        <w:rPr>
          <w:rFonts w:ascii="Times New Roman" w:hAnsi="Times New Roman" w:cs="Times New Roman"/>
        </w:rPr>
      </w:pPr>
      <w:r w:rsidRPr="002A5C5A">
        <w:rPr>
          <w:rFonts w:ascii="Times New Roman" w:hAnsi="Times New Roman" w:cs="Times New Roman"/>
        </w:rPr>
        <w:t>I wanted to share a brief update on the top-censoring work.</w:t>
      </w:r>
    </w:p>
    <w:p w14:paraId="0563D790" w14:textId="053E5A69" w:rsidR="00587C8E" w:rsidRPr="002A5C5A" w:rsidRDefault="0072050D" w:rsidP="00587C8E">
      <w:pPr>
        <w:rPr>
          <w:rFonts w:ascii="Times New Roman" w:hAnsi="Times New Roman" w:cs="Times New Roman"/>
        </w:rPr>
      </w:pPr>
      <w:r w:rsidRPr="002A5C5A">
        <w:rPr>
          <w:rFonts w:ascii="Times New Roman" w:hAnsi="Times New Roman" w:cs="Times New Roman"/>
        </w:rPr>
        <w:t>I</w:t>
      </w:r>
      <w:r w:rsidR="00587C8E" w:rsidRPr="002A5C5A">
        <w:rPr>
          <w:rFonts w:ascii="Times New Roman" w:hAnsi="Times New Roman" w:cs="Times New Roman"/>
        </w:rPr>
        <w:t xml:space="preserve"> reviewed the approaches used by LIS, the CPS, WID, and the EU-SILC literature, and drafted a short literature review summarizing their different objectives and methods. LIS applies a log-IQR top-coding rule; CPS top-coding is mainly designed for disclosure protection; EU-SILC compares trimming, </w:t>
      </w:r>
      <w:proofErr w:type="spellStart"/>
      <w:r w:rsidR="00587C8E" w:rsidRPr="002A5C5A">
        <w:rPr>
          <w:rFonts w:ascii="Times New Roman" w:hAnsi="Times New Roman" w:cs="Times New Roman"/>
        </w:rPr>
        <w:t>winsorizing</w:t>
      </w:r>
      <w:proofErr w:type="spellEnd"/>
      <w:r w:rsidR="00587C8E" w:rsidRPr="002A5C5A">
        <w:rPr>
          <w:rFonts w:ascii="Times New Roman" w:hAnsi="Times New Roman" w:cs="Times New Roman"/>
        </w:rPr>
        <w:t>, and robust Pareto-based approaches; and WID focuses on correcting the underrepresentation of top incomes in surveys by combining survey, tax, and national accounts data.</w:t>
      </w:r>
    </w:p>
    <w:p w14:paraId="62515347" w14:textId="77777777" w:rsidR="00587C8E" w:rsidRPr="002A5C5A" w:rsidRDefault="00587C8E" w:rsidP="00587C8E">
      <w:pPr>
        <w:rPr>
          <w:rFonts w:ascii="Times New Roman" w:hAnsi="Times New Roman" w:cs="Times New Roman"/>
        </w:rPr>
      </w:pPr>
      <w:r w:rsidRPr="002A5C5A">
        <w:rPr>
          <w:rFonts w:ascii="Times New Roman" w:hAnsi="Times New Roman" w:cs="Times New Roman"/>
        </w:rPr>
        <w:t>I then reviewed the surveys available in the shared drive to identify those with individual-level, non-grouped microdata that can be used for this exercise. I excluded files that contain grouped/binned distributions, since they cannot be used to identify individual upper-tail observations.</w:t>
      </w:r>
    </w:p>
    <w:p w14:paraId="64F4ABD3" w14:textId="77777777" w:rsidR="00587C8E" w:rsidRPr="002A5C5A" w:rsidRDefault="00587C8E" w:rsidP="00587C8E">
      <w:pPr>
        <w:rPr>
          <w:rFonts w:ascii="Times New Roman" w:hAnsi="Times New Roman" w:cs="Times New Roman"/>
        </w:rPr>
      </w:pPr>
      <w:r w:rsidRPr="002A5C5A">
        <w:rPr>
          <w:rFonts w:ascii="Times New Roman" w:hAnsi="Times New Roman" w:cs="Times New Roman"/>
        </w:rPr>
        <w:t>Using the LIS rule, I calculated the upper ceiling as:</w:t>
      </w:r>
    </w:p>
    <w:p w14:paraId="374DE23E" w14:textId="77777777" w:rsidR="0072050D" w:rsidRPr="002A5C5A" w:rsidRDefault="0072050D" w:rsidP="0072050D">
      <w:pPr>
        <w:rPr>
          <w:rFonts w:ascii="Times New Roman" w:eastAsiaTheme="minorEastAsia" w:hAnsi="Times New Roman" w:cs="Times New Roman"/>
        </w:rPr>
      </w:pPr>
      <m:oMathPara>
        <m:oMath>
          <m:r>
            <w:rPr>
              <w:rFonts w:ascii="Cambria Math" w:eastAsiaTheme="minorEastAsia" w:hAnsi="Cambria Math" w:cs="Times New Roman"/>
            </w:rPr>
            <m:t>exp[Q3(log y)+3* IQR(log y)]</m:t>
          </m:r>
        </m:oMath>
      </m:oMathPara>
    </w:p>
    <w:p w14:paraId="10BB1F93" w14:textId="77777777" w:rsidR="00587C8E" w:rsidRPr="002A5C5A" w:rsidRDefault="00587C8E" w:rsidP="00587C8E">
      <w:pPr>
        <w:rPr>
          <w:rFonts w:ascii="Times New Roman" w:hAnsi="Times New Roman" w:cs="Times New Roman"/>
        </w:rPr>
      </w:pPr>
      <w:r w:rsidRPr="002A5C5A">
        <w:rPr>
          <w:rFonts w:ascii="Times New Roman" w:hAnsi="Times New Roman" w:cs="Times New Roman"/>
        </w:rPr>
        <w:lastRenderedPageBreak/>
        <w:t>and identified the observations above this threshold. The table below summarizes the initial screening results.</w:t>
      </w:r>
    </w:p>
    <w:tbl>
      <w:tblPr>
        <w:tblW w:w="0" w:type="auto"/>
        <w:jc w:val="center"/>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1412"/>
        <w:gridCol w:w="1166"/>
        <w:gridCol w:w="1917"/>
        <w:gridCol w:w="2851"/>
        <w:gridCol w:w="2004"/>
      </w:tblGrid>
      <w:tr w:rsidR="00587C8E" w:rsidRPr="002A5C5A" w14:paraId="57437B1A" w14:textId="77777777" w:rsidTr="00B04B77">
        <w:trPr>
          <w:tblHeader/>
          <w:tblCellSpacing w:w="15" w:type="dxa"/>
          <w:jc w:val="center"/>
        </w:trPr>
        <w:tc>
          <w:tcPr>
            <w:tcW w:w="0" w:type="auto"/>
            <w:vAlign w:val="center"/>
            <w:hideMark/>
          </w:tcPr>
          <w:p w14:paraId="75B7163A" w14:textId="77777777" w:rsidR="00587C8E" w:rsidRPr="002A5C5A" w:rsidRDefault="00587C8E" w:rsidP="008D137F">
            <w:pPr>
              <w:jc w:val="center"/>
              <w:rPr>
                <w:rFonts w:ascii="Times New Roman" w:hAnsi="Times New Roman" w:cs="Times New Roman"/>
                <w:b/>
                <w:bCs/>
              </w:rPr>
            </w:pPr>
            <w:r w:rsidRPr="002A5C5A">
              <w:rPr>
                <w:rFonts w:ascii="Times New Roman" w:hAnsi="Times New Roman" w:cs="Times New Roman"/>
                <w:b/>
                <w:bCs/>
              </w:rPr>
              <w:t>Survey</w:t>
            </w:r>
          </w:p>
        </w:tc>
        <w:tc>
          <w:tcPr>
            <w:tcW w:w="0" w:type="auto"/>
            <w:vAlign w:val="center"/>
            <w:hideMark/>
          </w:tcPr>
          <w:p w14:paraId="0BDCA862" w14:textId="77777777" w:rsidR="00587C8E" w:rsidRPr="002A5C5A" w:rsidRDefault="00587C8E" w:rsidP="008D137F">
            <w:pPr>
              <w:jc w:val="center"/>
              <w:rPr>
                <w:rFonts w:ascii="Times New Roman" w:hAnsi="Times New Roman" w:cs="Times New Roman"/>
                <w:b/>
                <w:bCs/>
              </w:rPr>
            </w:pPr>
            <w:r w:rsidRPr="002A5C5A">
              <w:rPr>
                <w:rFonts w:ascii="Times New Roman" w:hAnsi="Times New Roman" w:cs="Times New Roman"/>
                <w:b/>
                <w:bCs/>
              </w:rPr>
              <w:t>Valid records</w:t>
            </w:r>
          </w:p>
        </w:tc>
        <w:tc>
          <w:tcPr>
            <w:tcW w:w="0" w:type="auto"/>
            <w:vAlign w:val="center"/>
            <w:hideMark/>
          </w:tcPr>
          <w:p w14:paraId="2B346E13" w14:textId="77777777" w:rsidR="00587C8E" w:rsidRPr="002A5C5A" w:rsidRDefault="00587C8E" w:rsidP="008D137F">
            <w:pPr>
              <w:jc w:val="center"/>
              <w:rPr>
                <w:rFonts w:ascii="Times New Roman" w:hAnsi="Times New Roman" w:cs="Times New Roman"/>
                <w:b/>
                <w:bCs/>
              </w:rPr>
            </w:pPr>
            <w:r w:rsidRPr="002A5C5A">
              <w:rPr>
                <w:rFonts w:ascii="Times New Roman" w:hAnsi="Times New Roman" w:cs="Times New Roman"/>
                <w:b/>
                <w:bCs/>
              </w:rPr>
              <w:t>Records above LIS ceiling</w:t>
            </w:r>
          </w:p>
        </w:tc>
        <w:tc>
          <w:tcPr>
            <w:tcW w:w="0" w:type="auto"/>
            <w:vAlign w:val="center"/>
            <w:hideMark/>
          </w:tcPr>
          <w:p w14:paraId="156FAAC4" w14:textId="77777777" w:rsidR="00587C8E" w:rsidRPr="002A5C5A" w:rsidRDefault="00587C8E" w:rsidP="008D137F">
            <w:pPr>
              <w:jc w:val="center"/>
              <w:rPr>
                <w:rFonts w:ascii="Times New Roman" w:hAnsi="Times New Roman" w:cs="Times New Roman"/>
                <w:b/>
                <w:bCs/>
              </w:rPr>
            </w:pPr>
            <w:r w:rsidRPr="002A5C5A">
              <w:rPr>
                <w:rFonts w:ascii="Times New Roman" w:hAnsi="Times New Roman" w:cs="Times New Roman"/>
                <w:b/>
                <w:bCs/>
              </w:rPr>
              <w:t>Weighted population share above ceiling</w:t>
            </w:r>
          </w:p>
        </w:tc>
        <w:tc>
          <w:tcPr>
            <w:tcW w:w="0" w:type="auto"/>
            <w:vAlign w:val="center"/>
            <w:hideMark/>
          </w:tcPr>
          <w:p w14:paraId="77F6EF33" w14:textId="77777777" w:rsidR="00587C8E" w:rsidRPr="002A5C5A" w:rsidRDefault="00587C8E" w:rsidP="008D137F">
            <w:pPr>
              <w:jc w:val="center"/>
              <w:rPr>
                <w:rFonts w:ascii="Times New Roman" w:hAnsi="Times New Roman" w:cs="Times New Roman"/>
                <w:b/>
                <w:bCs/>
              </w:rPr>
            </w:pPr>
            <w:r w:rsidRPr="002A5C5A">
              <w:rPr>
                <w:rFonts w:ascii="Times New Roman" w:hAnsi="Times New Roman" w:cs="Times New Roman"/>
                <w:b/>
                <w:bCs/>
              </w:rPr>
              <w:t>Welfare share above ceiling</w:t>
            </w:r>
          </w:p>
        </w:tc>
      </w:tr>
      <w:tr w:rsidR="00587C8E" w:rsidRPr="002A5C5A" w14:paraId="5D7E7075" w14:textId="77777777" w:rsidTr="00B04B77">
        <w:trPr>
          <w:tblCellSpacing w:w="15" w:type="dxa"/>
          <w:jc w:val="center"/>
        </w:trPr>
        <w:tc>
          <w:tcPr>
            <w:tcW w:w="0" w:type="auto"/>
            <w:vAlign w:val="center"/>
            <w:hideMark/>
          </w:tcPr>
          <w:p w14:paraId="52D66CC9"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Malawi 1997</w:t>
            </w:r>
          </w:p>
        </w:tc>
        <w:tc>
          <w:tcPr>
            <w:tcW w:w="0" w:type="auto"/>
            <w:vAlign w:val="center"/>
            <w:hideMark/>
          </w:tcPr>
          <w:p w14:paraId="07183AC8"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10,698</w:t>
            </w:r>
          </w:p>
        </w:tc>
        <w:tc>
          <w:tcPr>
            <w:tcW w:w="0" w:type="auto"/>
            <w:vAlign w:val="center"/>
            <w:hideMark/>
          </w:tcPr>
          <w:p w14:paraId="4793C360"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59</w:t>
            </w:r>
          </w:p>
        </w:tc>
        <w:tc>
          <w:tcPr>
            <w:tcW w:w="0" w:type="auto"/>
            <w:vAlign w:val="center"/>
            <w:hideMark/>
          </w:tcPr>
          <w:p w14:paraId="0ABB26F9"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0.435%</w:t>
            </w:r>
          </w:p>
        </w:tc>
        <w:tc>
          <w:tcPr>
            <w:tcW w:w="0" w:type="auto"/>
            <w:vAlign w:val="center"/>
            <w:hideMark/>
          </w:tcPr>
          <w:p w14:paraId="48D2E3EA"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41.60%</w:t>
            </w:r>
          </w:p>
        </w:tc>
      </w:tr>
      <w:tr w:rsidR="00587C8E" w:rsidRPr="002A5C5A" w14:paraId="7F36448D" w14:textId="77777777" w:rsidTr="00B04B77">
        <w:trPr>
          <w:tblCellSpacing w:w="15" w:type="dxa"/>
          <w:jc w:val="center"/>
        </w:trPr>
        <w:tc>
          <w:tcPr>
            <w:tcW w:w="0" w:type="auto"/>
            <w:vAlign w:val="center"/>
            <w:hideMark/>
          </w:tcPr>
          <w:p w14:paraId="56AD1A49"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Malawi 2004</w:t>
            </w:r>
          </w:p>
        </w:tc>
        <w:tc>
          <w:tcPr>
            <w:tcW w:w="0" w:type="auto"/>
            <w:vAlign w:val="center"/>
            <w:hideMark/>
          </w:tcPr>
          <w:p w14:paraId="49D63DEF"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52,691</w:t>
            </w:r>
          </w:p>
        </w:tc>
        <w:tc>
          <w:tcPr>
            <w:tcW w:w="0" w:type="auto"/>
            <w:vAlign w:val="center"/>
            <w:hideMark/>
          </w:tcPr>
          <w:p w14:paraId="3B12C461"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65</w:t>
            </w:r>
          </w:p>
        </w:tc>
        <w:tc>
          <w:tcPr>
            <w:tcW w:w="0" w:type="auto"/>
            <w:vAlign w:val="center"/>
            <w:hideMark/>
          </w:tcPr>
          <w:p w14:paraId="5A048CD0"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0.128%</w:t>
            </w:r>
          </w:p>
        </w:tc>
        <w:tc>
          <w:tcPr>
            <w:tcW w:w="0" w:type="auto"/>
            <w:vAlign w:val="center"/>
            <w:hideMark/>
          </w:tcPr>
          <w:p w14:paraId="7B9ADDA7"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2.24%</w:t>
            </w:r>
          </w:p>
        </w:tc>
      </w:tr>
      <w:tr w:rsidR="00587C8E" w:rsidRPr="002A5C5A" w14:paraId="59448511" w14:textId="77777777" w:rsidTr="00B04B77">
        <w:trPr>
          <w:tblCellSpacing w:w="15" w:type="dxa"/>
          <w:jc w:val="center"/>
        </w:trPr>
        <w:tc>
          <w:tcPr>
            <w:tcW w:w="0" w:type="auto"/>
            <w:vAlign w:val="center"/>
            <w:hideMark/>
          </w:tcPr>
          <w:p w14:paraId="5FF0E336"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Malawi 2019</w:t>
            </w:r>
          </w:p>
        </w:tc>
        <w:tc>
          <w:tcPr>
            <w:tcW w:w="0" w:type="auto"/>
            <w:vAlign w:val="center"/>
            <w:hideMark/>
          </w:tcPr>
          <w:p w14:paraId="3749708D"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50,476</w:t>
            </w:r>
          </w:p>
        </w:tc>
        <w:tc>
          <w:tcPr>
            <w:tcW w:w="0" w:type="auto"/>
            <w:vAlign w:val="center"/>
            <w:hideMark/>
          </w:tcPr>
          <w:p w14:paraId="176F9436"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34</w:t>
            </w:r>
          </w:p>
        </w:tc>
        <w:tc>
          <w:tcPr>
            <w:tcW w:w="0" w:type="auto"/>
            <w:vAlign w:val="center"/>
            <w:hideMark/>
          </w:tcPr>
          <w:p w14:paraId="2E959DEE"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0.046%</w:t>
            </w:r>
          </w:p>
        </w:tc>
        <w:tc>
          <w:tcPr>
            <w:tcW w:w="0" w:type="auto"/>
            <w:vAlign w:val="center"/>
            <w:hideMark/>
          </w:tcPr>
          <w:p w14:paraId="3CD883C9"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1.20%</w:t>
            </w:r>
          </w:p>
        </w:tc>
      </w:tr>
      <w:tr w:rsidR="00587C8E" w:rsidRPr="002A5C5A" w14:paraId="6A07BE7C" w14:textId="77777777" w:rsidTr="00B04B77">
        <w:trPr>
          <w:tblCellSpacing w:w="15" w:type="dxa"/>
          <w:jc w:val="center"/>
        </w:trPr>
        <w:tc>
          <w:tcPr>
            <w:tcW w:w="0" w:type="auto"/>
            <w:vAlign w:val="center"/>
            <w:hideMark/>
          </w:tcPr>
          <w:p w14:paraId="34B1CF38"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Belize 1993</w:t>
            </w:r>
          </w:p>
        </w:tc>
        <w:tc>
          <w:tcPr>
            <w:tcW w:w="0" w:type="auto"/>
            <w:vAlign w:val="center"/>
            <w:hideMark/>
          </w:tcPr>
          <w:p w14:paraId="24675C5B"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9,097</w:t>
            </w:r>
          </w:p>
        </w:tc>
        <w:tc>
          <w:tcPr>
            <w:tcW w:w="0" w:type="auto"/>
            <w:vAlign w:val="center"/>
            <w:hideMark/>
          </w:tcPr>
          <w:p w14:paraId="2C4ECDB3"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22</w:t>
            </w:r>
          </w:p>
        </w:tc>
        <w:tc>
          <w:tcPr>
            <w:tcW w:w="0" w:type="auto"/>
            <w:vAlign w:val="center"/>
            <w:hideMark/>
          </w:tcPr>
          <w:p w14:paraId="6636202B"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0.246%</w:t>
            </w:r>
          </w:p>
        </w:tc>
        <w:tc>
          <w:tcPr>
            <w:tcW w:w="0" w:type="auto"/>
            <w:vAlign w:val="center"/>
            <w:hideMark/>
          </w:tcPr>
          <w:p w14:paraId="457D1126"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20.09%</w:t>
            </w:r>
          </w:p>
        </w:tc>
      </w:tr>
      <w:tr w:rsidR="00587C8E" w:rsidRPr="002A5C5A" w14:paraId="36A5AC68" w14:textId="77777777" w:rsidTr="00B04B77">
        <w:trPr>
          <w:tblCellSpacing w:w="15" w:type="dxa"/>
          <w:jc w:val="center"/>
        </w:trPr>
        <w:tc>
          <w:tcPr>
            <w:tcW w:w="0" w:type="auto"/>
            <w:vAlign w:val="center"/>
            <w:hideMark/>
          </w:tcPr>
          <w:p w14:paraId="46239987"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Belize 1997</w:t>
            </w:r>
          </w:p>
        </w:tc>
        <w:tc>
          <w:tcPr>
            <w:tcW w:w="0" w:type="auto"/>
            <w:vAlign w:val="center"/>
            <w:hideMark/>
          </w:tcPr>
          <w:p w14:paraId="5EC59AE5"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10,122</w:t>
            </w:r>
          </w:p>
        </w:tc>
        <w:tc>
          <w:tcPr>
            <w:tcW w:w="0" w:type="auto"/>
            <w:vAlign w:val="center"/>
            <w:hideMark/>
          </w:tcPr>
          <w:p w14:paraId="5DD42EA3"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11</w:t>
            </w:r>
          </w:p>
        </w:tc>
        <w:tc>
          <w:tcPr>
            <w:tcW w:w="0" w:type="auto"/>
            <w:vAlign w:val="center"/>
            <w:hideMark/>
          </w:tcPr>
          <w:p w14:paraId="300E0F30"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0.114%</w:t>
            </w:r>
          </w:p>
        </w:tc>
        <w:tc>
          <w:tcPr>
            <w:tcW w:w="0" w:type="auto"/>
            <w:vAlign w:val="center"/>
            <w:hideMark/>
          </w:tcPr>
          <w:p w14:paraId="26697476"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18.24%</w:t>
            </w:r>
          </w:p>
        </w:tc>
      </w:tr>
      <w:tr w:rsidR="00587C8E" w:rsidRPr="002A5C5A" w14:paraId="2809F54E" w14:textId="77777777" w:rsidTr="00B04B77">
        <w:trPr>
          <w:tblCellSpacing w:w="15" w:type="dxa"/>
          <w:jc w:val="center"/>
        </w:trPr>
        <w:tc>
          <w:tcPr>
            <w:tcW w:w="0" w:type="auto"/>
            <w:vAlign w:val="center"/>
            <w:hideMark/>
          </w:tcPr>
          <w:p w14:paraId="0CD3EDF2"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Angola 2000</w:t>
            </w:r>
          </w:p>
        </w:tc>
        <w:tc>
          <w:tcPr>
            <w:tcW w:w="0" w:type="auto"/>
            <w:vAlign w:val="center"/>
            <w:hideMark/>
          </w:tcPr>
          <w:p w14:paraId="395C206D"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10,100</w:t>
            </w:r>
          </w:p>
        </w:tc>
        <w:tc>
          <w:tcPr>
            <w:tcW w:w="0" w:type="auto"/>
            <w:vAlign w:val="center"/>
            <w:hideMark/>
          </w:tcPr>
          <w:p w14:paraId="1E54C254"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5</w:t>
            </w:r>
          </w:p>
        </w:tc>
        <w:tc>
          <w:tcPr>
            <w:tcW w:w="0" w:type="auto"/>
            <w:vAlign w:val="center"/>
            <w:hideMark/>
          </w:tcPr>
          <w:p w14:paraId="34AFC3FE"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0.010%</w:t>
            </w:r>
          </w:p>
        </w:tc>
        <w:tc>
          <w:tcPr>
            <w:tcW w:w="0" w:type="auto"/>
            <w:vAlign w:val="center"/>
            <w:hideMark/>
          </w:tcPr>
          <w:p w14:paraId="55FEB8F2"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0.80%</w:t>
            </w:r>
          </w:p>
        </w:tc>
      </w:tr>
      <w:tr w:rsidR="00587C8E" w:rsidRPr="002A5C5A" w14:paraId="4344370A" w14:textId="77777777" w:rsidTr="00B04B77">
        <w:trPr>
          <w:tblCellSpacing w:w="15" w:type="dxa"/>
          <w:jc w:val="center"/>
        </w:trPr>
        <w:tc>
          <w:tcPr>
            <w:tcW w:w="0" w:type="auto"/>
            <w:vAlign w:val="center"/>
            <w:hideMark/>
          </w:tcPr>
          <w:p w14:paraId="21147F90"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Angola 2008</w:t>
            </w:r>
          </w:p>
        </w:tc>
        <w:tc>
          <w:tcPr>
            <w:tcW w:w="0" w:type="auto"/>
            <w:vAlign w:val="center"/>
            <w:hideMark/>
          </w:tcPr>
          <w:p w14:paraId="2A6E8311"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45,398</w:t>
            </w:r>
          </w:p>
        </w:tc>
        <w:tc>
          <w:tcPr>
            <w:tcW w:w="0" w:type="auto"/>
            <w:vAlign w:val="center"/>
            <w:hideMark/>
          </w:tcPr>
          <w:p w14:paraId="6CA6EF27"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5</w:t>
            </w:r>
          </w:p>
        </w:tc>
        <w:tc>
          <w:tcPr>
            <w:tcW w:w="0" w:type="auto"/>
            <w:vAlign w:val="center"/>
            <w:hideMark/>
          </w:tcPr>
          <w:p w14:paraId="5B318C0D"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0.004%</w:t>
            </w:r>
          </w:p>
        </w:tc>
        <w:tc>
          <w:tcPr>
            <w:tcW w:w="0" w:type="auto"/>
            <w:vAlign w:val="center"/>
            <w:hideMark/>
          </w:tcPr>
          <w:p w14:paraId="16D6A352"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0.15%</w:t>
            </w:r>
          </w:p>
        </w:tc>
      </w:tr>
      <w:tr w:rsidR="00587C8E" w:rsidRPr="002A5C5A" w14:paraId="494728AD" w14:textId="77777777" w:rsidTr="00B04B77">
        <w:trPr>
          <w:tblCellSpacing w:w="15" w:type="dxa"/>
          <w:jc w:val="center"/>
        </w:trPr>
        <w:tc>
          <w:tcPr>
            <w:tcW w:w="0" w:type="auto"/>
            <w:vAlign w:val="center"/>
            <w:hideMark/>
          </w:tcPr>
          <w:p w14:paraId="2B004197"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Ecuador 2006</w:t>
            </w:r>
          </w:p>
        </w:tc>
        <w:tc>
          <w:tcPr>
            <w:tcW w:w="0" w:type="auto"/>
            <w:vAlign w:val="center"/>
            <w:hideMark/>
          </w:tcPr>
          <w:p w14:paraId="43E11838"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77,636</w:t>
            </w:r>
          </w:p>
        </w:tc>
        <w:tc>
          <w:tcPr>
            <w:tcW w:w="0" w:type="auto"/>
            <w:vAlign w:val="center"/>
            <w:hideMark/>
          </w:tcPr>
          <w:p w14:paraId="2D6AF86F"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8</w:t>
            </w:r>
          </w:p>
        </w:tc>
        <w:tc>
          <w:tcPr>
            <w:tcW w:w="0" w:type="auto"/>
            <w:vAlign w:val="center"/>
            <w:hideMark/>
          </w:tcPr>
          <w:p w14:paraId="7BC976DD"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0.009%</w:t>
            </w:r>
          </w:p>
        </w:tc>
        <w:tc>
          <w:tcPr>
            <w:tcW w:w="0" w:type="auto"/>
            <w:vAlign w:val="center"/>
            <w:hideMark/>
          </w:tcPr>
          <w:p w14:paraId="7AE1F37E"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3.77%</w:t>
            </w:r>
          </w:p>
        </w:tc>
      </w:tr>
      <w:tr w:rsidR="00587C8E" w:rsidRPr="002A5C5A" w14:paraId="03066AF4" w14:textId="77777777" w:rsidTr="00B04B77">
        <w:trPr>
          <w:tblCellSpacing w:w="15" w:type="dxa"/>
          <w:jc w:val="center"/>
        </w:trPr>
        <w:tc>
          <w:tcPr>
            <w:tcW w:w="0" w:type="auto"/>
            <w:vAlign w:val="center"/>
            <w:hideMark/>
          </w:tcPr>
          <w:p w14:paraId="49F05116"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Seychelles 1999</w:t>
            </w:r>
          </w:p>
        </w:tc>
        <w:tc>
          <w:tcPr>
            <w:tcW w:w="0" w:type="auto"/>
            <w:vAlign w:val="center"/>
            <w:hideMark/>
          </w:tcPr>
          <w:p w14:paraId="23638379"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813</w:t>
            </w:r>
          </w:p>
        </w:tc>
        <w:tc>
          <w:tcPr>
            <w:tcW w:w="0" w:type="auto"/>
            <w:vAlign w:val="center"/>
            <w:hideMark/>
          </w:tcPr>
          <w:p w14:paraId="3BB78190"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1</w:t>
            </w:r>
          </w:p>
        </w:tc>
        <w:tc>
          <w:tcPr>
            <w:tcW w:w="0" w:type="auto"/>
            <w:vAlign w:val="center"/>
            <w:hideMark/>
          </w:tcPr>
          <w:p w14:paraId="09F24B88"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0.152%</w:t>
            </w:r>
          </w:p>
        </w:tc>
        <w:tc>
          <w:tcPr>
            <w:tcW w:w="0" w:type="auto"/>
            <w:vAlign w:val="center"/>
            <w:hideMark/>
          </w:tcPr>
          <w:p w14:paraId="2F484832"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4.34%</w:t>
            </w:r>
          </w:p>
        </w:tc>
      </w:tr>
      <w:tr w:rsidR="00587C8E" w:rsidRPr="002A5C5A" w14:paraId="43456EF9" w14:textId="77777777" w:rsidTr="00B04B77">
        <w:trPr>
          <w:tblCellSpacing w:w="15" w:type="dxa"/>
          <w:jc w:val="center"/>
        </w:trPr>
        <w:tc>
          <w:tcPr>
            <w:tcW w:w="0" w:type="auto"/>
            <w:vAlign w:val="center"/>
            <w:hideMark/>
          </w:tcPr>
          <w:p w14:paraId="2841BC61"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Zimbabwe 2019</w:t>
            </w:r>
          </w:p>
        </w:tc>
        <w:tc>
          <w:tcPr>
            <w:tcW w:w="0" w:type="auto"/>
            <w:vAlign w:val="center"/>
            <w:hideMark/>
          </w:tcPr>
          <w:p w14:paraId="7CE48F62"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987,700</w:t>
            </w:r>
          </w:p>
        </w:tc>
        <w:tc>
          <w:tcPr>
            <w:tcW w:w="0" w:type="auto"/>
            <w:vAlign w:val="center"/>
            <w:hideMark/>
          </w:tcPr>
          <w:p w14:paraId="675D91A5"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72</w:t>
            </w:r>
          </w:p>
        </w:tc>
        <w:tc>
          <w:tcPr>
            <w:tcW w:w="0" w:type="auto"/>
            <w:vAlign w:val="center"/>
            <w:hideMark/>
          </w:tcPr>
          <w:p w14:paraId="0BA94847"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0.013%</w:t>
            </w:r>
          </w:p>
        </w:tc>
        <w:tc>
          <w:tcPr>
            <w:tcW w:w="0" w:type="auto"/>
            <w:vAlign w:val="center"/>
            <w:hideMark/>
          </w:tcPr>
          <w:p w14:paraId="78467D64" w14:textId="77777777" w:rsidR="00587C8E" w:rsidRPr="002A5C5A" w:rsidRDefault="00587C8E" w:rsidP="008D137F">
            <w:pPr>
              <w:jc w:val="center"/>
              <w:rPr>
                <w:rFonts w:ascii="Times New Roman" w:hAnsi="Times New Roman" w:cs="Times New Roman"/>
              </w:rPr>
            </w:pPr>
            <w:r w:rsidRPr="002A5C5A">
              <w:rPr>
                <w:rFonts w:ascii="Times New Roman" w:hAnsi="Times New Roman" w:cs="Times New Roman"/>
              </w:rPr>
              <w:t>0.54%</w:t>
            </w:r>
          </w:p>
        </w:tc>
      </w:tr>
    </w:tbl>
    <w:p w14:paraId="28256489" w14:textId="77777777" w:rsidR="00B04B77" w:rsidRPr="002A5C5A" w:rsidRDefault="00B04B77" w:rsidP="00587C8E">
      <w:pPr>
        <w:rPr>
          <w:rFonts w:ascii="Times New Roman" w:hAnsi="Times New Roman" w:cs="Times New Roman"/>
        </w:rPr>
      </w:pPr>
    </w:p>
    <w:p w14:paraId="59BF13DB" w14:textId="5662D229" w:rsidR="00587C8E" w:rsidRPr="002A5C5A" w:rsidRDefault="00587C8E" w:rsidP="00587C8E">
      <w:pPr>
        <w:rPr>
          <w:rFonts w:ascii="Times New Roman" w:hAnsi="Times New Roman" w:cs="Times New Roman"/>
        </w:rPr>
      </w:pPr>
      <w:r w:rsidRPr="002A5C5A">
        <w:rPr>
          <w:rFonts w:ascii="Times New Roman" w:hAnsi="Times New Roman" w:cs="Times New Roman"/>
        </w:rPr>
        <w:t>The initial screening suggests that Malawi 1997 and the two Belize surveys are particularly useful case studies, because a very small weighted population share above the LIS ceiling accounts for a relatively large share of total welfare.</w:t>
      </w:r>
    </w:p>
    <w:p w14:paraId="1269AAC1" w14:textId="77777777" w:rsidR="00587C8E" w:rsidRPr="002A5C5A" w:rsidRDefault="00587C8E" w:rsidP="00587C8E">
      <w:pPr>
        <w:rPr>
          <w:rFonts w:ascii="Times New Roman" w:hAnsi="Times New Roman" w:cs="Times New Roman"/>
        </w:rPr>
      </w:pPr>
      <w:r w:rsidRPr="002A5C5A">
        <w:rPr>
          <w:rFonts w:ascii="Times New Roman" w:hAnsi="Times New Roman" w:cs="Times New Roman"/>
        </w:rPr>
        <w:t xml:space="preserve">For Malawi 1997, the LIS ceiling is 48.57 PPP USD per person per day. The 59 observations above this threshold represent only 0.43% of the weighted population but account for 41.6% of total welfare. I fitted a Pareto distribution to the upper tail and found that the two largest values are especially inconsistent with the fitted tail. I then compared several treatments: no adjustment, trimming, </w:t>
      </w:r>
      <w:proofErr w:type="spellStart"/>
      <w:r w:rsidRPr="002A5C5A">
        <w:rPr>
          <w:rFonts w:ascii="Times New Roman" w:hAnsi="Times New Roman" w:cs="Times New Roman"/>
        </w:rPr>
        <w:t>winsorizing</w:t>
      </w:r>
      <w:proofErr w:type="spellEnd"/>
      <w:r w:rsidRPr="002A5C5A">
        <w:rPr>
          <w:rFonts w:ascii="Times New Roman" w:hAnsi="Times New Roman" w:cs="Times New Roman"/>
        </w:rPr>
        <w:t>, LIS top-coding, and robust Pareto-based approaches. All approaches substantially reduce the influence of the upper tail on the mean and inequality measures, while poverty estimates remain essentially unchanged.</w:t>
      </w:r>
    </w:p>
    <w:p w14:paraId="7AC85AB1" w14:textId="77777777" w:rsidR="00587C8E" w:rsidRPr="002A5C5A" w:rsidRDefault="00587C8E" w:rsidP="00587C8E">
      <w:pPr>
        <w:rPr>
          <w:rFonts w:ascii="Times New Roman" w:hAnsi="Times New Roman" w:cs="Times New Roman"/>
        </w:rPr>
      </w:pPr>
      <w:r w:rsidRPr="002A5C5A">
        <w:rPr>
          <w:rFonts w:ascii="Times New Roman" w:hAnsi="Times New Roman" w:cs="Times New Roman"/>
        </w:rPr>
        <w:t xml:space="preserve">For Belize 1993 and Belize 1997, the pattern is similar but less extreme. The observations above the LIS ceiling account for around 20% and 18% of total welfare, respectively. The Pareto </w:t>
      </w:r>
      <w:r w:rsidRPr="002A5C5A">
        <w:rPr>
          <w:rFonts w:ascii="Times New Roman" w:hAnsi="Times New Roman" w:cs="Times New Roman"/>
        </w:rPr>
        <w:lastRenderedPageBreak/>
        <w:t>diagnostics suggest that the upper tail in Belize 1997 is particularly irregular, with the two highest values deviating strongly from the fitted Pareto pattern.</w:t>
      </w:r>
    </w:p>
    <w:p w14:paraId="734C3B6C" w14:textId="77777777" w:rsidR="00587C8E" w:rsidRPr="002A5C5A" w:rsidRDefault="00587C8E" w:rsidP="00587C8E">
      <w:pPr>
        <w:rPr>
          <w:rFonts w:ascii="Times New Roman" w:hAnsi="Times New Roman" w:cs="Times New Roman"/>
        </w:rPr>
      </w:pPr>
      <w:r w:rsidRPr="002A5C5A">
        <w:rPr>
          <w:rFonts w:ascii="Times New Roman" w:hAnsi="Times New Roman" w:cs="Times New Roman"/>
        </w:rPr>
        <w:t>At this stage, the preliminary evidence supports using the LIS log-IQR rule as a transparent baseline top-coding method, while using Pareto-based diagnostics as a sensitivity and validation tool. The next step would be to apply the same comparison of treatments to the selected Belize surveys and then assess whether a common operational rule is appropriate across surveys.</w:t>
      </w:r>
    </w:p>
    <w:p w14:paraId="4E9099A4" w14:textId="77777777" w:rsidR="00587C8E" w:rsidRDefault="00587C8E" w:rsidP="00587C8E">
      <w:pPr>
        <w:rPr>
          <w:rFonts w:ascii="Times New Roman" w:hAnsi="Times New Roman" w:cs="Times New Roman"/>
        </w:rPr>
      </w:pPr>
      <w:r w:rsidRPr="002A5C5A">
        <w:rPr>
          <w:rFonts w:ascii="Times New Roman" w:hAnsi="Times New Roman" w:cs="Times New Roman"/>
        </w:rPr>
        <w:t>Best,</w:t>
      </w:r>
    </w:p>
    <w:p w14:paraId="4AA49563" w14:textId="77777777" w:rsidR="00E33FC0" w:rsidRDefault="00E33FC0" w:rsidP="00587C8E">
      <w:pPr>
        <w:rPr>
          <w:rFonts w:ascii="Times New Roman" w:hAnsi="Times New Roman" w:cs="Times New Roman"/>
        </w:rPr>
      </w:pPr>
    </w:p>
    <w:p w14:paraId="5B0EE23F" w14:textId="0952930B" w:rsidR="00E33FC0" w:rsidRDefault="00E33FC0" w:rsidP="00587C8E">
      <w:pPr>
        <w:rPr>
          <w:rFonts w:ascii="Times New Roman" w:hAnsi="Times New Roman" w:cs="Times New Roman"/>
        </w:rPr>
      </w:pPr>
      <w:r>
        <w:rPr>
          <w:rFonts w:ascii="Times New Roman" w:hAnsi="Times New Roman" w:cs="Times New Roman"/>
        </w:rPr>
        <w:t>Potential conclusion</w:t>
      </w:r>
    </w:p>
    <w:p w14:paraId="77DFF697" w14:textId="77777777" w:rsidR="00E33FC0" w:rsidRPr="000C4293" w:rsidRDefault="00E33FC0" w:rsidP="00E33FC0">
      <w:pPr>
        <w:rPr>
          <w:rFonts w:ascii="Times New Roman" w:hAnsi="Times New Roman" w:cs="Times New Roman"/>
        </w:rPr>
      </w:pPr>
      <w:r w:rsidRPr="000C4293">
        <w:rPr>
          <w:rFonts w:ascii="Times New Roman" w:hAnsi="Times New Roman" w:cs="Times New Roman"/>
        </w:rPr>
        <w:t>Conclusion</w:t>
      </w:r>
    </w:p>
    <w:p w14:paraId="6603F9A9" w14:textId="77777777" w:rsidR="00E33FC0" w:rsidRPr="000C4293" w:rsidRDefault="00E33FC0" w:rsidP="00E33FC0">
      <w:pPr>
        <w:rPr>
          <w:rFonts w:ascii="Times New Roman" w:hAnsi="Times New Roman" w:cs="Times New Roman"/>
        </w:rPr>
      </w:pPr>
      <w:r w:rsidRPr="000C4293">
        <w:rPr>
          <w:rFonts w:ascii="Times New Roman" w:hAnsi="Times New Roman" w:cs="Times New Roman"/>
        </w:rPr>
        <w:t>The preliminary evidence supports using the LIS log-IQR rule as a transparent baseline sensitivity treatment for inequality statistics. It does not support automatically deleting observations or treating all high values as errors.</w:t>
      </w:r>
    </w:p>
    <w:p w14:paraId="418DBD82" w14:textId="77777777" w:rsidR="00E33FC0" w:rsidRPr="000C4293" w:rsidRDefault="00E33FC0" w:rsidP="00E33FC0">
      <w:pPr>
        <w:rPr>
          <w:rFonts w:ascii="Times New Roman" w:hAnsi="Times New Roman" w:cs="Times New Roman"/>
        </w:rPr>
      </w:pPr>
      <w:r w:rsidRPr="000C4293">
        <w:rPr>
          <w:rFonts w:ascii="Times New Roman" w:hAnsi="Times New Roman" w:cs="Times New Roman"/>
        </w:rPr>
        <w:t>The Malawi 1997 results show that a very small weighted population share can have a large effect on the mean and inequality measures while leaving poverty estimates almost unchanged. The Belize results suggest that the same issue may arise in other surveys, although the magnitude and structure of the upper-tail problem differ across countries and years.</w:t>
      </w:r>
    </w:p>
    <w:p w14:paraId="75ABFA64" w14:textId="77777777" w:rsidR="00E33FC0" w:rsidRPr="000C4293" w:rsidRDefault="00E33FC0" w:rsidP="00E33FC0">
      <w:pPr>
        <w:rPr>
          <w:rFonts w:ascii="Times New Roman" w:hAnsi="Times New Roman" w:cs="Times New Roman"/>
        </w:rPr>
      </w:pPr>
      <w:r w:rsidRPr="000C4293">
        <w:rPr>
          <w:rFonts w:ascii="Times New Roman" w:hAnsi="Times New Roman" w:cs="Times New Roman"/>
        </w:rPr>
        <w:t xml:space="preserve">The recommended next step is to compare the LIS treatment, percentile-based </w:t>
      </w:r>
      <w:proofErr w:type="spellStart"/>
      <w:r w:rsidRPr="000C4293">
        <w:rPr>
          <w:rFonts w:ascii="Times New Roman" w:hAnsi="Times New Roman" w:cs="Times New Roman"/>
        </w:rPr>
        <w:t>winsorizing</w:t>
      </w:r>
      <w:proofErr w:type="spellEnd"/>
      <w:r w:rsidRPr="000C4293">
        <w:rPr>
          <w:rFonts w:ascii="Times New Roman" w:hAnsi="Times New Roman" w:cs="Times New Roman"/>
        </w:rPr>
        <w:t>, trimming as a diagnostic, and Pareto-based sensitivity treatments across the full set of eligible microdata. The analysis should also include validation of the most influential observations against the original survey documentation and welfare-construction process.</w:t>
      </w:r>
    </w:p>
    <w:p w14:paraId="61B1CA2F" w14:textId="77777777" w:rsidR="00E33FC0" w:rsidRPr="000C4293" w:rsidRDefault="00E33FC0" w:rsidP="00E33FC0">
      <w:pPr>
        <w:rPr>
          <w:rFonts w:ascii="Times New Roman" w:hAnsi="Times New Roman" w:cs="Times New Roman"/>
        </w:rPr>
      </w:pPr>
      <w:r w:rsidRPr="000C4293">
        <w:rPr>
          <w:rFonts w:ascii="Times New Roman" w:hAnsi="Times New Roman" w:cs="Times New Roman"/>
        </w:rPr>
        <w:t>At this stage, the evidence supports reporting a transparent LIS-based sensitivity treatment alongside the unadjusted results. A final common operational rule should be adopted only after confirming that it produces stable and interpretable results across surveys and welfare concepts.</w:t>
      </w:r>
    </w:p>
    <w:p w14:paraId="038DF440" w14:textId="77777777" w:rsidR="00E33FC0" w:rsidRPr="002A5C5A" w:rsidRDefault="00E33FC0" w:rsidP="00587C8E">
      <w:pPr>
        <w:rPr>
          <w:rFonts w:ascii="Times New Roman" w:hAnsi="Times New Roman" w:cs="Times New Roman"/>
        </w:rPr>
      </w:pPr>
    </w:p>
    <w:p w14:paraId="77C44FE1" w14:textId="77777777" w:rsidR="00587C8E" w:rsidRDefault="00587C8E" w:rsidP="00C074F4">
      <w:pPr>
        <w:rPr>
          <w:rFonts w:ascii="Times New Roman" w:hAnsi="Times New Roman" w:cs="Times New Roman"/>
        </w:rPr>
      </w:pPr>
    </w:p>
    <w:p w14:paraId="31A683E7" w14:textId="77777777" w:rsidR="000C4293" w:rsidRDefault="000C4293" w:rsidP="00C074F4">
      <w:pPr>
        <w:rPr>
          <w:rFonts w:ascii="Times New Roman" w:hAnsi="Times New Roman" w:cs="Times New Roman"/>
        </w:rPr>
      </w:pPr>
    </w:p>
    <w:p w14:paraId="2DC282F2" w14:textId="50DF588B" w:rsidR="000C4293" w:rsidRDefault="000C4293" w:rsidP="00C074F4">
      <w:pPr>
        <w:rPr>
          <w:rFonts w:ascii="Times New Roman" w:hAnsi="Times New Roman" w:cs="Times New Roman"/>
        </w:rPr>
      </w:pPr>
    </w:p>
    <w:p w14:paraId="029D75FC" w14:textId="77777777" w:rsidR="00E33FC0" w:rsidRDefault="00E33FC0" w:rsidP="00C074F4">
      <w:pPr>
        <w:rPr>
          <w:rFonts w:ascii="Times New Roman" w:hAnsi="Times New Roman" w:cs="Times New Roman"/>
        </w:rPr>
      </w:pPr>
    </w:p>
    <w:p w14:paraId="1378FF90" w14:textId="77777777" w:rsidR="00E33FC0" w:rsidRDefault="00E33FC0" w:rsidP="00C074F4">
      <w:pPr>
        <w:rPr>
          <w:rFonts w:ascii="Times New Roman" w:hAnsi="Times New Roman" w:cs="Times New Roman"/>
        </w:rPr>
      </w:pPr>
    </w:p>
    <w:p w14:paraId="6CBC956E" w14:textId="77777777" w:rsidR="00E33FC0" w:rsidRDefault="00E33FC0" w:rsidP="00C074F4">
      <w:pPr>
        <w:rPr>
          <w:rFonts w:ascii="Times New Roman" w:hAnsi="Times New Roman" w:cs="Times New Roman"/>
        </w:rPr>
      </w:pPr>
    </w:p>
    <w:p w14:paraId="47F0C79A" w14:textId="77777777" w:rsidR="000C4293" w:rsidRDefault="000C4293" w:rsidP="00C074F4">
      <w:pPr>
        <w:pBdr>
          <w:bottom w:val="single" w:sz="6" w:space="1" w:color="auto"/>
        </w:pBdr>
        <w:rPr>
          <w:rFonts w:ascii="Times New Roman" w:hAnsi="Times New Roman" w:cs="Times New Roman"/>
        </w:rPr>
      </w:pPr>
    </w:p>
    <w:p w14:paraId="73E3FBF2" w14:textId="77777777" w:rsidR="000C4293" w:rsidRPr="00B504D4" w:rsidRDefault="000C4293" w:rsidP="000C4293">
      <w:pPr>
        <w:rPr>
          <w:rFonts w:ascii="Times New Roman" w:hAnsi="Times New Roman" w:cs="Times New Roman"/>
          <w:b/>
          <w:bCs/>
          <w:u w:val="single"/>
        </w:rPr>
      </w:pPr>
      <w:r w:rsidRPr="00B504D4">
        <w:rPr>
          <w:rFonts w:ascii="Times New Roman" w:hAnsi="Times New Roman" w:cs="Times New Roman"/>
          <w:b/>
          <w:bCs/>
          <w:u w:val="single"/>
        </w:rPr>
        <w:lastRenderedPageBreak/>
        <w:t>Literature Review</w:t>
      </w:r>
    </w:p>
    <w:p w14:paraId="0C456B8D" w14:textId="77777777" w:rsidR="000C4293" w:rsidRPr="00B504D4" w:rsidRDefault="000C4293" w:rsidP="000C4293">
      <w:pPr>
        <w:rPr>
          <w:rFonts w:ascii="Times New Roman" w:hAnsi="Times New Roman" w:cs="Times New Roman"/>
          <w:b/>
          <w:bCs/>
        </w:rPr>
      </w:pPr>
      <w:r w:rsidRPr="00B504D4">
        <w:rPr>
          <w:rFonts w:ascii="Times New Roman" w:hAnsi="Times New Roman" w:cs="Times New Roman"/>
          <w:b/>
          <w:bCs/>
        </w:rPr>
        <w:t>Treatment of Upper-Tail Values in Income Distribution Analysis</w:t>
      </w:r>
    </w:p>
    <w:p w14:paraId="5E3BC4C8" w14:textId="77777777" w:rsidR="000C4293" w:rsidRPr="000C4293" w:rsidRDefault="000C4293" w:rsidP="000C4293">
      <w:pPr>
        <w:rPr>
          <w:rFonts w:ascii="Times New Roman" w:hAnsi="Times New Roman" w:cs="Times New Roman"/>
        </w:rPr>
      </w:pPr>
      <w:r w:rsidRPr="000C4293">
        <w:rPr>
          <w:rFonts w:ascii="Times New Roman" w:hAnsi="Times New Roman" w:cs="Times New Roman"/>
        </w:rPr>
        <w:t>Inequality measures calculated from household survey microdata can be highly sensitive to a small number of observations at the upper end of the welfare distribution. This is particularly true for the mean, Generalized Entropy measures, the mean log deviation, and highly inequality-sensitive Atkinson indices. Extreme values may reflect genuine high incomes or consumption levels, but they may also result from reporting error, data-processing problems, measurement error, nonresponse, or the limited representation of very affluent households in household surveys.</w:t>
      </w:r>
    </w:p>
    <w:p w14:paraId="35F90E37" w14:textId="77777777" w:rsidR="000C4293" w:rsidRPr="000C4293" w:rsidRDefault="000C4293" w:rsidP="000C4293">
      <w:pPr>
        <w:rPr>
          <w:rFonts w:ascii="Times New Roman" w:hAnsi="Times New Roman" w:cs="Times New Roman"/>
        </w:rPr>
      </w:pPr>
      <w:r w:rsidRPr="000C4293">
        <w:rPr>
          <w:rFonts w:ascii="Times New Roman" w:hAnsi="Times New Roman" w:cs="Times New Roman"/>
        </w:rPr>
        <w:t>The methodological issue is therefore not simply whether high values should be deleted. The relevant questions are whether the observations are plausible, how much influence they have on the estimates, and whether the survey adequately represents the upper tail. A procedure that reduces the influence of extreme observations may improve robustness, but it may also remove genuine information about inequality. Conversely, a survey may contain influential high values while still underestimating the true income of the richest households because those households are underrepresented.</w:t>
      </w:r>
    </w:p>
    <w:p w14:paraId="2EA31A7D" w14:textId="77777777" w:rsidR="000C4293" w:rsidRPr="00B504D4" w:rsidRDefault="000C4293" w:rsidP="000C4293">
      <w:pPr>
        <w:rPr>
          <w:rFonts w:ascii="Times New Roman" w:hAnsi="Times New Roman" w:cs="Times New Roman"/>
          <w:b/>
          <w:bCs/>
        </w:rPr>
      </w:pPr>
      <w:r w:rsidRPr="00B504D4">
        <w:rPr>
          <w:rFonts w:ascii="Times New Roman" w:hAnsi="Times New Roman" w:cs="Times New Roman"/>
          <w:b/>
          <w:bCs/>
        </w:rPr>
        <w:t>LIS Top-Coding</w:t>
      </w:r>
    </w:p>
    <w:p w14:paraId="423C0454" w14:textId="73287151" w:rsidR="000C4293" w:rsidRPr="000C4293" w:rsidRDefault="000C4293" w:rsidP="000C4293">
      <w:pPr>
        <w:rPr>
          <w:rFonts w:ascii="Times New Roman" w:hAnsi="Times New Roman" w:cs="Times New Roman"/>
        </w:rPr>
      </w:pPr>
      <w:r w:rsidRPr="000C4293">
        <w:rPr>
          <w:rFonts w:ascii="Times New Roman" w:hAnsi="Times New Roman" w:cs="Times New Roman"/>
        </w:rPr>
        <w:t xml:space="preserve">The Luxembourg Income Study has documented a distribution-based approach to identifying unusually </w:t>
      </w:r>
      <w:r w:rsidR="00B504D4" w:rsidRPr="000C4293">
        <w:rPr>
          <w:rFonts w:ascii="Times New Roman" w:hAnsi="Times New Roman" w:cs="Times New Roman"/>
        </w:rPr>
        <w:t>high-income</w:t>
      </w:r>
      <w:r w:rsidRPr="000C4293">
        <w:rPr>
          <w:rFonts w:ascii="Times New Roman" w:hAnsi="Times New Roman" w:cs="Times New Roman"/>
        </w:rPr>
        <w:t xml:space="preserve"> values. In the procedure described by </w:t>
      </w:r>
      <w:proofErr w:type="spellStart"/>
      <w:r w:rsidRPr="000C4293">
        <w:rPr>
          <w:rFonts w:ascii="Times New Roman" w:hAnsi="Times New Roman" w:cs="Times New Roman"/>
        </w:rPr>
        <w:t>Neugschwender</w:t>
      </w:r>
      <w:proofErr w:type="spellEnd"/>
      <w:r w:rsidRPr="000C4293">
        <w:rPr>
          <w:rFonts w:ascii="Times New Roman" w:hAnsi="Times New Roman" w:cs="Times New Roman"/>
        </w:rPr>
        <w:t xml:space="preserve"> (2020), the upper threshold is based on the interquartile range of log income. For a strictly positive welfare variable </w:t>
      </w:r>
      <m:oMath>
        <m:r>
          <w:rPr>
            <w:rFonts w:ascii="Cambria Math" w:hAnsi="Cambria Math" w:cs="Times New Roman"/>
          </w:rPr>
          <m:t>y</m:t>
        </m:r>
      </m:oMath>
      <w:r w:rsidRPr="000C4293">
        <w:rPr>
          <w:rFonts w:ascii="Times New Roman" w:hAnsi="Times New Roman" w:cs="Times New Roman"/>
        </w:rPr>
        <w:t>, the threshold can be written as:</w:t>
      </w:r>
    </w:p>
    <w:p w14:paraId="137ED8F8" w14:textId="00795419" w:rsidR="000C4293" w:rsidRPr="000C4293" w:rsidRDefault="000C4293" w:rsidP="000C4293">
      <w:pPr>
        <w:rPr>
          <w:rFonts w:ascii="Times New Roman" w:hAnsi="Times New Roman" w:cs="Times New Roman"/>
        </w:rPr>
      </w:pPr>
      <m:oMathPara>
        <m:oMath>
          <m:r>
            <w:rPr>
              <w:rFonts w:ascii="Cambria Math" w:hAnsi="Cambria Math" w:cs="Times New Roman"/>
            </w:rPr>
            <m:t>c=</m:t>
          </m:r>
          <m:r>
            <m:rPr>
              <m:sty m:val="p"/>
            </m:rPr>
            <w:rPr>
              <w:rFonts w:ascii="Cambria Math" w:hAnsi="Cambria Math" w:cs="Times New Roman"/>
            </w:rPr>
            <m:t>exp</m:t>
          </m:r>
          <m:r>
            <w:rPr>
              <w:rFonts w:ascii="Cambria Math" w:hAnsi="Cambria Math" w:cs="Times New Roman"/>
            </w:rPr>
            <m:t>⁡</m:t>
          </m:r>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0.75</m:t>
                  </m:r>
                </m:sub>
              </m:sSub>
              <m:r>
                <w:rPr>
                  <w:rFonts w:ascii="Cambria Math" w:hAnsi="Cambria Math" w:cs="Times New Roman"/>
                </w:rPr>
                <m:t>(</m:t>
              </m:r>
              <m:r>
                <m:rPr>
                  <m:sty m:val="p"/>
                </m:rPr>
                <w:rPr>
                  <w:rFonts w:ascii="Cambria Math" w:hAnsi="Cambria Math" w:cs="Times New Roman"/>
                </w:rPr>
                <m:t>log</m:t>
              </m:r>
              <m:r>
                <w:rPr>
                  <w:rFonts w:ascii="Cambria Math" w:hAnsi="Cambria Math" w:cs="Times New Roman"/>
                </w:rPr>
                <m:t>⁡y)+3</m:t>
              </m:r>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0.75</m:t>
                      </m:r>
                    </m:sub>
                  </m:sSub>
                  <m:r>
                    <w:rPr>
                      <w:rFonts w:ascii="Cambria Math" w:hAnsi="Cambria Math" w:cs="Times New Roman"/>
                    </w:rPr>
                    <m:t>(</m:t>
                  </m:r>
                  <m:r>
                    <m:rPr>
                      <m:sty m:val="p"/>
                    </m:rPr>
                    <w:rPr>
                      <w:rFonts w:ascii="Cambria Math" w:hAnsi="Cambria Math" w:cs="Times New Roman"/>
                    </w:rPr>
                    <m:t>log</m:t>
                  </m:r>
                  <m:r>
                    <w:rPr>
                      <w:rFonts w:ascii="Cambria Math" w:hAnsi="Cambria Math" w:cs="Times New Roman"/>
                    </w:rPr>
                    <m:t>⁡y)-</m:t>
                  </m:r>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0.25</m:t>
                      </m:r>
                    </m:sub>
                  </m:sSub>
                  <m:r>
                    <w:rPr>
                      <w:rFonts w:ascii="Cambria Math" w:hAnsi="Cambria Math" w:cs="Times New Roman"/>
                    </w:rPr>
                    <m:t>(</m:t>
                  </m:r>
                  <m:r>
                    <m:rPr>
                      <m:sty m:val="p"/>
                    </m:rPr>
                    <w:rPr>
                      <w:rFonts w:ascii="Cambria Math" w:hAnsi="Cambria Math" w:cs="Times New Roman"/>
                    </w:rPr>
                    <m:t>log</m:t>
                  </m:r>
                  <m:r>
                    <w:rPr>
                      <w:rFonts w:ascii="Cambria Math" w:hAnsi="Cambria Math" w:cs="Times New Roman"/>
                    </w:rPr>
                    <m:t>⁡y)</m:t>
                  </m:r>
                </m:e>
              </m:d>
            </m:e>
          </m:d>
          <m:r>
            <w:rPr>
              <w:rFonts w:ascii="Cambria Math" w:hAnsi="Cambria Math" w:cs="Times New Roman"/>
            </w:rPr>
            <m:t>.</m:t>
          </m:r>
        </m:oMath>
      </m:oMathPara>
    </w:p>
    <w:p w14:paraId="04565C64" w14:textId="77777777" w:rsidR="000C4293" w:rsidRPr="000C4293" w:rsidRDefault="000C4293" w:rsidP="000C4293">
      <w:pPr>
        <w:rPr>
          <w:rFonts w:ascii="Times New Roman" w:hAnsi="Times New Roman" w:cs="Times New Roman"/>
        </w:rPr>
      </w:pPr>
      <w:r w:rsidRPr="000C4293">
        <w:rPr>
          <w:rFonts w:ascii="Times New Roman" w:hAnsi="Times New Roman" w:cs="Times New Roman"/>
        </w:rPr>
        <w:t>Values above the threshold are replaced by the threshold:</w:t>
      </w:r>
    </w:p>
    <w:p w14:paraId="002327F2" w14:textId="3051A1D6" w:rsidR="000C4293" w:rsidRPr="000C4293" w:rsidRDefault="000C4293" w:rsidP="000C4293">
      <w:pPr>
        <w:rPr>
          <w:rFonts w:ascii="Times New Roman" w:hAnsi="Times New Roman" w:cs="Times New Roman"/>
        </w:rPr>
      </w:pPr>
      <m:oMathPara>
        <m:oMath>
          <m:sSubSup>
            <m:sSubSupPr>
              <m:ctrlPr>
                <w:rPr>
                  <w:rFonts w:ascii="Cambria Math" w:hAnsi="Cambria Math" w:cs="Times New Roman"/>
                </w:rPr>
              </m:ctrlPr>
            </m:sSubSupPr>
            <m:e>
              <m:r>
                <w:rPr>
                  <w:rFonts w:ascii="Cambria Math" w:hAnsi="Cambria Math" w:cs="Times New Roman"/>
                </w:rPr>
                <m:t>y</m:t>
              </m:r>
            </m:e>
            <m:sub>
              <m:r>
                <w:rPr>
                  <w:rFonts w:ascii="Cambria Math" w:hAnsi="Cambria Math" w:cs="Times New Roman"/>
                </w:rPr>
                <m:t>i</m:t>
              </m:r>
            </m:sub>
            <m:sup>
              <m:r>
                <w:rPr>
                  <w:rFonts w:ascii="Cambria Math" w:hAnsi="Cambria Math" w:cs="Times New Roman"/>
                </w:rPr>
                <m:t>*</m:t>
              </m:r>
            </m:sup>
          </m:sSubSup>
          <m:r>
            <w:rPr>
              <w:rFonts w:ascii="Cambria Math" w:hAnsi="Cambria Math" w:cs="Times New Roman"/>
            </w:rPr>
            <m:t>=</m:t>
          </m:r>
          <m:r>
            <m:rPr>
              <m:sty m:val="p"/>
            </m:rPr>
            <w:rPr>
              <w:rFonts w:ascii="Cambria Math" w:hAnsi="Cambria Math" w:cs="Times New Roman"/>
            </w:rPr>
            <m:t>min</m:t>
          </m:r>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,c).</m:t>
          </m:r>
        </m:oMath>
      </m:oMathPara>
    </w:p>
    <w:p w14:paraId="5FC02A8E" w14:textId="52FF3009" w:rsidR="000C4293" w:rsidRPr="000C4293" w:rsidRDefault="000C4293" w:rsidP="000C4293">
      <w:pPr>
        <w:rPr>
          <w:rFonts w:ascii="Times New Roman" w:hAnsi="Times New Roman" w:cs="Times New Roman"/>
        </w:rPr>
      </w:pPr>
      <w:r w:rsidRPr="000C4293">
        <w:rPr>
          <w:rFonts w:ascii="Times New Roman" w:hAnsi="Times New Roman" w:cs="Times New Roman"/>
        </w:rPr>
        <w:t xml:space="preserve">This is a form of </w:t>
      </w:r>
      <w:proofErr w:type="spellStart"/>
      <w:r w:rsidRPr="000C4293">
        <w:rPr>
          <w:rFonts w:ascii="Times New Roman" w:hAnsi="Times New Roman" w:cs="Times New Roman"/>
        </w:rPr>
        <w:t>winsorization</w:t>
      </w:r>
      <w:proofErr w:type="spellEnd"/>
      <w:r w:rsidRPr="000C4293">
        <w:rPr>
          <w:rFonts w:ascii="Times New Roman" w:hAnsi="Times New Roman" w:cs="Times New Roman"/>
        </w:rPr>
        <w:t xml:space="preserve"> or </w:t>
      </w:r>
      <w:r w:rsidR="005933E4" w:rsidRPr="000C4293">
        <w:rPr>
          <w:rFonts w:ascii="Times New Roman" w:hAnsi="Times New Roman" w:cs="Times New Roman"/>
        </w:rPr>
        <w:t>top coding</w:t>
      </w:r>
      <w:r w:rsidRPr="000C4293">
        <w:rPr>
          <w:rFonts w:ascii="Times New Roman" w:hAnsi="Times New Roman" w:cs="Times New Roman"/>
        </w:rPr>
        <w:t>. It does not remove the affected records from the dataset. The observations remain in the sample, and their survey weights are retained, but the welfare value used in the calculation is capped.</w:t>
      </w:r>
    </w:p>
    <w:p w14:paraId="6A2D79E7" w14:textId="77777777" w:rsidR="000C4293" w:rsidRPr="000C4293" w:rsidRDefault="000C4293" w:rsidP="000C4293">
      <w:pPr>
        <w:rPr>
          <w:rFonts w:ascii="Times New Roman" w:hAnsi="Times New Roman" w:cs="Times New Roman"/>
        </w:rPr>
      </w:pPr>
      <w:r w:rsidRPr="000C4293">
        <w:rPr>
          <w:rFonts w:ascii="Times New Roman" w:hAnsi="Times New Roman" w:cs="Times New Roman"/>
        </w:rPr>
        <w:t>The main advantages of this approach are transparency, simplicity, and comparability. A rule based on the distribution of log income can adapt to differences in the scale and dispersion of income across countries and surveys. However, the LIS ceiling should be interpreted as a treatment threshold rather than as proof that the observations above it are erroneous. High values above the ceiling may be genuine, and the rule does not by itself establish that they should be excluded from the underlying survey.</w:t>
      </w:r>
    </w:p>
    <w:p w14:paraId="6DAA85DB" w14:textId="77777777" w:rsidR="000C4293" w:rsidRPr="000C4293" w:rsidRDefault="000C4293" w:rsidP="000C4293">
      <w:pPr>
        <w:rPr>
          <w:rFonts w:ascii="Times New Roman" w:hAnsi="Times New Roman" w:cs="Times New Roman"/>
        </w:rPr>
      </w:pPr>
      <w:r w:rsidRPr="000C4293">
        <w:rPr>
          <w:rFonts w:ascii="Times New Roman" w:hAnsi="Times New Roman" w:cs="Times New Roman"/>
        </w:rPr>
        <w:t xml:space="preserve">For the present analysis, the LIS rule is used as a transparent baseline sensitivity treatment. The implementation uses weighted quartiles of log welfare and expresses welfare in 2021 PPP dollars </w:t>
      </w:r>
      <w:r w:rsidRPr="000C4293">
        <w:rPr>
          <w:rFonts w:ascii="Times New Roman" w:hAnsi="Times New Roman" w:cs="Times New Roman"/>
        </w:rPr>
        <w:lastRenderedPageBreak/>
        <w:t>per person per day. The exact definition of welfare, the weighting procedure, and the value of the multiplier should be reported alongside the results.</w:t>
      </w:r>
    </w:p>
    <w:p w14:paraId="41DE14D3" w14:textId="77777777" w:rsidR="000C4293" w:rsidRPr="00D338D0" w:rsidRDefault="000C4293" w:rsidP="000C4293">
      <w:pPr>
        <w:rPr>
          <w:rFonts w:ascii="Times New Roman" w:hAnsi="Times New Roman" w:cs="Times New Roman"/>
          <w:b/>
          <w:bCs/>
        </w:rPr>
      </w:pPr>
      <w:r w:rsidRPr="00D338D0">
        <w:rPr>
          <w:rFonts w:ascii="Times New Roman" w:hAnsi="Times New Roman" w:cs="Times New Roman"/>
          <w:b/>
          <w:bCs/>
        </w:rPr>
        <w:t>Current Population Survey</w:t>
      </w:r>
    </w:p>
    <w:p w14:paraId="7FD1BCA3" w14:textId="77777777" w:rsidR="000C4293" w:rsidRPr="000C4293" w:rsidRDefault="000C4293" w:rsidP="000C4293">
      <w:pPr>
        <w:rPr>
          <w:rFonts w:ascii="Times New Roman" w:hAnsi="Times New Roman" w:cs="Times New Roman"/>
        </w:rPr>
      </w:pPr>
      <w:r w:rsidRPr="000C4293">
        <w:rPr>
          <w:rFonts w:ascii="Times New Roman" w:hAnsi="Times New Roman" w:cs="Times New Roman"/>
        </w:rPr>
        <w:t>The Current Population Survey provides a different example because many of its upper-tail procedures are primarily motivated by disclosure avoidance rather than by the identification of statistically invalid observations.</w:t>
      </w:r>
    </w:p>
    <w:p w14:paraId="2C3EBF30" w14:textId="77777777" w:rsidR="000C4293" w:rsidRPr="000C4293" w:rsidRDefault="000C4293" w:rsidP="000C4293">
      <w:pPr>
        <w:rPr>
          <w:rFonts w:ascii="Times New Roman" w:hAnsi="Times New Roman" w:cs="Times New Roman"/>
        </w:rPr>
      </w:pPr>
      <w:r w:rsidRPr="000C4293">
        <w:rPr>
          <w:rFonts w:ascii="Times New Roman" w:hAnsi="Times New Roman" w:cs="Times New Roman"/>
        </w:rPr>
        <w:t>The exact treatment depends on the CPS product, variable, and year. The Census Bureau documents a dynamic top-code for selected usual hourly earnings variables. Under this procedure, implemented monthly, the top 3 percent of reported hourly earnings are replaced by their weighted average rather than by a fixed cutoff value. The public-use values are also subject to rounding rules. These procedures are designed to protect confidentiality and should not be interpreted as a general empirical rule for deciding whether high-income observations are implausible.</w:t>
      </w:r>
    </w:p>
    <w:p w14:paraId="7E396595" w14:textId="77777777" w:rsidR="000C4293" w:rsidRPr="000C4293" w:rsidRDefault="000C4293" w:rsidP="000C4293">
      <w:pPr>
        <w:rPr>
          <w:rFonts w:ascii="Times New Roman" w:hAnsi="Times New Roman" w:cs="Times New Roman"/>
        </w:rPr>
      </w:pPr>
      <w:r w:rsidRPr="000C4293">
        <w:rPr>
          <w:rFonts w:ascii="Times New Roman" w:hAnsi="Times New Roman" w:cs="Times New Roman"/>
        </w:rPr>
        <w:t>This distinction is important for the present exercise. A disclosure-avoidance top-code responds to the risk that individual respondents may be identified. The top-coding considered here responds to the risk that a small number of observed values may exert disproportionate influence on inequality statistics. The two procedures may both modify high values, but they have different objectives and should not be treated as equivalent.</w:t>
      </w:r>
    </w:p>
    <w:p w14:paraId="7AFAFA77" w14:textId="77777777" w:rsidR="000C4293" w:rsidRPr="00501286" w:rsidRDefault="000C4293" w:rsidP="000C4293">
      <w:pPr>
        <w:rPr>
          <w:rFonts w:ascii="Times New Roman" w:hAnsi="Times New Roman" w:cs="Times New Roman"/>
          <w:b/>
          <w:bCs/>
        </w:rPr>
      </w:pPr>
      <w:r w:rsidRPr="00501286">
        <w:rPr>
          <w:rFonts w:ascii="Times New Roman" w:hAnsi="Times New Roman" w:cs="Times New Roman"/>
          <w:b/>
          <w:bCs/>
        </w:rPr>
        <w:t xml:space="preserve">Trimming, </w:t>
      </w:r>
      <w:proofErr w:type="spellStart"/>
      <w:r w:rsidRPr="00501286">
        <w:rPr>
          <w:rFonts w:ascii="Times New Roman" w:hAnsi="Times New Roman" w:cs="Times New Roman"/>
          <w:b/>
          <w:bCs/>
        </w:rPr>
        <w:t>Winsorizing</w:t>
      </w:r>
      <w:proofErr w:type="spellEnd"/>
      <w:r w:rsidRPr="00501286">
        <w:rPr>
          <w:rFonts w:ascii="Times New Roman" w:hAnsi="Times New Roman" w:cs="Times New Roman"/>
          <w:b/>
          <w:bCs/>
        </w:rPr>
        <w:t>, and Robust Tail Modelling</w:t>
      </w:r>
    </w:p>
    <w:p w14:paraId="09679275" w14:textId="77777777" w:rsidR="000C4293" w:rsidRPr="000C4293" w:rsidRDefault="000C4293" w:rsidP="000C4293">
      <w:pPr>
        <w:rPr>
          <w:rFonts w:ascii="Times New Roman" w:hAnsi="Times New Roman" w:cs="Times New Roman"/>
        </w:rPr>
      </w:pPr>
      <w:r w:rsidRPr="000C4293">
        <w:rPr>
          <w:rFonts w:ascii="Times New Roman" w:hAnsi="Times New Roman" w:cs="Times New Roman"/>
        </w:rPr>
        <w:t>A standard approach to extreme observations is trimming. Trimming removes observations above a specified cutoff or percentile. It is easy to implement and useful as a diagnostic, but it gives the affected observations no influence at all. This is a strong assumption and is not generally appropriate unless there is independent evidence that the observations are invalid.</w:t>
      </w:r>
    </w:p>
    <w:p w14:paraId="656A4348" w14:textId="77777777" w:rsidR="000C4293" w:rsidRPr="000C4293" w:rsidRDefault="000C4293" w:rsidP="000C4293">
      <w:pPr>
        <w:rPr>
          <w:rFonts w:ascii="Times New Roman" w:hAnsi="Times New Roman" w:cs="Times New Roman"/>
        </w:rPr>
      </w:pPr>
      <w:proofErr w:type="spellStart"/>
      <w:r w:rsidRPr="000C4293">
        <w:rPr>
          <w:rFonts w:ascii="Times New Roman" w:hAnsi="Times New Roman" w:cs="Times New Roman"/>
        </w:rPr>
        <w:t>Winsorizing</w:t>
      </w:r>
      <w:proofErr w:type="spellEnd"/>
      <w:r w:rsidRPr="000C4293">
        <w:rPr>
          <w:rFonts w:ascii="Times New Roman" w:hAnsi="Times New Roman" w:cs="Times New Roman"/>
        </w:rPr>
        <w:t xml:space="preserve"> retains the observations but replaces values above a cutoff with the cutoff value. It therefore limits the influence of the upper tail while preserving the sample size and survey weights. The disadvantage is that all affected observations receive the same replacement value, even though their original values may have represented genuine differences among high-income households.</w:t>
      </w:r>
    </w:p>
    <w:p w14:paraId="38A40483" w14:textId="77777777" w:rsidR="000C4293" w:rsidRPr="000C4293" w:rsidRDefault="000C4293" w:rsidP="000C4293">
      <w:pPr>
        <w:rPr>
          <w:rFonts w:ascii="Times New Roman" w:hAnsi="Times New Roman" w:cs="Times New Roman"/>
        </w:rPr>
      </w:pPr>
      <w:r w:rsidRPr="000C4293">
        <w:rPr>
          <w:rFonts w:ascii="Times New Roman" w:hAnsi="Times New Roman" w:cs="Times New Roman"/>
        </w:rPr>
        <w:t xml:space="preserve">Van Kerm (2007) examines the sensitivity of poverty and inequality estimates to extreme incomes in EU-SILC and compares simple adjustments, including trimming and </w:t>
      </w:r>
      <w:proofErr w:type="spellStart"/>
      <w:r w:rsidRPr="000C4293">
        <w:rPr>
          <w:rFonts w:ascii="Times New Roman" w:hAnsi="Times New Roman" w:cs="Times New Roman"/>
        </w:rPr>
        <w:t>winsorizing</w:t>
      </w:r>
      <w:proofErr w:type="spellEnd"/>
      <w:r w:rsidRPr="000C4293">
        <w:rPr>
          <w:rFonts w:ascii="Times New Roman" w:hAnsi="Times New Roman" w:cs="Times New Roman"/>
        </w:rPr>
        <w:t>, with approaches based on modelling the upper tail. The paper emphasizes that ordinal comparisons between countries may be relatively robust to alternative treatments, while cardinal estimates such as means, income shares, and inequality indices may be substantially more sensitive.</w:t>
      </w:r>
    </w:p>
    <w:p w14:paraId="074DE9E3" w14:textId="76E0BE18" w:rsidR="000C4293" w:rsidRPr="000C4293" w:rsidRDefault="000C4293" w:rsidP="000C4293">
      <w:pPr>
        <w:rPr>
          <w:rFonts w:ascii="Times New Roman" w:hAnsi="Times New Roman" w:cs="Times New Roman"/>
        </w:rPr>
      </w:pPr>
      <w:r w:rsidRPr="000C4293">
        <w:rPr>
          <w:rFonts w:ascii="Times New Roman" w:hAnsi="Times New Roman" w:cs="Times New Roman"/>
        </w:rPr>
        <w:t>A Pareto model is often used to describe the upper tail of an income distribution. If the Pareto model is fitted above a threshold </w:t>
      </w:r>
      <m:oMath>
        <m:r>
          <w:rPr>
            <w:rFonts w:ascii="Cambria Math" w:hAnsi="Cambria Math" w:cs="Times New Roman"/>
          </w:rPr>
          <m:t>u</m:t>
        </m:r>
      </m:oMath>
      <w:r w:rsidRPr="000C4293">
        <w:rPr>
          <w:rFonts w:ascii="Times New Roman" w:hAnsi="Times New Roman" w:cs="Times New Roman"/>
        </w:rPr>
        <w:t>, its survival function can be expressed as:</w:t>
      </w:r>
    </w:p>
    <w:p w14:paraId="53126A34" w14:textId="17185036" w:rsidR="000C4293" w:rsidRPr="000C4293" w:rsidRDefault="000C4293" w:rsidP="000C4293">
      <w:pPr>
        <w:rPr>
          <w:rFonts w:ascii="Times New Roman" w:hAnsi="Times New Roman" w:cs="Times New Roman"/>
        </w:rPr>
      </w:pPr>
      <m:oMathPara>
        <m:oMath>
          <m:r>
            <w:rPr>
              <w:rFonts w:ascii="Cambria Math" w:hAnsi="Cambria Math" w:cs="Times New Roman"/>
            </w:rPr>
            <w:lastRenderedPageBreak/>
            <m:t>P(Y≥y∣Y≥u)=</m:t>
          </m:r>
          <m:sSup>
            <m:sSupPr>
              <m:ctrlPr>
                <w:rPr>
                  <w:rFonts w:ascii="Cambria Math" w:hAnsi="Cambria Math" w:cs="Times New Roman"/>
                </w:rPr>
              </m:ctrlPr>
            </m:sSupPr>
            <m:e>
              <m:d>
                <m:dPr>
                  <m:ctrlPr>
                    <w:rPr>
                      <w:rFonts w:ascii="Cambria Math" w:hAnsi="Cambria Math" w:cs="Times New Roman"/>
                    </w:rPr>
                  </m:ctrlPr>
                </m:dPr>
                <m:e>
                  <m:f>
                    <m:fPr>
                      <m:ctrlPr>
                        <w:rPr>
                          <w:rFonts w:ascii="Cambria Math" w:hAnsi="Cambria Math" w:cs="Times New Roman"/>
                        </w:rPr>
                      </m:ctrlPr>
                    </m:fPr>
                    <m:num>
                      <m:r>
                        <w:rPr>
                          <w:rFonts w:ascii="Cambria Math" w:hAnsi="Cambria Math" w:cs="Times New Roman"/>
                        </w:rPr>
                        <m:t>u</m:t>
                      </m:r>
                    </m:num>
                    <m:den>
                      <m:r>
                        <w:rPr>
                          <w:rFonts w:ascii="Cambria Math" w:hAnsi="Cambria Math" w:cs="Times New Roman"/>
                        </w:rPr>
                        <m:t>y</m:t>
                      </m:r>
                    </m:den>
                  </m:f>
                </m:e>
              </m:d>
            </m:e>
            <m:sup>
              <m:r>
                <w:rPr>
                  <w:rFonts w:ascii="Cambria Math" w:hAnsi="Cambria Math" w:cs="Times New Roman"/>
                </w:rPr>
                <m:t>α</m:t>
              </m:r>
            </m:sup>
          </m:sSup>
          <m:r>
            <w:rPr>
              <w:rFonts w:ascii="Cambria Math" w:hAnsi="Cambria Math" w:cs="Times New Roman"/>
            </w:rPr>
            <m:t>,y≥u,</m:t>
          </m:r>
        </m:oMath>
      </m:oMathPara>
    </w:p>
    <w:p w14:paraId="04812456" w14:textId="1544A853" w:rsidR="000C4293" w:rsidRPr="000C4293" w:rsidRDefault="000C4293" w:rsidP="000C4293">
      <w:pPr>
        <w:rPr>
          <w:rFonts w:ascii="Times New Roman" w:hAnsi="Times New Roman" w:cs="Times New Roman"/>
        </w:rPr>
      </w:pPr>
      <w:r w:rsidRPr="000C4293">
        <w:rPr>
          <w:rFonts w:ascii="Times New Roman" w:hAnsi="Times New Roman" w:cs="Times New Roman"/>
        </w:rPr>
        <w:t>where </w:t>
      </w:r>
      <m:oMath>
        <m:r>
          <w:rPr>
            <w:rFonts w:ascii="Cambria Math" w:hAnsi="Cambria Math" w:cs="Times New Roman"/>
          </w:rPr>
          <m:t>α</m:t>
        </m:r>
      </m:oMath>
      <w:r w:rsidRPr="000C4293">
        <w:rPr>
          <w:rFonts w:ascii="Times New Roman" w:hAnsi="Times New Roman" w:cs="Times New Roman"/>
        </w:rPr>
        <w:t> is the Pareto shape parameter. A smaller value of </w:t>
      </w:r>
      <m:oMath>
        <m:r>
          <w:rPr>
            <w:rFonts w:ascii="Cambria Math" w:hAnsi="Cambria Math" w:cs="Times New Roman"/>
          </w:rPr>
          <m:t>α</m:t>
        </m:r>
      </m:oMath>
      <w:r w:rsidRPr="000C4293">
        <w:rPr>
          <w:rFonts w:ascii="Times New Roman" w:hAnsi="Times New Roman" w:cs="Times New Roman"/>
        </w:rPr>
        <w:t> indicates a heavier upper tail.</w:t>
      </w:r>
    </w:p>
    <w:p w14:paraId="695BA9BE" w14:textId="77777777" w:rsidR="000C4293" w:rsidRPr="000C4293" w:rsidRDefault="000C4293" w:rsidP="000C4293">
      <w:pPr>
        <w:rPr>
          <w:rFonts w:ascii="Times New Roman" w:hAnsi="Times New Roman" w:cs="Times New Roman"/>
        </w:rPr>
      </w:pPr>
      <w:r w:rsidRPr="000C4293">
        <w:rPr>
          <w:rFonts w:ascii="Times New Roman" w:hAnsi="Times New Roman" w:cs="Times New Roman"/>
        </w:rPr>
        <w:t>A Pareto model should not automatically be fitted to the entire welfare distribution. The bulk of the distribution and the upper tail may follow different statistical patterns. The choice of the tail threshold is therefore important, and results should be examined for sensitivity to alternative thresholds such as the 90th, 95th, or 99th percentile.</w:t>
      </w:r>
    </w:p>
    <w:p w14:paraId="7C8BC832" w14:textId="25783008" w:rsidR="000C4293" w:rsidRPr="000C4293" w:rsidRDefault="000C4293" w:rsidP="000C4293">
      <w:pPr>
        <w:rPr>
          <w:rFonts w:ascii="Times New Roman" w:hAnsi="Times New Roman" w:cs="Times New Roman"/>
        </w:rPr>
      </w:pPr>
      <w:r w:rsidRPr="000C4293">
        <w:rPr>
          <w:rFonts w:ascii="Times New Roman" w:hAnsi="Times New Roman" w:cs="Times New Roman"/>
        </w:rPr>
        <w:t xml:space="preserve">A fitted Pareto distribution can be used in several ways. It can provide a diagnostic comparison between observed and predicted tail probabilities, support a semiparametric inequality estimate, or generate plausible replacement values in a sensitivity analysis. However, replacing observed values with Pareto draws is an additional modelling choice. </w:t>
      </w:r>
    </w:p>
    <w:p w14:paraId="198C0EC4" w14:textId="77777777" w:rsidR="000C4293" w:rsidRPr="000C4293" w:rsidRDefault="000C4293" w:rsidP="000C4293">
      <w:pPr>
        <w:rPr>
          <w:rFonts w:ascii="Times New Roman" w:hAnsi="Times New Roman" w:cs="Times New Roman"/>
        </w:rPr>
      </w:pPr>
      <w:r w:rsidRPr="000C4293">
        <w:rPr>
          <w:rFonts w:ascii="Times New Roman" w:hAnsi="Times New Roman" w:cs="Times New Roman"/>
        </w:rPr>
        <w:t>In the present exercise, the Pareto analysis is inspired by the EU-SILC literature but is not an exact replication of Van Kerm’s estimator. The use of a robust Pareto estimator from the </w:t>
      </w:r>
      <w:proofErr w:type="spellStart"/>
      <w:r w:rsidRPr="000C4293">
        <w:rPr>
          <w:rFonts w:ascii="Times New Roman" w:hAnsi="Times New Roman" w:cs="Times New Roman"/>
        </w:rPr>
        <w:t>laeken</w:t>
      </w:r>
      <w:proofErr w:type="spellEnd"/>
      <w:r w:rsidRPr="000C4293">
        <w:rPr>
          <w:rFonts w:ascii="Times New Roman" w:hAnsi="Times New Roman" w:cs="Times New Roman"/>
        </w:rPr>
        <w:t> package and the resulting capping or imputation procedures should therefore be described as an exploratory extension.</w:t>
      </w:r>
    </w:p>
    <w:p w14:paraId="2D1F3E8F" w14:textId="77777777" w:rsidR="000C4293" w:rsidRPr="00C22A2C" w:rsidRDefault="000C4293" w:rsidP="000C4293">
      <w:pPr>
        <w:rPr>
          <w:rFonts w:ascii="Times New Roman" w:hAnsi="Times New Roman" w:cs="Times New Roman"/>
          <w:b/>
          <w:bCs/>
        </w:rPr>
      </w:pPr>
      <w:r w:rsidRPr="00C22A2C">
        <w:rPr>
          <w:rFonts w:ascii="Times New Roman" w:hAnsi="Times New Roman" w:cs="Times New Roman"/>
          <w:b/>
          <w:bCs/>
        </w:rPr>
        <w:t>Extreme Values and Censored Data</w:t>
      </w:r>
    </w:p>
    <w:p w14:paraId="22AFC71F" w14:textId="77777777" w:rsidR="000C4293" w:rsidRPr="000C4293" w:rsidRDefault="000C4293" w:rsidP="000C4293">
      <w:pPr>
        <w:rPr>
          <w:rFonts w:ascii="Times New Roman" w:hAnsi="Times New Roman" w:cs="Times New Roman"/>
        </w:rPr>
      </w:pPr>
      <w:r w:rsidRPr="000C4293">
        <w:rPr>
          <w:rFonts w:ascii="Times New Roman" w:hAnsi="Times New Roman" w:cs="Times New Roman"/>
        </w:rPr>
        <w:t xml:space="preserve">Jenkins, </w:t>
      </w:r>
      <w:proofErr w:type="spellStart"/>
      <w:r w:rsidRPr="000C4293">
        <w:rPr>
          <w:rFonts w:ascii="Times New Roman" w:hAnsi="Times New Roman" w:cs="Times New Roman"/>
        </w:rPr>
        <w:t>Burkhauser</w:t>
      </w:r>
      <w:proofErr w:type="spellEnd"/>
      <w:r w:rsidRPr="000C4293">
        <w:rPr>
          <w:rFonts w:ascii="Times New Roman" w:hAnsi="Times New Roman" w:cs="Times New Roman"/>
        </w:rPr>
        <w:t>, Feng, and Larrimore (2011) address a related but distinct problem: estimating inequality when the data are already right-censored or top-coded by the data provider. In that situation, the original values above a known threshold are not observed. The authors propose multiple-imputation methods in which the censored observations are imputed using draws from a flexible parametric distribution, particularly the Generalized Beta of the Second Kind. The imputed datasets are then used to estimate inequality measures and associated uncertainty.</w:t>
      </w:r>
    </w:p>
    <w:p w14:paraId="4C76BB90" w14:textId="77777777" w:rsidR="000C4293" w:rsidRPr="000C4293" w:rsidRDefault="000C4293" w:rsidP="000C4293">
      <w:pPr>
        <w:rPr>
          <w:rFonts w:ascii="Times New Roman" w:hAnsi="Times New Roman" w:cs="Times New Roman"/>
        </w:rPr>
      </w:pPr>
      <w:r w:rsidRPr="000C4293">
        <w:rPr>
          <w:rFonts w:ascii="Times New Roman" w:hAnsi="Times New Roman" w:cs="Times New Roman"/>
        </w:rPr>
        <w:t>This approach is relevant because it demonstrates that top-coding can affect inequality estimates if the lost upper-tail variation is ignored. However, it is not directly the same as the present problem. In the current survey microdata, the extreme values are observed. The question is whether their influence should be limited, not how to reconstruct values that have already been hidden by a data provider.</w:t>
      </w:r>
    </w:p>
    <w:p w14:paraId="02067236" w14:textId="77777777" w:rsidR="000C4293" w:rsidRPr="004B5F16" w:rsidRDefault="000C4293" w:rsidP="000C4293">
      <w:pPr>
        <w:rPr>
          <w:rFonts w:ascii="Times New Roman" w:hAnsi="Times New Roman" w:cs="Times New Roman"/>
          <w:b/>
          <w:bCs/>
        </w:rPr>
      </w:pPr>
      <w:r w:rsidRPr="004B5F16">
        <w:rPr>
          <w:rFonts w:ascii="Times New Roman" w:hAnsi="Times New Roman" w:cs="Times New Roman"/>
          <w:b/>
          <w:bCs/>
        </w:rPr>
        <w:t>Survey Underrepresentation and the World Inequality Database</w:t>
      </w:r>
    </w:p>
    <w:p w14:paraId="4C582E80" w14:textId="77777777" w:rsidR="000C4293" w:rsidRPr="000C4293" w:rsidRDefault="000C4293" w:rsidP="000C4293">
      <w:pPr>
        <w:rPr>
          <w:rFonts w:ascii="Times New Roman" w:hAnsi="Times New Roman" w:cs="Times New Roman"/>
        </w:rPr>
      </w:pPr>
      <w:r w:rsidRPr="000C4293">
        <w:rPr>
          <w:rFonts w:ascii="Times New Roman" w:hAnsi="Times New Roman" w:cs="Times New Roman"/>
        </w:rPr>
        <w:t>The World Inequality Database addresses a different problem from top-coding: the possible underrepresentation of the richest individuals in household surveys. Household surveys may fail to capture some high-income households because of sampling limitations, nonresponse, underreporting, or difficulties linking survey responses to the very top of the income distribution.</w:t>
      </w:r>
    </w:p>
    <w:p w14:paraId="6DFCB6C5" w14:textId="77777777" w:rsidR="000C4293" w:rsidRPr="000C4293" w:rsidRDefault="000C4293" w:rsidP="000C4293">
      <w:pPr>
        <w:rPr>
          <w:rFonts w:ascii="Times New Roman" w:hAnsi="Times New Roman" w:cs="Times New Roman"/>
        </w:rPr>
      </w:pPr>
      <w:r w:rsidRPr="000C4293">
        <w:rPr>
          <w:rFonts w:ascii="Times New Roman" w:hAnsi="Times New Roman" w:cs="Times New Roman"/>
        </w:rPr>
        <w:t xml:space="preserve">The Distributional National Accounts framework therefore seeks, where appropriate data are available, to combine household survey information with tax records, national accounts, and </w:t>
      </w:r>
      <w:r w:rsidRPr="000C4293">
        <w:rPr>
          <w:rFonts w:ascii="Times New Roman" w:hAnsi="Times New Roman" w:cs="Times New Roman"/>
        </w:rPr>
        <w:lastRenderedPageBreak/>
        <w:t>other administrative or distributional sources. The purpose is to improve the representation of the full distribution, especially the upper tail. Pareto or generalized Pareto models may be used to describe the distribution above a selected threshold.</w:t>
      </w:r>
    </w:p>
    <w:p w14:paraId="12FCA558" w14:textId="77777777" w:rsidR="000C4293" w:rsidRPr="000C4293" w:rsidRDefault="000C4293" w:rsidP="000C4293">
      <w:pPr>
        <w:rPr>
          <w:rFonts w:ascii="Times New Roman" w:hAnsi="Times New Roman" w:cs="Times New Roman"/>
        </w:rPr>
      </w:pPr>
      <w:r w:rsidRPr="000C4293">
        <w:rPr>
          <w:rFonts w:ascii="Times New Roman" w:hAnsi="Times New Roman" w:cs="Times New Roman"/>
        </w:rPr>
        <w:t>The exact procedure is country-specific because the availability and quality of tax, survey, and national-accounts data differ across countries. The WID approach should therefore not be described as a single universal top-coding rule. Conceptually, it often moves in the opposite direction from top-coding: top-coding limits the influence of observed extreme values, whereas the WID approach may increase the estimated upper tail when survey data appear to omit or underrepresent the richest individuals.</w:t>
      </w:r>
    </w:p>
    <w:p w14:paraId="015FEB87" w14:textId="77777777" w:rsidR="000C4293" w:rsidRPr="000C4293" w:rsidRDefault="000C4293" w:rsidP="000C4293">
      <w:pPr>
        <w:rPr>
          <w:rFonts w:ascii="Times New Roman" w:hAnsi="Times New Roman" w:cs="Times New Roman"/>
        </w:rPr>
      </w:pPr>
      <w:r w:rsidRPr="000C4293">
        <w:rPr>
          <w:rFonts w:ascii="Times New Roman" w:hAnsi="Times New Roman" w:cs="Times New Roman"/>
        </w:rPr>
        <w:t xml:space="preserve">This distinction is important for the present study. A survey can contain a small number of highly influential observations and still understate the true share of income received by the richest households. Top-coding is therefore a robustness treatment for observed microdata, not a correction for national top-income </w:t>
      </w:r>
      <w:proofErr w:type="spellStart"/>
      <w:r w:rsidRPr="000C4293">
        <w:rPr>
          <w:rFonts w:ascii="Times New Roman" w:hAnsi="Times New Roman" w:cs="Times New Roman"/>
        </w:rPr>
        <w:t>undercoverage</w:t>
      </w:r>
      <w:proofErr w:type="spellEnd"/>
      <w:r w:rsidRPr="000C4293">
        <w:rPr>
          <w:rFonts w:ascii="Times New Roman" w:hAnsi="Times New Roman" w:cs="Times New Roman"/>
        </w:rPr>
        <w:t>.</w:t>
      </w:r>
    </w:p>
    <w:p w14:paraId="57DB4341" w14:textId="77777777" w:rsidR="000C4293" w:rsidRPr="009E6266" w:rsidRDefault="000C4293" w:rsidP="000C4293">
      <w:pPr>
        <w:rPr>
          <w:rFonts w:ascii="Times New Roman" w:hAnsi="Times New Roman" w:cs="Times New Roman"/>
          <w:b/>
          <w:bCs/>
        </w:rPr>
      </w:pPr>
      <w:r w:rsidRPr="009E6266">
        <w:rPr>
          <w:rFonts w:ascii="Times New Roman" w:hAnsi="Times New Roman" w:cs="Times New Roman"/>
          <w:b/>
          <w:bCs/>
        </w:rPr>
        <w:t>Implications for the Current Exercise</w:t>
      </w:r>
    </w:p>
    <w:p w14:paraId="11AFEAB6" w14:textId="77777777" w:rsidR="000C4293" w:rsidRPr="000C4293" w:rsidRDefault="000C4293" w:rsidP="000C4293">
      <w:pPr>
        <w:rPr>
          <w:rFonts w:ascii="Times New Roman" w:hAnsi="Times New Roman" w:cs="Times New Roman"/>
        </w:rPr>
      </w:pPr>
      <w:r w:rsidRPr="000C4293">
        <w:rPr>
          <w:rFonts w:ascii="Times New Roman" w:hAnsi="Times New Roman" w:cs="Times New Roman"/>
        </w:rPr>
        <w:t>The literature does not identify one universally correct treatment for upper-tail values. The appropriate method depends on the objective:</w:t>
      </w:r>
    </w:p>
    <w:p w14:paraId="7D8CCFCB" w14:textId="77777777" w:rsidR="009E6266" w:rsidRDefault="000C4293" w:rsidP="009E6266">
      <w:pPr>
        <w:numPr>
          <w:ilvl w:val="0"/>
          <w:numId w:val="12"/>
        </w:numPr>
        <w:rPr>
          <w:rFonts w:ascii="Times New Roman" w:hAnsi="Times New Roman" w:cs="Times New Roman"/>
        </w:rPr>
      </w:pPr>
      <w:r w:rsidRPr="000C4293">
        <w:rPr>
          <w:rFonts w:ascii="Times New Roman" w:hAnsi="Times New Roman" w:cs="Times New Roman"/>
        </w:rPr>
        <w:t>trimming is useful as a strong diagnostic sensitivity check</w:t>
      </w:r>
    </w:p>
    <w:p w14:paraId="408587A2" w14:textId="1E0CAC37" w:rsidR="000C4293" w:rsidRPr="009E6266" w:rsidRDefault="000C4293" w:rsidP="009E6266">
      <w:pPr>
        <w:numPr>
          <w:ilvl w:val="0"/>
          <w:numId w:val="12"/>
        </w:numPr>
        <w:rPr>
          <w:rFonts w:ascii="Times New Roman" w:hAnsi="Times New Roman" w:cs="Times New Roman"/>
        </w:rPr>
      </w:pPr>
      <w:proofErr w:type="spellStart"/>
      <w:r w:rsidRPr="009E6266">
        <w:rPr>
          <w:rFonts w:ascii="Times New Roman" w:hAnsi="Times New Roman" w:cs="Times New Roman"/>
        </w:rPr>
        <w:t>winsorizing</w:t>
      </w:r>
      <w:proofErr w:type="spellEnd"/>
      <w:r w:rsidRPr="009E6266">
        <w:rPr>
          <w:rFonts w:ascii="Times New Roman" w:hAnsi="Times New Roman" w:cs="Times New Roman"/>
        </w:rPr>
        <w:t xml:space="preserve"> provides a transparent way to limit the influence of selected observations</w:t>
      </w:r>
    </w:p>
    <w:p w14:paraId="5DB122FF" w14:textId="71A734AA" w:rsidR="000C4293" w:rsidRPr="000C4293" w:rsidRDefault="000C4293" w:rsidP="000C4293">
      <w:pPr>
        <w:numPr>
          <w:ilvl w:val="0"/>
          <w:numId w:val="12"/>
        </w:numPr>
        <w:rPr>
          <w:rFonts w:ascii="Times New Roman" w:hAnsi="Times New Roman" w:cs="Times New Roman"/>
        </w:rPr>
      </w:pPr>
      <w:r w:rsidRPr="000C4293">
        <w:rPr>
          <w:rFonts w:ascii="Times New Roman" w:hAnsi="Times New Roman" w:cs="Times New Roman"/>
        </w:rPr>
        <w:t>LIS-style top-coding provides a simple and comparable baseline rule</w:t>
      </w:r>
    </w:p>
    <w:p w14:paraId="6F9885F9" w14:textId="266EC7E5" w:rsidR="000C4293" w:rsidRPr="000C4293" w:rsidRDefault="000C4293" w:rsidP="000C4293">
      <w:pPr>
        <w:numPr>
          <w:ilvl w:val="0"/>
          <w:numId w:val="12"/>
        </w:numPr>
        <w:rPr>
          <w:rFonts w:ascii="Times New Roman" w:hAnsi="Times New Roman" w:cs="Times New Roman"/>
        </w:rPr>
      </w:pPr>
      <w:r w:rsidRPr="000C4293">
        <w:rPr>
          <w:rFonts w:ascii="Times New Roman" w:hAnsi="Times New Roman" w:cs="Times New Roman"/>
        </w:rPr>
        <w:t>Pareto modelling provides a way to assess whether the observed upper tail is compatible with a specified distribution</w:t>
      </w:r>
    </w:p>
    <w:p w14:paraId="49588C88" w14:textId="369C54D2" w:rsidR="000C4293" w:rsidRPr="000C4293" w:rsidRDefault="000C4293" w:rsidP="000C4293">
      <w:pPr>
        <w:numPr>
          <w:ilvl w:val="0"/>
          <w:numId w:val="12"/>
        </w:numPr>
        <w:rPr>
          <w:rFonts w:ascii="Times New Roman" w:hAnsi="Times New Roman" w:cs="Times New Roman"/>
        </w:rPr>
      </w:pPr>
      <w:r w:rsidRPr="000C4293">
        <w:rPr>
          <w:rFonts w:ascii="Times New Roman" w:hAnsi="Times New Roman" w:cs="Times New Roman"/>
        </w:rPr>
        <w:t>multiple imputation is appropriate when values are already censored and missing above a known threshold</w:t>
      </w:r>
    </w:p>
    <w:p w14:paraId="6514069C" w14:textId="77777777" w:rsidR="000C4293" w:rsidRPr="000C4293" w:rsidRDefault="000C4293" w:rsidP="000C4293">
      <w:pPr>
        <w:numPr>
          <w:ilvl w:val="0"/>
          <w:numId w:val="12"/>
        </w:numPr>
        <w:rPr>
          <w:rFonts w:ascii="Times New Roman" w:hAnsi="Times New Roman" w:cs="Times New Roman"/>
        </w:rPr>
      </w:pPr>
      <w:r w:rsidRPr="000C4293">
        <w:rPr>
          <w:rFonts w:ascii="Times New Roman" w:hAnsi="Times New Roman" w:cs="Times New Roman"/>
        </w:rPr>
        <w:t>survey-tax-data integration addresses underrepresentation of top incomes rather than the influence of observed outliers.</w:t>
      </w:r>
    </w:p>
    <w:p w14:paraId="4C4E7A45" w14:textId="77777777" w:rsidR="000C4293" w:rsidRPr="000C4293" w:rsidRDefault="000C4293" w:rsidP="000C4293">
      <w:pPr>
        <w:rPr>
          <w:rFonts w:ascii="Times New Roman" w:hAnsi="Times New Roman" w:cs="Times New Roman"/>
        </w:rPr>
      </w:pPr>
      <w:r w:rsidRPr="000C4293">
        <w:rPr>
          <w:rFonts w:ascii="Times New Roman" w:hAnsi="Times New Roman" w:cs="Times New Roman"/>
        </w:rPr>
        <w:t>The proposed empirical strategy is therefore to use the LIS log-IQR ceiling as a transparent baseline treatment, while using Pareto diagnostics and alternative treatments as sensitivity analyses. Observations above the LIS ceiling should be regarded as candidates for review, not automatically as invalid observations.</w:t>
      </w:r>
    </w:p>
    <w:p w14:paraId="63114A59" w14:textId="696DA6D7" w:rsidR="000C4293" w:rsidRPr="007F23DA" w:rsidRDefault="007F23DA" w:rsidP="000C4293">
      <w:pPr>
        <w:rPr>
          <w:rFonts w:ascii="Times New Roman" w:hAnsi="Times New Roman" w:cs="Times New Roman"/>
          <w:b/>
          <w:bCs/>
        </w:rPr>
      </w:pPr>
      <w:r w:rsidRPr="007F23DA">
        <w:rPr>
          <w:rFonts w:ascii="Times New Roman" w:hAnsi="Times New Roman" w:cs="Times New Roman"/>
          <w:b/>
          <w:bCs/>
        </w:rPr>
        <w:t>R</w:t>
      </w:r>
      <w:r w:rsidR="000C4293" w:rsidRPr="007F23DA">
        <w:rPr>
          <w:rFonts w:ascii="Times New Roman" w:hAnsi="Times New Roman" w:cs="Times New Roman"/>
          <w:b/>
          <w:bCs/>
        </w:rPr>
        <w:t>eferences</w:t>
      </w:r>
    </w:p>
    <w:p w14:paraId="295E2A99" w14:textId="7F020935" w:rsidR="000C4293" w:rsidRPr="000C4293" w:rsidRDefault="000C4293" w:rsidP="000C4293">
      <w:pPr>
        <w:rPr>
          <w:rFonts w:ascii="Times New Roman" w:hAnsi="Times New Roman" w:cs="Times New Roman"/>
        </w:rPr>
      </w:pPr>
      <w:r w:rsidRPr="000C4293">
        <w:rPr>
          <w:rFonts w:ascii="Times New Roman" w:hAnsi="Times New Roman" w:cs="Times New Roman"/>
        </w:rPr>
        <w:t xml:space="preserve">Jenkins, S. P., </w:t>
      </w:r>
      <w:proofErr w:type="spellStart"/>
      <w:r w:rsidRPr="000C4293">
        <w:rPr>
          <w:rFonts w:ascii="Times New Roman" w:hAnsi="Times New Roman" w:cs="Times New Roman"/>
        </w:rPr>
        <w:t>Burkhauser</w:t>
      </w:r>
      <w:proofErr w:type="spellEnd"/>
      <w:r w:rsidRPr="000C4293">
        <w:rPr>
          <w:rFonts w:ascii="Times New Roman" w:hAnsi="Times New Roman" w:cs="Times New Roman"/>
        </w:rPr>
        <w:t xml:space="preserve">, R. V., Feng, S., &amp; Larrimore, J. (2011). </w:t>
      </w:r>
      <w:hyperlink r:id="rId7" w:history="1">
        <w:r w:rsidRPr="00027F2C">
          <w:rPr>
            <w:rStyle w:val="Hyperlink"/>
            <w:rFonts w:ascii="Times New Roman" w:hAnsi="Times New Roman" w:cs="Times New Roman"/>
          </w:rPr>
          <w:t>Measuring inequality using censored data: A multiple-imputation approach to estimation and inference</w:t>
        </w:r>
      </w:hyperlink>
      <w:r w:rsidRPr="000C4293">
        <w:rPr>
          <w:rFonts w:ascii="Times New Roman" w:hAnsi="Times New Roman" w:cs="Times New Roman"/>
        </w:rPr>
        <w:t>. </w:t>
      </w:r>
      <w:r w:rsidRPr="000C4293">
        <w:rPr>
          <w:rFonts w:ascii="Times New Roman" w:hAnsi="Times New Roman" w:cs="Times New Roman"/>
          <w:i/>
          <w:iCs/>
        </w:rPr>
        <w:t>Journal of the Royal Statistical Society: Series A (Statistics in Society), 174</w:t>
      </w:r>
      <w:r w:rsidRPr="000C4293">
        <w:rPr>
          <w:rFonts w:ascii="Times New Roman" w:hAnsi="Times New Roman" w:cs="Times New Roman"/>
        </w:rPr>
        <w:t>(1), 63–81. </w:t>
      </w:r>
      <w:r w:rsidR="00540929" w:rsidRPr="000C4293">
        <w:rPr>
          <w:rFonts w:ascii="Times New Roman" w:hAnsi="Times New Roman" w:cs="Times New Roman"/>
        </w:rPr>
        <w:t xml:space="preserve"> </w:t>
      </w:r>
    </w:p>
    <w:p w14:paraId="1C950980" w14:textId="6315AC8D" w:rsidR="000C4293" w:rsidRPr="000C4293" w:rsidRDefault="000C4293" w:rsidP="000C4293">
      <w:pPr>
        <w:rPr>
          <w:rFonts w:ascii="Times New Roman" w:hAnsi="Times New Roman" w:cs="Times New Roman"/>
        </w:rPr>
      </w:pPr>
      <w:proofErr w:type="spellStart"/>
      <w:r w:rsidRPr="000C4293">
        <w:rPr>
          <w:rFonts w:ascii="Times New Roman" w:hAnsi="Times New Roman" w:cs="Times New Roman"/>
        </w:rPr>
        <w:lastRenderedPageBreak/>
        <w:t>Neugschwender</w:t>
      </w:r>
      <w:proofErr w:type="spellEnd"/>
      <w:r w:rsidRPr="000C4293">
        <w:rPr>
          <w:rFonts w:ascii="Times New Roman" w:hAnsi="Times New Roman" w:cs="Times New Roman"/>
        </w:rPr>
        <w:t>, J. (2020). </w:t>
      </w:r>
      <w:hyperlink r:id="rId8" w:history="1">
        <w:r w:rsidRPr="00F25BC4">
          <w:rPr>
            <w:rStyle w:val="Hyperlink"/>
            <w:rFonts w:ascii="Times New Roman" w:hAnsi="Times New Roman" w:cs="Times New Roman"/>
            <w:i/>
            <w:iCs/>
          </w:rPr>
          <w:t>Top and Bottom Coding at LIS</w:t>
        </w:r>
      </w:hyperlink>
      <w:r w:rsidRPr="000C4293">
        <w:rPr>
          <w:rFonts w:ascii="Times New Roman" w:hAnsi="Times New Roman" w:cs="Times New Roman"/>
        </w:rPr>
        <w:t>. LIS Technical Working Paper No. 9. Luxembourg Income Study.</w:t>
      </w:r>
    </w:p>
    <w:p w14:paraId="1C9A25C8" w14:textId="75B0AA5A" w:rsidR="000C4293" w:rsidRPr="000C4293" w:rsidRDefault="000C4293" w:rsidP="000C4293">
      <w:pPr>
        <w:rPr>
          <w:rFonts w:ascii="Times New Roman" w:hAnsi="Times New Roman" w:cs="Times New Roman"/>
        </w:rPr>
      </w:pPr>
      <w:r w:rsidRPr="000C4293">
        <w:rPr>
          <w:rFonts w:ascii="Times New Roman" w:hAnsi="Times New Roman" w:cs="Times New Roman"/>
        </w:rPr>
        <w:t>U.S. Census Bureau. (2024). </w:t>
      </w:r>
      <w:hyperlink r:id="rId9" w:history="1">
        <w:r w:rsidRPr="00BD3B91">
          <w:rPr>
            <w:rStyle w:val="Hyperlink"/>
            <w:rFonts w:ascii="Times New Roman" w:hAnsi="Times New Roman" w:cs="Times New Roman"/>
            <w:i/>
            <w:iCs/>
          </w:rPr>
          <w:t>Disclosure Avoidance of Usual Hourly Earnings</w:t>
        </w:r>
      </w:hyperlink>
      <w:r w:rsidRPr="000C4293">
        <w:rPr>
          <w:rFonts w:ascii="Times New Roman" w:hAnsi="Times New Roman" w:cs="Times New Roman"/>
        </w:rPr>
        <w:t>. Current Population Survey technical documentation.</w:t>
      </w:r>
    </w:p>
    <w:p w14:paraId="60A8188F" w14:textId="5FC3CD87" w:rsidR="000C4293" w:rsidRPr="000C4293" w:rsidRDefault="000C4293" w:rsidP="000C4293">
      <w:pPr>
        <w:rPr>
          <w:rFonts w:ascii="Times New Roman" w:hAnsi="Times New Roman" w:cs="Times New Roman"/>
        </w:rPr>
      </w:pPr>
      <w:r w:rsidRPr="000C4293">
        <w:rPr>
          <w:rFonts w:ascii="Times New Roman" w:hAnsi="Times New Roman" w:cs="Times New Roman"/>
        </w:rPr>
        <w:t>U.S. Census Bureau. (2021</w:t>
      </w:r>
      <w:hyperlink r:id="rId10" w:history="1">
        <w:r w:rsidRPr="00972B7A">
          <w:rPr>
            <w:rStyle w:val="Hyperlink"/>
            <w:rFonts w:ascii="Times New Roman" w:hAnsi="Times New Roman" w:cs="Times New Roman"/>
          </w:rPr>
          <w:t>). </w:t>
        </w:r>
        <w:r w:rsidRPr="00972B7A">
          <w:rPr>
            <w:rStyle w:val="Hyperlink"/>
            <w:rFonts w:ascii="Times New Roman" w:hAnsi="Times New Roman" w:cs="Times New Roman"/>
            <w:i/>
            <w:iCs/>
          </w:rPr>
          <w:t>Current Population Survey: Technical Documentation</w:t>
        </w:r>
        <w:r w:rsidRPr="00972B7A">
          <w:rPr>
            <w:rStyle w:val="Hyperlink"/>
            <w:rFonts w:ascii="Times New Roman" w:hAnsi="Times New Roman" w:cs="Times New Roman"/>
          </w:rPr>
          <w:t>.</w:t>
        </w:r>
      </w:hyperlink>
      <w:r w:rsidRPr="000C4293">
        <w:rPr>
          <w:rFonts w:ascii="Times New Roman" w:hAnsi="Times New Roman" w:cs="Times New Roman"/>
        </w:rPr>
        <w:t xml:space="preserve"> </w:t>
      </w:r>
    </w:p>
    <w:p w14:paraId="2BC31AEA" w14:textId="1C435FED" w:rsidR="000C4293" w:rsidRPr="000C4293" w:rsidRDefault="000C4293" w:rsidP="000C4293">
      <w:pPr>
        <w:rPr>
          <w:rFonts w:ascii="Times New Roman" w:hAnsi="Times New Roman" w:cs="Times New Roman"/>
        </w:rPr>
      </w:pPr>
      <w:r w:rsidRPr="000C4293">
        <w:rPr>
          <w:rFonts w:ascii="Times New Roman" w:hAnsi="Times New Roman" w:cs="Times New Roman"/>
        </w:rPr>
        <w:t>Van Kerm, P. (2007). </w:t>
      </w:r>
      <w:hyperlink r:id="rId11" w:history="1">
        <w:r w:rsidRPr="00037E45">
          <w:rPr>
            <w:rStyle w:val="Hyperlink"/>
            <w:rFonts w:ascii="Times New Roman" w:hAnsi="Times New Roman" w:cs="Times New Roman"/>
            <w:i/>
            <w:iCs/>
          </w:rPr>
          <w:t>Extreme incomes and the estimation of poverty and inequality indicators from EU-SILC</w:t>
        </w:r>
        <w:r w:rsidRPr="00037E45">
          <w:rPr>
            <w:rStyle w:val="Hyperlink"/>
            <w:rFonts w:ascii="Times New Roman" w:hAnsi="Times New Roman" w:cs="Times New Roman"/>
          </w:rPr>
          <w:t>.</w:t>
        </w:r>
      </w:hyperlink>
      <w:r w:rsidRPr="000C4293">
        <w:rPr>
          <w:rFonts w:ascii="Times New Roman" w:hAnsi="Times New Roman" w:cs="Times New Roman"/>
        </w:rPr>
        <w:t xml:space="preserve"> Working paper available through the EU-SILC/Research Papers in Economics repository. </w:t>
      </w:r>
    </w:p>
    <w:p w14:paraId="3D9B37CC" w14:textId="496D9D8A" w:rsidR="000C4293" w:rsidRPr="00A44AE6" w:rsidRDefault="000C4293" w:rsidP="00C074F4">
      <w:pPr>
        <w:rPr>
          <w:rFonts w:ascii="Times New Roman" w:hAnsi="Times New Roman" w:cs="Times New Roman"/>
        </w:rPr>
      </w:pPr>
      <w:r w:rsidRPr="000C4293">
        <w:rPr>
          <w:rFonts w:ascii="Times New Roman" w:hAnsi="Times New Roman" w:cs="Times New Roman"/>
        </w:rPr>
        <w:t>World Inequality Lab. (2025). </w:t>
      </w:r>
      <w:hyperlink r:id="rId12" w:history="1">
        <w:r w:rsidRPr="00FB1DBB">
          <w:rPr>
            <w:rStyle w:val="Hyperlink"/>
            <w:rFonts w:ascii="Times New Roman" w:hAnsi="Times New Roman" w:cs="Times New Roman"/>
            <w:i/>
            <w:iCs/>
          </w:rPr>
          <w:t>Distributional National Accounts Guidelines 2025: Methods and Concepts Used in the World Inequality Database</w:t>
        </w:r>
      </w:hyperlink>
      <w:r w:rsidRPr="000C4293">
        <w:rPr>
          <w:rFonts w:ascii="Times New Roman" w:hAnsi="Times New Roman" w:cs="Times New Roman"/>
        </w:rPr>
        <w:t xml:space="preserve">. </w:t>
      </w:r>
    </w:p>
    <w:sectPr w:rsidR="000C4293" w:rsidRPr="00A44AE6">
      <w:footerReference w:type="even" r:id="rId13"/>
      <w:footerReference w:type="default" r:id="rId14"/>
      <w:footerReference w:type="first" r:id="rId1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9E76D2" w14:textId="77777777" w:rsidR="009E2A8B" w:rsidRDefault="009E2A8B" w:rsidP="0082127B">
      <w:pPr>
        <w:spacing w:after="0" w:line="240" w:lineRule="auto"/>
      </w:pPr>
      <w:r>
        <w:separator/>
      </w:r>
    </w:p>
  </w:endnote>
  <w:endnote w:type="continuationSeparator" w:id="0">
    <w:p w14:paraId="3DFC6FD6" w14:textId="77777777" w:rsidR="009E2A8B" w:rsidRDefault="009E2A8B" w:rsidP="008212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94AAD1" w14:textId="6A168698" w:rsidR="0082127B" w:rsidRDefault="0082127B">
    <w:pPr>
      <w:pStyle w:val="Footer"/>
    </w:pPr>
    <w:r>
      <w:rPr>
        <w:noProof/>
      </w:rPr>
      <mc:AlternateContent>
        <mc:Choice Requires="wps">
          <w:drawing>
            <wp:anchor distT="0" distB="0" distL="0" distR="0" simplePos="0" relativeHeight="251659264" behindDoc="0" locked="0" layoutInCell="1" allowOverlap="1" wp14:anchorId="7D365B45" wp14:editId="7CEB86C9">
              <wp:simplePos x="635" y="635"/>
              <wp:positionH relativeFrom="page">
                <wp:align>right</wp:align>
              </wp:positionH>
              <wp:positionV relativeFrom="page">
                <wp:align>bottom</wp:align>
              </wp:positionV>
              <wp:extent cx="1170305" cy="370205"/>
              <wp:effectExtent l="0" t="0" r="0" b="0"/>
              <wp:wrapNone/>
              <wp:docPr id="1507781744" name="Text Box 2" descr="Official Use Onl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170305" cy="370205"/>
                      </a:xfrm>
                      <a:prstGeom prst="rect">
                        <a:avLst/>
                      </a:prstGeom>
                      <a:noFill/>
                      <a:ln>
                        <a:noFill/>
                      </a:ln>
                    </wps:spPr>
                    <wps:txbx>
                      <w:txbxContent>
                        <w:p w14:paraId="2CF76FD1" w14:textId="2B896DFC" w:rsidR="0082127B" w:rsidRPr="0082127B" w:rsidRDefault="0082127B" w:rsidP="0082127B">
                          <w:pPr>
                            <w:spacing w:after="0"/>
                            <w:rPr>
                              <w:rFonts w:ascii="Aptos" w:eastAsia="Aptos" w:hAnsi="Aptos" w:cs="Aptos"/>
                              <w:noProof/>
                              <w:color w:val="000000"/>
                              <w:sz w:val="20"/>
                              <w:szCs w:val="20"/>
                            </w:rPr>
                          </w:pPr>
                          <w:r w:rsidRPr="0082127B">
                            <w:rPr>
                              <w:rFonts w:ascii="Aptos" w:eastAsia="Aptos" w:hAnsi="Aptos" w:cs="Aptos"/>
                              <w:noProof/>
                              <w:color w:val="000000"/>
                              <w:sz w:val="20"/>
                              <w:szCs w:val="20"/>
                            </w:rPr>
                            <w:t>Official Use Only</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7D365B45" id="_x0000_t202" coordsize="21600,21600" o:spt="202" path="m,l,21600r21600,l21600,xe">
              <v:stroke joinstyle="miter"/>
              <v:path gradientshapeok="t" o:connecttype="rect"/>
            </v:shapetype>
            <v:shape id="Text Box 2" o:spid="_x0000_s1026" type="#_x0000_t202" alt="Official Use Only" style="position:absolute;margin-left:40.95pt;margin-top:0;width:92.15pt;height:29.15pt;z-index:251659264;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" filled="f" stroked="f">
              <v:textbox style="mso-fit-shape-to-text:t" inset="0,0,20pt,15pt">
                <w:txbxContent>
                  <w:p w14:paraId="2CF76FD1" w14:textId="2B896DFC" w:rsidR="0082127B" w:rsidRPr="0082127B" w:rsidRDefault="0082127B" w:rsidP="0082127B">
                    <w:pPr>
                      <w:spacing w:after="0"/>
                      <w:rPr>
                        <w:rFonts w:ascii="Aptos" w:eastAsia="Aptos" w:hAnsi="Aptos" w:cs="Aptos"/>
                        <w:noProof/>
                        <w:color w:val="000000"/>
                        <w:sz w:val="20"/>
                        <w:szCs w:val="20"/>
                      </w:rPr>
                    </w:pPr>
                    <w:r w:rsidRPr="0082127B">
                      <w:rPr>
                        <w:rFonts w:ascii="Aptos" w:eastAsia="Aptos" w:hAnsi="Aptos" w:cs="Aptos"/>
                        <w:noProof/>
                        <w:color w:val="000000"/>
                        <w:sz w:val="20"/>
                        <w:szCs w:val="20"/>
                      </w:rPr>
                      <w:t>Official Use Only</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504065" w14:textId="4F53CAFA" w:rsidR="0082127B" w:rsidRDefault="0082127B">
    <w:pPr>
      <w:pStyle w:val="Footer"/>
    </w:pPr>
    <w:r>
      <w:rPr>
        <w:noProof/>
      </w:rPr>
      <mc:AlternateContent>
        <mc:Choice Requires="wps">
          <w:drawing>
            <wp:anchor distT="0" distB="0" distL="0" distR="0" simplePos="0" relativeHeight="251660288" behindDoc="0" locked="0" layoutInCell="1" allowOverlap="1" wp14:anchorId="5C9EAFF6" wp14:editId="5D7078EE">
              <wp:simplePos x="914400" y="9415463"/>
              <wp:positionH relativeFrom="page">
                <wp:align>right</wp:align>
              </wp:positionH>
              <wp:positionV relativeFrom="page">
                <wp:align>bottom</wp:align>
              </wp:positionV>
              <wp:extent cx="1170305" cy="370205"/>
              <wp:effectExtent l="0" t="0" r="0" b="0"/>
              <wp:wrapNone/>
              <wp:docPr id="582577680" name="Text Box 3" descr="Official Use Onl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170305" cy="370205"/>
                      </a:xfrm>
                      <a:prstGeom prst="rect">
                        <a:avLst/>
                      </a:prstGeom>
                      <a:noFill/>
                      <a:ln>
                        <a:noFill/>
                      </a:ln>
                    </wps:spPr>
                    <wps:txbx>
                      <w:txbxContent>
                        <w:p w14:paraId="576A799A" w14:textId="2AC7E063" w:rsidR="0082127B" w:rsidRPr="0082127B" w:rsidRDefault="0082127B" w:rsidP="0082127B">
                          <w:pPr>
                            <w:spacing w:after="0"/>
                            <w:rPr>
                              <w:rFonts w:ascii="Aptos" w:eastAsia="Aptos" w:hAnsi="Aptos" w:cs="Aptos"/>
                              <w:noProof/>
                              <w:color w:val="000000"/>
                              <w:sz w:val="20"/>
                              <w:szCs w:val="20"/>
                            </w:rPr>
                          </w:pPr>
                          <w:r w:rsidRPr="0082127B">
                            <w:rPr>
                              <w:rFonts w:ascii="Aptos" w:eastAsia="Aptos" w:hAnsi="Aptos" w:cs="Aptos"/>
                              <w:noProof/>
                              <w:color w:val="000000"/>
                              <w:sz w:val="20"/>
                              <w:szCs w:val="20"/>
                            </w:rPr>
                            <w:t>Official Use Only</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5C9EAFF6" id="_x0000_t202" coordsize="21600,21600" o:spt="202" path="m,l,21600r21600,l21600,xe">
              <v:stroke joinstyle="miter"/>
              <v:path gradientshapeok="t" o:connecttype="rect"/>
            </v:shapetype>
            <v:shape id="Text Box 3" o:spid="_x0000_s1027" type="#_x0000_t202" alt="Official Use Only" style="position:absolute;margin-left:40.95pt;margin-top:0;width:92.15pt;height:29.15pt;z-index:251660288;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" filled="f" stroked="f">
              <v:textbox style="mso-fit-shape-to-text:t" inset="0,0,20pt,15pt">
                <w:txbxContent>
                  <w:p w14:paraId="576A799A" w14:textId="2AC7E063" w:rsidR="0082127B" w:rsidRPr="0082127B" w:rsidRDefault="0082127B" w:rsidP="0082127B">
                    <w:pPr>
                      <w:spacing w:after="0"/>
                      <w:rPr>
                        <w:rFonts w:ascii="Aptos" w:eastAsia="Aptos" w:hAnsi="Aptos" w:cs="Aptos"/>
                        <w:noProof/>
                        <w:color w:val="000000"/>
                        <w:sz w:val="20"/>
                        <w:szCs w:val="20"/>
                      </w:rPr>
                    </w:pPr>
                    <w:r w:rsidRPr="0082127B">
                      <w:rPr>
                        <w:rFonts w:ascii="Aptos" w:eastAsia="Aptos" w:hAnsi="Aptos" w:cs="Aptos"/>
                        <w:noProof/>
                        <w:color w:val="000000"/>
                        <w:sz w:val="20"/>
                        <w:szCs w:val="20"/>
                      </w:rPr>
                      <w:t>Official Use Only</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004B82" w14:textId="14A675DC" w:rsidR="0082127B" w:rsidRDefault="0082127B">
    <w:pPr>
      <w:pStyle w:val="Footer"/>
    </w:pPr>
    <w:r>
      <w:rPr>
        <w:noProof/>
      </w:rPr>
      <mc:AlternateContent>
        <mc:Choice Requires="wps">
          <w:drawing>
            <wp:anchor distT="0" distB="0" distL="0" distR="0" simplePos="0" relativeHeight="251658240" behindDoc="0" locked="0" layoutInCell="1" allowOverlap="1" wp14:anchorId="51042B0C" wp14:editId="15BE60D8">
              <wp:simplePos x="635" y="635"/>
              <wp:positionH relativeFrom="page">
                <wp:align>right</wp:align>
              </wp:positionH>
              <wp:positionV relativeFrom="page">
                <wp:align>bottom</wp:align>
              </wp:positionV>
              <wp:extent cx="1170305" cy="370205"/>
              <wp:effectExtent l="0" t="0" r="0" b="0"/>
              <wp:wrapNone/>
              <wp:docPr id="432217379" name="Text Box 1" descr="Official Use Onl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170305" cy="370205"/>
                      </a:xfrm>
                      <a:prstGeom prst="rect">
                        <a:avLst/>
                      </a:prstGeom>
                      <a:noFill/>
                      <a:ln>
                        <a:noFill/>
                      </a:ln>
                    </wps:spPr>
                    <wps:txbx>
                      <w:txbxContent>
                        <w:p w14:paraId="52A625F1" w14:textId="4B0A7354" w:rsidR="0082127B" w:rsidRPr="0082127B" w:rsidRDefault="0082127B" w:rsidP="0082127B">
                          <w:pPr>
                            <w:spacing w:after="0"/>
                            <w:rPr>
                              <w:rFonts w:ascii="Aptos" w:eastAsia="Aptos" w:hAnsi="Aptos" w:cs="Aptos"/>
                              <w:noProof/>
                              <w:color w:val="000000"/>
                              <w:sz w:val="20"/>
                              <w:szCs w:val="20"/>
                            </w:rPr>
                          </w:pPr>
                          <w:r w:rsidRPr="0082127B">
                            <w:rPr>
                              <w:rFonts w:ascii="Aptos" w:eastAsia="Aptos" w:hAnsi="Aptos" w:cs="Aptos"/>
                              <w:noProof/>
                              <w:color w:val="000000"/>
                              <w:sz w:val="20"/>
                              <w:szCs w:val="20"/>
                            </w:rPr>
                            <w:t>Official Use Only</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51042B0C" id="_x0000_t202" coordsize="21600,21600" o:spt="202" path="m,l,21600r21600,l21600,xe">
              <v:stroke joinstyle="miter"/>
              <v:path gradientshapeok="t" o:connecttype="rect"/>
            </v:shapetype>
            <v:shape id="Text Box 1" o:spid="_x0000_s1028" type="#_x0000_t202" alt="Official Use Only" style="position:absolute;margin-left:40.95pt;margin-top:0;width:92.15pt;height:29.15pt;z-index:251658240;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" filled="f" stroked="f">
              <v:textbox style="mso-fit-shape-to-text:t" inset="0,0,20pt,15pt">
                <w:txbxContent>
                  <w:p w14:paraId="52A625F1" w14:textId="4B0A7354" w:rsidR="0082127B" w:rsidRPr="0082127B" w:rsidRDefault="0082127B" w:rsidP="0082127B">
                    <w:pPr>
                      <w:spacing w:after="0"/>
                      <w:rPr>
                        <w:rFonts w:ascii="Aptos" w:eastAsia="Aptos" w:hAnsi="Aptos" w:cs="Aptos"/>
                        <w:noProof/>
                        <w:color w:val="000000"/>
                        <w:sz w:val="20"/>
                        <w:szCs w:val="20"/>
                      </w:rPr>
                    </w:pPr>
                    <w:r w:rsidRPr="0082127B">
                      <w:rPr>
                        <w:rFonts w:ascii="Aptos" w:eastAsia="Aptos" w:hAnsi="Aptos" w:cs="Aptos"/>
                        <w:noProof/>
                        <w:color w:val="000000"/>
                        <w:sz w:val="20"/>
                        <w:szCs w:val="20"/>
                      </w:rPr>
                      <w:t>Official Use Only</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990BB1" w14:textId="77777777" w:rsidR="009E2A8B" w:rsidRDefault="009E2A8B" w:rsidP="0082127B">
      <w:pPr>
        <w:spacing w:after="0" w:line="240" w:lineRule="auto"/>
      </w:pPr>
      <w:r>
        <w:separator/>
      </w:r>
    </w:p>
  </w:footnote>
  <w:footnote w:type="continuationSeparator" w:id="0">
    <w:p w14:paraId="13617452" w14:textId="77777777" w:rsidR="009E2A8B" w:rsidRDefault="009E2A8B" w:rsidP="0082127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3E22B1"/>
    <w:multiLevelType w:val="multilevel"/>
    <w:tmpl w:val="1BB69C0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 w15:restartNumberingAfterBreak="0">
    <w:nsid w:val="09175D5B"/>
    <w:multiLevelType w:val="multilevel"/>
    <w:tmpl w:val="530A2784"/>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 w15:restartNumberingAfterBreak="0">
    <w:nsid w:val="0E811CF3"/>
    <w:multiLevelType w:val="multilevel"/>
    <w:tmpl w:val="B0ECB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FD15D35"/>
    <w:multiLevelType w:val="multilevel"/>
    <w:tmpl w:val="27C06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B55692E"/>
    <w:multiLevelType w:val="hybridMultilevel"/>
    <w:tmpl w:val="FE5810C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50062BDD"/>
    <w:multiLevelType w:val="multilevel"/>
    <w:tmpl w:val="FD7AC17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82C5033"/>
    <w:multiLevelType w:val="multilevel"/>
    <w:tmpl w:val="1B226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9DB6A7B"/>
    <w:multiLevelType w:val="multilevel"/>
    <w:tmpl w:val="A8901174"/>
    <w:lvl w:ilvl="0">
      <w:start w:val="1"/>
      <w:numFmt w:val="lowerLetter"/>
      <w:lvlText w:val="%1)"/>
      <w:lvlJc w:val="left"/>
      <w:pPr>
        <w:tabs>
          <w:tab w:val="num" w:pos="720"/>
        </w:tabs>
        <w:ind w:left="720" w:hanging="360"/>
      </w:pPr>
      <w:rPr>
        <w:rFonts w:asciiTheme="minorHAnsi" w:eastAsiaTheme="minorHAnsi" w:hAnsiTheme="minorHAnsi" w:cstheme="minorBidi"/>
      </w:r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8" w15:restartNumberingAfterBreak="0">
    <w:nsid w:val="632B4690"/>
    <w:multiLevelType w:val="multilevel"/>
    <w:tmpl w:val="68D423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5954146"/>
    <w:multiLevelType w:val="hybridMultilevel"/>
    <w:tmpl w:val="9460AD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9A10CB7"/>
    <w:multiLevelType w:val="multilevel"/>
    <w:tmpl w:val="F9A2572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1" w15:restartNumberingAfterBreak="0">
    <w:nsid w:val="7A3E757D"/>
    <w:multiLevelType w:val="multilevel"/>
    <w:tmpl w:val="0D82A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2007055876">
    <w:abstractNumId w:val="8"/>
  </w:num>
  <w:num w:numId="2" w16cid:durableId="1695764955">
    <w:abstractNumId w:val="7"/>
  </w:num>
  <w:num w:numId="3" w16cid:durableId="754862650">
    <w:abstractNumId w:val="1"/>
  </w:num>
  <w:num w:numId="4" w16cid:durableId="171184208">
    <w:abstractNumId w:val="5"/>
  </w:num>
  <w:num w:numId="5" w16cid:durableId="1870799083">
    <w:abstractNumId w:val="11"/>
  </w:num>
  <w:num w:numId="6" w16cid:durableId="662129361">
    <w:abstractNumId w:val="0"/>
  </w:num>
  <w:num w:numId="7" w16cid:durableId="1882326359">
    <w:abstractNumId w:val="10"/>
  </w:num>
  <w:num w:numId="8" w16cid:durableId="1959405447">
    <w:abstractNumId w:val="2"/>
  </w:num>
  <w:num w:numId="9" w16cid:durableId="472066191">
    <w:abstractNumId w:val="4"/>
  </w:num>
  <w:num w:numId="10" w16cid:durableId="745881372">
    <w:abstractNumId w:val="6"/>
  </w:num>
  <w:num w:numId="11" w16cid:durableId="1684822851">
    <w:abstractNumId w:val="9"/>
  </w:num>
  <w:num w:numId="12" w16cid:durableId="15927619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2D17"/>
    <w:rsid w:val="00027F2C"/>
    <w:rsid w:val="00037E45"/>
    <w:rsid w:val="00047BA6"/>
    <w:rsid w:val="000562D0"/>
    <w:rsid w:val="000C4293"/>
    <w:rsid w:val="0015306A"/>
    <w:rsid w:val="001671A2"/>
    <w:rsid w:val="00172ACD"/>
    <w:rsid w:val="001772B0"/>
    <w:rsid w:val="00180E24"/>
    <w:rsid w:val="001C2061"/>
    <w:rsid w:val="00243E6B"/>
    <w:rsid w:val="002A5C5A"/>
    <w:rsid w:val="00316291"/>
    <w:rsid w:val="00332E6E"/>
    <w:rsid w:val="0034439E"/>
    <w:rsid w:val="003C0F00"/>
    <w:rsid w:val="003D1666"/>
    <w:rsid w:val="003D1D0F"/>
    <w:rsid w:val="00426C55"/>
    <w:rsid w:val="004372D9"/>
    <w:rsid w:val="00460E0E"/>
    <w:rsid w:val="00461557"/>
    <w:rsid w:val="004B5F16"/>
    <w:rsid w:val="00501286"/>
    <w:rsid w:val="00525D5C"/>
    <w:rsid w:val="00540929"/>
    <w:rsid w:val="005831C8"/>
    <w:rsid w:val="00587C8E"/>
    <w:rsid w:val="005933E4"/>
    <w:rsid w:val="0059438E"/>
    <w:rsid w:val="005C393F"/>
    <w:rsid w:val="005F5D22"/>
    <w:rsid w:val="00621090"/>
    <w:rsid w:val="00670A1D"/>
    <w:rsid w:val="00675C42"/>
    <w:rsid w:val="00693F5A"/>
    <w:rsid w:val="0072050D"/>
    <w:rsid w:val="007A1DBF"/>
    <w:rsid w:val="007B70BD"/>
    <w:rsid w:val="007D6B10"/>
    <w:rsid w:val="007F23DA"/>
    <w:rsid w:val="0082127B"/>
    <w:rsid w:val="008A4684"/>
    <w:rsid w:val="008D137F"/>
    <w:rsid w:val="00972B7A"/>
    <w:rsid w:val="00984C0F"/>
    <w:rsid w:val="00992C5F"/>
    <w:rsid w:val="009C3000"/>
    <w:rsid w:val="009C4BC6"/>
    <w:rsid w:val="009E2A8B"/>
    <w:rsid w:val="009E6266"/>
    <w:rsid w:val="00A27F26"/>
    <w:rsid w:val="00A44AE6"/>
    <w:rsid w:val="00A62E1D"/>
    <w:rsid w:val="00B0395D"/>
    <w:rsid w:val="00B04B77"/>
    <w:rsid w:val="00B07791"/>
    <w:rsid w:val="00B36953"/>
    <w:rsid w:val="00B504D4"/>
    <w:rsid w:val="00B749CD"/>
    <w:rsid w:val="00BB4E54"/>
    <w:rsid w:val="00BD3B91"/>
    <w:rsid w:val="00C074F4"/>
    <w:rsid w:val="00C22A2C"/>
    <w:rsid w:val="00C42CC2"/>
    <w:rsid w:val="00C77959"/>
    <w:rsid w:val="00CC20C0"/>
    <w:rsid w:val="00D338D0"/>
    <w:rsid w:val="00D5702A"/>
    <w:rsid w:val="00D921A3"/>
    <w:rsid w:val="00DE721A"/>
    <w:rsid w:val="00E33FC0"/>
    <w:rsid w:val="00EB3955"/>
    <w:rsid w:val="00F25BC4"/>
    <w:rsid w:val="00F82D17"/>
    <w:rsid w:val="00F852F4"/>
    <w:rsid w:val="00FB1DB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5AFD2D"/>
  <w15:chartTrackingRefBased/>
  <w15:docId w15:val="{E1802BA1-D34A-49E7-B59A-AD8334B126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82D1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82D1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82D1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82D1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82D1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82D1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82D1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82D1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82D1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82D1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82D1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82D1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82D1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82D1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82D1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82D1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82D1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82D17"/>
    <w:rPr>
      <w:rFonts w:eastAsiaTheme="majorEastAsia" w:cstheme="majorBidi"/>
      <w:color w:val="272727" w:themeColor="text1" w:themeTint="D8"/>
    </w:rPr>
  </w:style>
  <w:style w:type="paragraph" w:styleId="Title">
    <w:name w:val="Title"/>
    <w:basedOn w:val="Normal"/>
    <w:next w:val="Normal"/>
    <w:link w:val="TitleChar"/>
    <w:uiPriority w:val="10"/>
    <w:qFormat/>
    <w:rsid w:val="00F82D1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82D1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82D1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82D1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82D17"/>
    <w:pPr>
      <w:spacing w:before="160"/>
      <w:jc w:val="center"/>
    </w:pPr>
    <w:rPr>
      <w:i/>
      <w:iCs/>
      <w:color w:val="404040" w:themeColor="text1" w:themeTint="BF"/>
    </w:rPr>
  </w:style>
  <w:style w:type="character" w:customStyle="1" w:styleId="QuoteChar">
    <w:name w:val="Quote Char"/>
    <w:basedOn w:val="DefaultParagraphFont"/>
    <w:link w:val="Quote"/>
    <w:uiPriority w:val="29"/>
    <w:rsid w:val="00F82D17"/>
    <w:rPr>
      <w:i/>
      <w:iCs/>
      <w:color w:val="404040" w:themeColor="text1" w:themeTint="BF"/>
    </w:rPr>
  </w:style>
  <w:style w:type="paragraph" w:styleId="ListParagraph">
    <w:name w:val="List Paragraph"/>
    <w:basedOn w:val="Normal"/>
    <w:uiPriority w:val="34"/>
    <w:qFormat/>
    <w:rsid w:val="00F82D17"/>
    <w:pPr>
      <w:ind w:left="720"/>
      <w:contextualSpacing/>
    </w:pPr>
  </w:style>
  <w:style w:type="character" w:styleId="IntenseEmphasis">
    <w:name w:val="Intense Emphasis"/>
    <w:basedOn w:val="DefaultParagraphFont"/>
    <w:uiPriority w:val="21"/>
    <w:qFormat/>
    <w:rsid w:val="00F82D17"/>
    <w:rPr>
      <w:i/>
      <w:iCs/>
      <w:color w:val="0F4761" w:themeColor="accent1" w:themeShade="BF"/>
    </w:rPr>
  </w:style>
  <w:style w:type="paragraph" w:styleId="IntenseQuote">
    <w:name w:val="Intense Quote"/>
    <w:basedOn w:val="Normal"/>
    <w:next w:val="Normal"/>
    <w:link w:val="IntenseQuoteChar"/>
    <w:uiPriority w:val="30"/>
    <w:qFormat/>
    <w:rsid w:val="00F82D1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82D17"/>
    <w:rPr>
      <w:i/>
      <w:iCs/>
      <w:color w:val="0F4761" w:themeColor="accent1" w:themeShade="BF"/>
    </w:rPr>
  </w:style>
  <w:style w:type="character" w:styleId="IntenseReference">
    <w:name w:val="Intense Reference"/>
    <w:basedOn w:val="DefaultParagraphFont"/>
    <w:uiPriority w:val="32"/>
    <w:qFormat/>
    <w:rsid w:val="00F82D17"/>
    <w:rPr>
      <w:b/>
      <w:bCs/>
      <w:smallCaps/>
      <w:color w:val="0F4761" w:themeColor="accent1" w:themeShade="BF"/>
      <w:spacing w:val="5"/>
    </w:rPr>
  </w:style>
  <w:style w:type="paragraph" w:styleId="Footer">
    <w:name w:val="footer"/>
    <w:basedOn w:val="Normal"/>
    <w:link w:val="FooterChar"/>
    <w:uiPriority w:val="99"/>
    <w:unhideWhenUsed/>
    <w:rsid w:val="0082127B"/>
    <w:pPr>
      <w:tabs>
        <w:tab w:val="center" w:pos="4680"/>
        <w:tab w:val="right" w:pos="9360"/>
      </w:tabs>
      <w:spacing w:after="0" w:line="240" w:lineRule="auto"/>
    </w:pPr>
  </w:style>
  <w:style w:type="character" w:customStyle="1" w:styleId="FooterChar">
    <w:name w:val="Footer Char"/>
    <w:basedOn w:val="DefaultParagraphFont"/>
    <w:link w:val="Footer"/>
    <w:uiPriority w:val="99"/>
    <w:rsid w:val="0082127B"/>
  </w:style>
  <w:style w:type="character" w:styleId="Hyperlink">
    <w:name w:val="Hyperlink"/>
    <w:basedOn w:val="DefaultParagraphFont"/>
    <w:uiPriority w:val="99"/>
    <w:unhideWhenUsed/>
    <w:rsid w:val="005F5D22"/>
    <w:rPr>
      <w:color w:val="467886" w:themeColor="hyperlink"/>
      <w:u w:val="single"/>
    </w:rPr>
  </w:style>
  <w:style w:type="character" w:styleId="UnresolvedMention">
    <w:name w:val="Unresolved Mention"/>
    <w:basedOn w:val="DefaultParagraphFont"/>
    <w:uiPriority w:val="99"/>
    <w:semiHidden/>
    <w:unhideWhenUsed/>
    <w:rsid w:val="005F5D22"/>
    <w:rPr>
      <w:color w:val="605E5C"/>
      <w:shd w:val="clear" w:color="auto" w:fill="E1DFDD"/>
    </w:rPr>
  </w:style>
  <w:style w:type="table" w:styleId="TableGrid">
    <w:name w:val="Table Grid"/>
    <w:basedOn w:val="TableNormal"/>
    <w:uiPriority w:val="39"/>
    <w:rsid w:val="003C0F0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180E24"/>
    <w:rPr>
      <w:color w:val="666666"/>
    </w:rPr>
  </w:style>
  <w:style w:type="character" w:styleId="FollowedHyperlink">
    <w:name w:val="FollowedHyperlink"/>
    <w:basedOn w:val="DefaultParagraphFont"/>
    <w:uiPriority w:val="99"/>
    <w:semiHidden/>
    <w:unhideWhenUsed/>
    <w:rsid w:val="00E33FC0"/>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lisdatacenter.org/wps/techwps/9.pdf" TargetMode="External"/><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www.jstor.org/stable/pdf/23013393.pdf" TargetMode="External"/><Relationship Id="rId12" Type="http://schemas.openxmlformats.org/officeDocument/2006/relationships/hyperlink" Target="https://wid.world/document/distributional-national-accounts-dina-guidelines-2025-methods-and-concepts-used-in-the-world-inequality-database/"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liser.elsevierpure.com/ws/portalfiles/portal/11788644/Working%20Paper%20n_2007-01" TargetMode="External"/><Relationship Id="rId5" Type="http://schemas.openxmlformats.org/officeDocument/2006/relationships/footnotes" Target="footnotes.xml"/><Relationship Id="rId15" Type="http://schemas.openxmlformats.org/officeDocument/2006/relationships/footer" Target="footer3.xml"/><Relationship Id="rId10" Type="http://schemas.openxmlformats.org/officeDocument/2006/relationships/hyperlink" Target="https://www2.census.gov/programs-surveys/cps/methodology/CPS-Tech-Paper-77.pdf" TargetMode="External"/><Relationship Id="rId4" Type="http://schemas.openxmlformats.org/officeDocument/2006/relationships/webSettings" Target="webSettings.xml"/><Relationship Id="rId9" Type="http://schemas.openxmlformats.org/officeDocument/2006/relationships/hyperlink" Target="https://www.census.gov/programs-surveys/cps/technical-documentation/methodology/topcoding-of-usual-hourly-earnings.html" TargetMode="Externa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5853</TotalTime>
  <Pages>10</Pages>
  <Words>3591</Words>
  <Characters>20470</Characters>
  <Application>Microsoft Office Word</Application>
  <DocSecurity>0</DocSecurity>
  <Lines>170</Lines>
  <Paragraphs>48</Paragraphs>
  <ScaleCrop>false</ScaleCrop>
  <HeadingPairs>
    <vt:vector size="2" baseType="variant">
      <vt:variant>
        <vt:lpstr>Title</vt:lpstr>
      </vt:variant>
      <vt:variant>
        <vt:i4>1</vt:i4>
      </vt:variant>
    </vt:vector>
  </HeadingPairs>
  <TitlesOfParts>
    <vt:vector size="1" baseType="lpstr">
      <vt:lpstr/>
    </vt:vector>
  </TitlesOfParts>
  <Company>WBG</Company>
  <LinksUpToDate>false</LinksUpToDate>
  <CharactersWithSpaces>24013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Daniela Avayu Zaliasnik</dc:creator>
  <cp:keywords/>
  <dc:description/>
  <cp:lastModifiedBy>Daniela Avayu Zaliasnik</cp:lastModifiedBy>
  <cp:revision>67</cp:revision>
  <dcterms:created xsi:type="dcterms:W3CDTF">2026-06-15T15:32:00Z</dcterms:created>
  <dcterms:modified xsi:type="dcterms:W3CDTF">2026-08-18T20:18:00Z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19c31d23,59deec70,22b96e10</vt:lpwstr>
  </property>
  <property fmtid="{D5CDD505-2E9C-101B-9397-08002B2CF9AE}" pid="3" name="ClassificationContentMarkingFooterFontProps">
    <vt:lpwstr>#000000,10,Aptos</vt:lpwstr>
  </property>
  <property fmtid="{D5CDD505-2E9C-101B-9397-08002B2CF9AE}" pid="4" name="ClassificationContentMarkingFooterText">
    <vt:lpwstr>Official Use Only</vt:lpwstr>
  </property>
  <property fmtid="{D5CDD505-2E9C-101B-9397-08002B2CF9AE}" pid="5" name="MSIP_Label_f1bf45b6-5649-4236-82a3-f45024cd282e_Enabled">
    <vt:lpwstr>true</vt:lpwstr>
  </property>
  <property fmtid="{D5CDD505-2E9C-101B-9397-08002B2CF9AE}" pid="6" name="MSIP_Label_f1bf45b6-5649-4236-82a3-f45024cd282e_SetDate">
    <vt:lpwstr>2026-06-15T15:46:09Z</vt:lpwstr>
  </property>
  <property fmtid="{D5CDD505-2E9C-101B-9397-08002B2CF9AE}" pid="7" name="MSIP_Label_f1bf45b6-5649-4236-82a3-f45024cd282e_Method">
    <vt:lpwstr>Standard</vt:lpwstr>
  </property>
  <property fmtid="{D5CDD505-2E9C-101B-9397-08002B2CF9AE}" pid="8" name="MSIP_Label_f1bf45b6-5649-4236-82a3-f45024cd282e_Name">
    <vt:lpwstr>Official Use Only</vt:lpwstr>
  </property>
  <property fmtid="{D5CDD505-2E9C-101B-9397-08002B2CF9AE}" pid="9" name="MSIP_Label_f1bf45b6-5649-4236-82a3-f45024cd282e_SiteId">
    <vt:lpwstr>31a2fec0-266b-4c67-b56e-2796d8f59c36</vt:lpwstr>
  </property>
  <property fmtid="{D5CDD505-2E9C-101B-9397-08002B2CF9AE}" pid="10" name="MSIP_Label_f1bf45b6-5649-4236-82a3-f45024cd282e_ActionId">
    <vt:lpwstr>3410daf8-a659-48d3-9717-a7281538598d</vt:lpwstr>
  </property>
  <property fmtid="{D5CDD505-2E9C-101B-9397-08002B2CF9AE}" pid="11" name="MSIP_Label_f1bf45b6-5649-4236-82a3-f45024cd282e_ContentBits">
    <vt:lpwstr>2</vt:lpwstr>
  </property>
  <property fmtid="{D5CDD505-2E9C-101B-9397-08002B2CF9AE}" pid="12" name="MSIP_Label_f1bf45b6-5649-4236-82a3-f45024cd282e_Tag">
    <vt:lpwstr>10, 3, 0, 1</vt:lpwstr>
  </property>
</Properties>
</file>