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F4C7" w14:textId="77777777" w:rsidR="005F5D22" w:rsidRPr="005F5D22" w:rsidRDefault="005F5D22" w:rsidP="005F5D22">
      <w:r w:rsidRPr="005F5D22">
        <w:rPr>
          <w:i/>
          <w:iCs/>
        </w:rPr>
        <w:t>Top censoring work: </w:t>
      </w:r>
      <w:r w:rsidRPr="005F5D22">
        <w:t> </w:t>
      </w:r>
    </w:p>
    <w:p w14:paraId="57666124" w14:textId="1E8839B6" w:rsidR="005F5D22" w:rsidRPr="005F5D22" w:rsidRDefault="005F5D22" w:rsidP="005F5D22">
      <w:r w:rsidRPr="005F5D22">
        <w:t xml:space="preserve">Objective: </w:t>
      </w:r>
      <w:r>
        <w:t>I</w:t>
      </w:r>
      <w:r w:rsidRPr="005F5D22">
        <w:t>mpact of truncating/top censoring on inequality measures  </w:t>
      </w:r>
    </w:p>
    <w:p w14:paraId="0DA97CAB" w14:textId="77777777" w:rsidR="005F5D22" w:rsidRPr="005F5D22" w:rsidRDefault="005F5D22" w:rsidP="005F5D22">
      <w:r w:rsidRPr="005F5D22">
        <w:rPr>
          <w:b/>
          <w:bCs/>
        </w:rPr>
        <w:t>1. Literature review</w:t>
      </w:r>
      <w:r w:rsidRPr="005F5D22">
        <w:t> to understand: </w:t>
      </w:r>
    </w:p>
    <w:p w14:paraId="3A2076C0" w14:textId="6C35EC70" w:rsidR="005F5D22" w:rsidRDefault="005F5D22" w:rsidP="00670A1D">
      <w:pPr>
        <w:pStyle w:val="ListParagraph"/>
        <w:numPr>
          <w:ilvl w:val="0"/>
          <w:numId w:val="9"/>
        </w:numPr>
      </w:pPr>
      <w:r w:rsidRPr="005F5D22">
        <w:t>How “outliers” are typically handled</w:t>
      </w:r>
      <w:r w:rsidR="00670A1D">
        <w:t xml:space="preserve">. </w:t>
      </w:r>
      <w:r w:rsidR="00670A1D" w:rsidRPr="005F5D22">
        <w:t>Check how institutions like CPS/LIS handle them</w:t>
      </w:r>
      <w:r w:rsidR="00670A1D">
        <w:t xml:space="preserve">. </w:t>
      </w:r>
      <w:r w:rsidR="00670A1D" w:rsidRPr="005F5D22">
        <w:t>Other theoretical/practical methods available </w:t>
      </w:r>
    </w:p>
    <w:p w14:paraId="6B91E54D" w14:textId="1D8C2990" w:rsidR="001671A2" w:rsidRDefault="001671A2" w:rsidP="001671A2">
      <w:pPr>
        <w:pStyle w:val="ListParagraph"/>
        <w:numPr>
          <w:ilvl w:val="0"/>
          <w:numId w:val="2"/>
        </w:numPr>
      </w:pPr>
      <w:r>
        <w:t>LIS</w:t>
      </w:r>
    </w:p>
    <w:p w14:paraId="558D841C" w14:textId="1A8EA527" w:rsidR="001671A2" w:rsidRDefault="001671A2" w:rsidP="001671A2">
      <w:pPr>
        <w:pStyle w:val="ListParagraph"/>
        <w:numPr>
          <w:ilvl w:val="0"/>
          <w:numId w:val="2"/>
        </w:numPr>
      </w:pPr>
      <w:r>
        <w:t>EU</w:t>
      </w:r>
    </w:p>
    <w:p w14:paraId="781DA30C" w14:textId="55BB2F86" w:rsidR="001671A2" w:rsidRDefault="00670A1D" w:rsidP="001671A2">
      <w:pPr>
        <w:pStyle w:val="ListParagraph"/>
        <w:numPr>
          <w:ilvl w:val="0"/>
          <w:numId w:val="2"/>
        </w:numPr>
      </w:pPr>
      <w:r>
        <w:t xml:space="preserve">World </w:t>
      </w:r>
      <w:r w:rsidR="001671A2">
        <w:t xml:space="preserve">Inequality Data </w:t>
      </w:r>
    </w:p>
    <w:p w14:paraId="3D1F6022" w14:textId="30CEB641" w:rsidR="001671A2" w:rsidRDefault="00670A1D" w:rsidP="001671A2">
      <w:pPr>
        <w:pStyle w:val="ListParagraph"/>
        <w:numPr>
          <w:ilvl w:val="0"/>
          <w:numId w:val="2"/>
        </w:numPr>
      </w:pPr>
      <w:r>
        <w:t>CPS</w:t>
      </w:r>
    </w:p>
    <w:p w14:paraId="063F8B1E" w14:textId="77777777" w:rsidR="00670A1D" w:rsidRPr="005F5D22" w:rsidRDefault="00670A1D" w:rsidP="00670A1D">
      <w:pPr>
        <w:pStyle w:val="ListParagraph"/>
      </w:pPr>
    </w:p>
    <w:p w14:paraId="29F593BE" w14:textId="5E1A7C65" w:rsidR="005F5D22" w:rsidRPr="005F5D22" w:rsidRDefault="005F5D22" w:rsidP="00670A1D">
      <w:pPr>
        <w:pStyle w:val="ListParagraph"/>
        <w:numPr>
          <w:ilvl w:val="0"/>
          <w:numId w:val="9"/>
        </w:numPr>
      </w:pPr>
      <w:r w:rsidRPr="005F5D22">
        <w:t>Implications of censoring the right tail observations – the accuracy of these measures/simulations/validation exercises? </w:t>
      </w:r>
    </w:p>
    <w:p w14:paraId="4D319DEA" w14:textId="77777777" w:rsidR="005F5D22" w:rsidRPr="005F5D22" w:rsidRDefault="005F5D22" w:rsidP="005F5D22">
      <w:r w:rsidRPr="005F5D22">
        <w:rPr>
          <w:b/>
          <w:bCs/>
        </w:rPr>
        <w:t>2. Exercise 1:</w:t>
      </w:r>
      <w:r w:rsidRPr="005F5D22">
        <w:t> investigating the difference between the 1000-binned distribution and survey </w:t>
      </w:r>
    </w:p>
    <w:p w14:paraId="0383F533" w14:textId="3C447440" w:rsidR="005F5D22" w:rsidRPr="005F5D22" w:rsidRDefault="005F5D22" w:rsidP="005F5D22">
      <w:r w:rsidRPr="005F5D22">
        <w:t>For some countries, the mean from the survey distribution is substantially different from the mean from 1000-binned distribution. We want to find if</w:t>
      </w:r>
      <w:r>
        <w:t xml:space="preserve"> a)</w:t>
      </w:r>
      <w:r w:rsidRPr="005F5D22">
        <w:t> the difference is coming from binning the top 1000</w:t>
      </w:r>
      <w:r w:rsidRPr="005F5D22">
        <w:rPr>
          <w:vertAlign w:val="superscript"/>
        </w:rPr>
        <w:t>th</w:t>
      </w:r>
      <w:r w:rsidRPr="005F5D22">
        <w:t> percentile and b</w:t>
      </w:r>
      <w:r>
        <w:t xml:space="preserve">) </w:t>
      </w:r>
      <w:r w:rsidRPr="005F5D22">
        <w:t>if so, how sensitive the mean is to how we handle the welfare data of those at the top. </w:t>
      </w:r>
    </w:p>
    <w:p w14:paraId="78625B2C" w14:textId="77777777" w:rsidR="005F5D22" w:rsidRPr="005F5D22" w:rsidRDefault="005F5D22" w:rsidP="005F5D22">
      <w:pPr>
        <w:numPr>
          <w:ilvl w:val="0"/>
          <w:numId w:val="5"/>
        </w:numPr>
      </w:pPr>
      <w:r w:rsidRPr="005F5D22">
        <w:t>Find the “problematic” countries: those with large difference in the mean from survey and mean using 1000-bin data </w:t>
      </w:r>
    </w:p>
    <w:p w14:paraId="7050A948" w14:textId="77777777" w:rsidR="005F5D22" w:rsidRPr="005F5D22" w:rsidRDefault="005F5D22" w:rsidP="005F5D22">
      <w:pPr>
        <w:numPr>
          <w:ilvl w:val="0"/>
          <w:numId w:val="6"/>
        </w:numPr>
      </w:pPr>
      <w:r w:rsidRPr="005F5D22">
        <w:t>Mean from survey is the mean reported in PIP </w:t>
      </w:r>
    </w:p>
    <w:p w14:paraId="617B2A90" w14:textId="77777777" w:rsidR="005F5D22" w:rsidRPr="005F5D22" w:rsidRDefault="005F5D22" w:rsidP="005F5D22">
      <w:pPr>
        <w:numPr>
          <w:ilvl w:val="0"/>
          <w:numId w:val="7"/>
        </w:numPr>
      </w:pPr>
      <w:r w:rsidRPr="005F5D22">
        <w:t>The 1000-binned data can be found </w:t>
      </w:r>
      <w:hyperlink r:id="rId7" w:tgtFrame="_blank" w:history="1">
        <w:r w:rsidRPr="005F5D22">
          <w:rPr>
            <w:rStyle w:val="Hyperlink"/>
          </w:rPr>
          <w:t>here</w:t>
        </w:r>
      </w:hyperlink>
      <w:r w:rsidRPr="005F5D22">
        <w:t> </w:t>
      </w:r>
    </w:p>
    <w:p w14:paraId="61900EFA" w14:textId="55A09F64" w:rsidR="005F5D22" w:rsidRPr="005F5D22" w:rsidRDefault="005F5D22" w:rsidP="005F5D22">
      <w:pPr>
        <w:numPr>
          <w:ilvl w:val="0"/>
          <w:numId w:val="8"/>
        </w:numPr>
      </w:pPr>
      <w:r w:rsidRPr="005F5D22">
        <w:t>Then investigate what is happening in the top tail by comparing survey data and 1000-binned data. You can access the survey data from datalibweb.  </w:t>
      </w:r>
    </w:p>
    <w:p w14:paraId="6E9B654F" w14:textId="77777777" w:rsidR="005F5D22" w:rsidRPr="005F5D22" w:rsidRDefault="005F5D22" w:rsidP="005F5D22">
      <w:r w:rsidRPr="005F5D22">
        <w:rPr>
          <w:b/>
          <w:bCs/>
        </w:rPr>
        <w:t>3. Exercise 2: Fitting a Pareto distribution to binned data (China)</w:t>
      </w:r>
      <w:r w:rsidRPr="005F5D22">
        <w:t> </w:t>
      </w:r>
    </w:p>
    <w:p w14:paraId="5A8A7565" w14:textId="77777777" w:rsidR="005F5D22" w:rsidRPr="005F5D22" w:rsidRDefault="005F5D22" w:rsidP="005F5D22">
      <w:r w:rsidRPr="005F5D22">
        <w:t>For China, we only get binned data (20 bins each for rural and urban areas) (see </w:t>
      </w:r>
      <w:hyperlink r:id="rId8" w:anchor="tgd" w:tgtFrame="_blank" w:history="1">
        <w:r w:rsidRPr="005F5D22">
          <w:rPr>
            <w:rStyle w:val="Hyperlink"/>
          </w:rPr>
          <w:t>here</w:t>
        </w:r>
      </w:hyperlink>
      <w:r w:rsidRPr="005F5D22">
        <w:t> for further detail – section 3). For PIP, this is converted into a distribution using “pipgd” command in Stata, which essentially fits a Lorenz curve.  </w:t>
      </w:r>
    </w:p>
    <w:p w14:paraId="0CC67A89" w14:textId="77777777" w:rsidR="005F5D22" w:rsidRPr="005F5D22" w:rsidRDefault="005F5D22" w:rsidP="005F5D22">
      <w:r w:rsidRPr="005F5D22">
        <w:t>Objective: compare the Lorenz curve distribution with the 20-point data </w:t>
      </w:r>
    </w:p>
    <w:p w14:paraId="3557A141" w14:textId="77777777" w:rsidR="005F5D22" w:rsidRPr="005F5D22" w:rsidRDefault="005F5D22" w:rsidP="005F5D22">
      <w:r w:rsidRPr="005F5D22">
        <w:t> </w:t>
      </w:r>
    </w:p>
    <w:p w14:paraId="2B4FC1F9" w14:textId="77777777" w:rsidR="005F5D22" w:rsidRDefault="005F5D22"/>
    <w:p w14:paraId="500247C8" w14:textId="77777777" w:rsidR="005F5D22" w:rsidRDefault="005F5D22"/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2314"/>
        <w:gridCol w:w="3527"/>
        <w:gridCol w:w="3509"/>
      </w:tblGrid>
      <w:tr w:rsidR="00426C55" w:rsidRPr="00426C55" w14:paraId="61F418FF" w14:textId="77777777" w:rsidTr="003C0F00">
        <w:tc>
          <w:tcPr>
            <w:tcW w:w="0" w:type="auto"/>
            <w:hideMark/>
          </w:tcPr>
          <w:p w14:paraId="0FA37E30" w14:textId="77777777" w:rsidR="00426C55" w:rsidRPr="00426C55" w:rsidRDefault="00426C55" w:rsidP="003C0F00">
            <w:pPr>
              <w:spacing w:after="160" w:line="278" w:lineRule="auto"/>
              <w:rPr>
                <w:b/>
                <w:bCs/>
              </w:rPr>
            </w:pPr>
            <w:r w:rsidRPr="00426C55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0E2CB6FB" w14:textId="77777777" w:rsidR="00426C55" w:rsidRPr="00426C55" w:rsidRDefault="00426C55" w:rsidP="003C0F00">
            <w:pPr>
              <w:spacing w:after="160" w:line="278" w:lineRule="auto"/>
              <w:rPr>
                <w:b/>
                <w:bCs/>
              </w:rPr>
            </w:pPr>
            <w:r w:rsidRPr="00426C55">
              <w:rPr>
                <w:b/>
                <w:bCs/>
              </w:rPr>
              <w:t>Neugschwender (2020) — LIS</w:t>
            </w:r>
          </w:p>
        </w:tc>
        <w:tc>
          <w:tcPr>
            <w:tcW w:w="0" w:type="auto"/>
            <w:hideMark/>
          </w:tcPr>
          <w:p w14:paraId="64746FDB" w14:textId="77777777" w:rsidR="00426C55" w:rsidRPr="00426C55" w:rsidRDefault="00426C55" w:rsidP="003C0F00">
            <w:pPr>
              <w:spacing w:after="160" w:line="278" w:lineRule="auto"/>
              <w:rPr>
                <w:b/>
                <w:bCs/>
              </w:rPr>
            </w:pPr>
            <w:r w:rsidRPr="00426C55">
              <w:rPr>
                <w:b/>
                <w:bCs/>
              </w:rPr>
              <w:t>Jenkins et al. (2011)</w:t>
            </w:r>
          </w:p>
        </w:tc>
      </w:tr>
      <w:tr w:rsidR="00426C55" w:rsidRPr="00426C55" w14:paraId="04ACB1F8" w14:textId="77777777" w:rsidTr="003C0F00">
        <w:tc>
          <w:tcPr>
            <w:tcW w:w="0" w:type="auto"/>
            <w:hideMark/>
          </w:tcPr>
          <w:p w14:paraId="6C6FD2D0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Main problem</w:t>
            </w:r>
          </w:p>
        </w:tc>
        <w:tc>
          <w:tcPr>
            <w:tcW w:w="0" w:type="auto"/>
            <w:hideMark/>
          </w:tcPr>
          <w:p w14:paraId="18F77026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Extreme values distort inequality rankings across countries</w:t>
            </w:r>
          </w:p>
        </w:tc>
        <w:tc>
          <w:tcPr>
            <w:tcW w:w="0" w:type="auto"/>
            <w:hideMark/>
          </w:tcPr>
          <w:p w14:paraId="67961B93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Top-coded data underestimates inequality and leads to incorrect inferences</w:t>
            </w:r>
          </w:p>
        </w:tc>
      </w:tr>
      <w:tr w:rsidR="00426C55" w:rsidRPr="00426C55" w14:paraId="7B6C7CCC" w14:textId="77777777" w:rsidTr="003C0F00">
        <w:tc>
          <w:tcPr>
            <w:tcW w:w="0" w:type="auto"/>
            <w:hideMark/>
          </w:tcPr>
          <w:p w14:paraId="70342938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Type of censoring addressed</w:t>
            </w:r>
          </w:p>
        </w:tc>
        <w:tc>
          <w:tcPr>
            <w:tcW w:w="0" w:type="auto"/>
            <w:hideMark/>
          </w:tcPr>
          <w:p w14:paraId="1C1E370B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Top coding and bottom coding</w:t>
            </w:r>
          </w:p>
        </w:tc>
        <w:tc>
          <w:tcPr>
            <w:tcW w:w="0" w:type="auto"/>
            <w:hideMark/>
          </w:tcPr>
          <w:p w14:paraId="4E325179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Top coding only</w:t>
            </w:r>
          </w:p>
        </w:tc>
      </w:tr>
      <w:tr w:rsidR="00426C55" w:rsidRPr="00426C55" w14:paraId="7986FAA7" w14:textId="77777777" w:rsidTr="003C0F00">
        <w:tc>
          <w:tcPr>
            <w:tcW w:w="0" w:type="auto"/>
            <w:hideMark/>
          </w:tcPr>
          <w:p w14:paraId="0BFCA941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Application context</w:t>
            </w:r>
          </w:p>
        </w:tc>
        <w:tc>
          <w:tcPr>
            <w:tcW w:w="0" w:type="auto"/>
            <w:hideMark/>
          </w:tcPr>
          <w:p w14:paraId="76F5E1ED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International comparative data (LIS, multiple countries)</w:t>
            </w:r>
          </w:p>
        </w:tc>
        <w:tc>
          <w:tcPr>
            <w:tcW w:w="0" w:type="auto"/>
            <w:hideMark/>
          </w:tcPr>
          <w:p w14:paraId="51E92D98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National survey data (U.S., CPS)</w:t>
            </w:r>
          </w:p>
        </w:tc>
      </w:tr>
      <w:tr w:rsidR="00426C55" w:rsidRPr="00426C55" w14:paraId="69160CAD" w14:textId="77777777" w:rsidTr="003C0F00">
        <w:tc>
          <w:tcPr>
            <w:tcW w:w="0" w:type="auto"/>
            <w:hideMark/>
          </w:tcPr>
          <w:p w14:paraId="4A4AE216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Proposed solution</w:t>
            </w:r>
          </w:p>
        </w:tc>
        <w:tc>
          <w:tcPr>
            <w:tcW w:w="0" w:type="auto"/>
            <w:hideMark/>
          </w:tcPr>
          <w:p w14:paraId="35D044ED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New statistical rule based on the Interquartile Range (IQR) of log income</w:t>
            </w:r>
          </w:p>
        </w:tc>
        <w:tc>
          <w:tcPr>
            <w:tcW w:w="0" w:type="auto"/>
            <w:hideMark/>
          </w:tcPr>
          <w:p w14:paraId="11F11742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Multiple imputation (MI) using the GB2 distribution</w:t>
            </w:r>
          </w:p>
        </w:tc>
      </w:tr>
      <w:tr w:rsidR="00426C55" w:rsidRPr="00426C55" w14:paraId="38325EB3" w14:textId="77777777" w:rsidTr="003C0F00">
        <w:tc>
          <w:tcPr>
            <w:tcW w:w="0" w:type="auto"/>
            <w:hideMark/>
          </w:tcPr>
          <w:p w14:paraId="0DF1308D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Objective of the solution</w:t>
            </w:r>
          </w:p>
        </w:tc>
        <w:tc>
          <w:tcPr>
            <w:tcW w:w="0" w:type="auto"/>
            <w:hideMark/>
          </w:tcPr>
          <w:p w14:paraId="78E053AE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Improve comparability and stability of published indicators</w:t>
            </w:r>
          </w:p>
        </w:tc>
        <w:tc>
          <w:tcPr>
            <w:tcW w:w="0" w:type="auto"/>
            <w:hideMark/>
          </w:tcPr>
          <w:p w14:paraId="50F73ED5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Recover censored values to estimate true inequality with valid inference</w:t>
            </w:r>
          </w:p>
        </w:tc>
      </w:tr>
      <w:tr w:rsidR="00426C55" w:rsidRPr="00426C55" w14:paraId="3C04DB3A" w14:textId="77777777" w:rsidTr="003C0F00">
        <w:tc>
          <w:tcPr>
            <w:tcW w:w="0" w:type="auto"/>
            <w:hideMark/>
          </w:tcPr>
          <w:p w14:paraId="7F67D363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What happens to the original data</w:t>
            </w:r>
          </w:p>
        </w:tc>
        <w:tc>
          <w:tcPr>
            <w:tcW w:w="0" w:type="auto"/>
            <w:hideMark/>
          </w:tcPr>
          <w:p w14:paraId="4D257F6A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Preserved and made available to researchers without modification</w:t>
            </w:r>
          </w:p>
        </w:tc>
        <w:tc>
          <w:tcPr>
            <w:tcW w:w="0" w:type="auto"/>
            <w:hideMark/>
          </w:tcPr>
          <w:p w14:paraId="3295E87D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Partially synthetic datasets are created for researcher use</w:t>
            </w:r>
          </w:p>
        </w:tc>
      </w:tr>
      <w:tr w:rsidR="00426C55" w:rsidRPr="00426C55" w14:paraId="2A5AF8FD" w14:textId="77777777" w:rsidTr="003C0F00">
        <w:tc>
          <w:tcPr>
            <w:tcW w:w="0" w:type="auto"/>
            <w:hideMark/>
          </w:tcPr>
          <w:p w14:paraId="215B156A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Inequality measures analyzed</w:t>
            </w:r>
          </w:p>
        </w:tc>
        <w:tc>
          <w:tcPr>
            <w:tcW w:w="0" w:type="auto"/>
            <w:hideMark/>
          </w:tcPr>
          <w:p w14:paraId="3E515914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Gini and Atkinson Index</w:t>
            </w:r>
          </w:p>
        </w:tc>
        <w:tc>
          <w:tcPr>
            <w:tcW w:w="0" w:type="auto"/>
            <w:hideMark/>
          </w:tcPr>
          <w:p w14:paraId="51D31860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Gini and Generalized Entropy (GE) indices</w:t>
            </w:r>
          </w:p>
        </w:tc>
      </w:tr>
      <w:tr w:rsidR="00426C55" w:rsidRPr="00426C55" w14:paraId="61416CF3" w14:textId="77777777" w:rsidTr="003C0F00">
        <w:tc>
          <w:tcPr>
            <w:tcW w:w="0" w:type="auto"/>
            <w:hideMark/>
          </w:tcPr>
          <w:p w14:paraId="7F0EBAC7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Gini sensitivity</w:t>
            </w:r>
          </w:p>
        </w:tc>
        <w:tc>
          <w:tcPr>
            <w:tcW w:w="0" w:type="auto"/>
            <w:hideMark/>
          </w:tcPr>
          <w:p w14:paraId="73205F53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Relatively insensitive to bottom coding; highly sensitive to top coding</w:t>
            </w:r>
          </w:p>
        </w:tc>
        <w:tc>
          <w:tcPr>
            <w:tcW w:w="0" w:type="auto"/>
            <w:hideMark/>
          </w:tcPr>
          <w:p w14:paraId="3BF5D6E2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Underestimated with cell-mean imputation; better estimated with MI</w:t>
            </w:r>
          </w:p>
        </w:tc>
      </w:tr>
      <w:tr w:rsidR="00426C55" w:rsidRPr="00426C55" w14:paraId="10749B2D" w14:textId="77777777" w:rsidTr="003C0F00">
        <w:tc>
          <w:tcPr>
            <w:tcW w:w="0" w:type="auto"/>
            <w:hideMark/>
          </w:tcPr>
          <w:p w14:paraId="25FD7FBE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Methodological approach</w:t>
            </w:r>
          </w:p>
        </w:tc>
        <w:tc>
          <w:tcPr>
            <w:tcW w:w="0" w:type="auto"/>
            <w:hideMark/>
          </w:tcPr>
          <w:p w14:paraId="091A7138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Descriptive statistics / sensitivity analysis</w:t>
            </w:r>
          </w:p>
        </w:tc>
        <w:tc>
          <w:tcPr>
            <w:tcW w:w="0" w:type="auto"/>
            <w:hideMark/>
          </w:tcPr>
          <w:p w14:paraId="567638F9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Econometric / formal statistical inference</w:t>
            </w:r>
          </w:p>
        </w:tc>
      </w:tr>
      <w:tr w:rsidR="00426C55" w:rsidRPr="00426C55" w14:paraId="17F69141" w14:textId="77777777" w:rsidTr="003C0F00">
        <w:tc>
          <w:tcPr>
            <w:tcW w:w="0" w:type="auto"/>
            <w:hideMark/>
          </w:tcPr>
          <w:p w14:paraId="6471C458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Primary audience</w:t>
            </w:r>
          </w:p>
        </w:tc>
        <w:tc>
          <w:tcPr>
            <w:tcW w:w="0" w:type="auto"/>
            <w:hideMark/>
          </w:tcPr>
          <w:p w14:paraId="7B864A3E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Database teams and LIS users</w:t>
            </w:r>
          </w:p>
        </w:tc>
        <w:tc>
          <w:tcPr>
            <w:tcW w:w="0" w:type="auto"/>
            <w:hideMark/>
          </w:tcPr>
          <w:p w14:paraId="69DB2A67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Researchers working with censored microdata</w:t>
            </w:r>
          </w:p>
        </w:tc>
      </w:tr>
      <w:tr w:rsidR="00426C55" w:rsidRPr="00426C55" w14:paraId="2E26DB1A" w14:textId="77777777" w:rsidTr="003C0F00">
        <w:tc>
          <w:tcPr>
            <w:tcW w:w="0" w:type="auto"/>
            <w:hideMark/>
          </w:tcPr>
          <w:p w14:paraId="692F2A4D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Key conclusion</w:t>
            </w:r>
          </w:p>
        </w:tc>
        <w:tc>
          <w:tcPr>
            <w:tcW w:w="0" w:type="auto"/>
            <w:hideMark/>
          </w:tcPr>
          <w:p w14:paraId="5176B4F2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The IQR method outperforms the "10 times the median" rule for top coding</w:t>
            </w:r>
          </w:p>
        </w:tc>
        <w:tc>
          <w:tcPr>
            <w:tcW w:w="0" w:type="auto"/>
            <w:hideMark/>
          </w:tcPr>
          <w:p w14:paraId="5208941C" w14:textId="77777777" w:rsidR="00426C55" w:rsidRPr="00426C55" w:rsidRDefault="00426C55" w:rsidP="003C0F00">
            <w:pPr>
              <w:spacing w:after="160" w:line="278" w:lineRule="auto"/>
            </w:pPr>
            <w:r w:rsidRPr="00426C55">
              <w:t>Multiple imputation is superior to cell-mean imputation for correct inference</w:t>
            </w:r>
          </w:p>
        </w:tc>
      </w:tr>
    </w:tbl>
    <w:p w14:paraId="68E95C7E" w14:textId="77777777" w:rsidR="00B07791" w:rsidRDefault="003C0F00">
      <w:r>
        <w:lastRenderedPageBreak/>
        <w:br w:type="textWrapping" w:clear="all"/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4713"/>
        <w:gridCol w:w="3522"/>
      </w:tblGrid>
      <w:tr w:rsidR="00B07791" w:rsidRPr="00B07791" w14:paraId="742DEC48" w14:textId="77777777" w:rsidTr="00B07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E4C07" w14:textId="77777777" w:rsidR="00B07791" w:rsidRPr="00B07791" w:rsidRDefault="00B07791" w:rsidP="00B07791">
            <w:pPr>
              <w:rPr>
                <w:b/>
                <w:bCs/>
              </w:rPr>
            </w:pPr>
            <w:r w:rsidRPr="00B07791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7D0784DA" w14:textId="77777777" w:rsidR="00B07791" w:rsidRPr="00B07791" w:rsidRDefault="00B07791" w:rsidP="00B07791">
            <w:pPr>
              <w:rPr>
                <w:b/>
                <w:bCs/>
              </w:rPr>
            </w:pPr>
            <w:r w:rsidRPr="00B07791">
              <w:rPr>
                <w:b/>
                <w:bCs/>
              </w:rPr>
              <w:t>Primary Outlier Treatment</w:t>
            </w:r>
          </w:p>
        </w:tc>
        <w:tc>
          <w:tcPr>
            <w:tcW w:w="0" w:type="auto"/>
            <w:vAlign w:val="center"/>
            <w:hideMark/>
          </w:tcPr>
          <w:p w14:paraId="24809702" w14:textId="77777777" w:rsidR="00B07791" w:rsidRPr="00B07791" w:rsidRDefault="00B07791" w:rsidP="00B07791">
            <w:pPr>
              <w:rPr>
                <w:b/>
                <w:bCs/>
              </w:rPr>
            </w:pPr>
            <w:r w:rsidRPr="00B07791">
              <w:rPr>
                <w:b/>
                <w:bCs/>
              </w:rPr>
              <w:t>Underlying Rationale</w:t>
            </w:r>
          </w:p>
        </w:tc>
      </w:tr>
      <w:tr w:rsidR="00B07791" w:rsidRPr="00B07791" w14:paraId="1142D411" w14:textId="77777777" w:rsidTr="00B07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8E14" w14:textId="77777777" w:rsidR="00B07791" w:rsidRPr="00B07791" w:rsidRDefault="00B07791" w:rsidP="00B07791">
            <w:r w:rsidRPr="00B07791">
              <w:t>EU-SILC</w:t>
            </w:r>
          </w:p>
        </w:tc>
        <w:tc>
          <w:tcPr>
            <w:tcW w:w="0" w:type="auto"/>
            <w:vAlign w:val="center"/>
            <w:hideMark/>
          </w:tcPr>
          <w:p w14:paraId="2F2D5BED" w14:textId="77777777" w:rsidR="00B07791" w:rsidRPr="00B07791" w:rsidRDefault="00B07791" w:rsidP="00B07791">
            <w:r w:rsidRPr="00B07791">
              <w:t>IQR-based flagging; national-level top-coding; researcher-applied trimming/Pareto modelling</w:t>
            </w:r>
          </w:p>
        </w:tc>
        <w:tc>
          <w:tcPr>
            <w:tcW w:w="0" w:type="auto"/>
            <w:vAlign w:val="center"/>
            <w:hideMark/>
          </w:tcPr>
          <w:p w14:paraId="7A2C5196" w14:textId="77777777" w:rsidR="00B07791" w:rsidRPr="00B07791" w:rsidRDefault="00B07791" w:rsidP="00B07791">
            <w:r w:rsidRPr="00B07791">
              <w:t>Cross-country comparability; some confidentiality</w:t>
            </w:r>
          </w:p>
        </w:tc>
      </w:tr>
      <w:tr w:rsidR="00B07791" w:rsidRPr="00B07791" w14:paraId="5D1BFA8B" w14:textId="77777777" w:rsidTr="00B07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4B4B" w14:textId="77777777" w:rsidR="00B07791" w:rsidRPr="00B07791" w:rsidRDefault="00B07791" w:rsidP="00B07791">
            <w:r w:rsidRPr="00B07791">
              <w:t>CPS</w:t>
            </w:r>
          </w:p>
        </w:tc>
        <w:tc>
          <w:tcPr>
            <w:tcW w:w="0" w:type="auto"/>
            <w:vAlign w:val="center"/>
            <w:hideMark/>
          </w:tcPr>
          <w:p w14:paraId="442B6226" w14:textId="77777777" w:rsidR="00B07791" w:rsidRPr="00B07791" w:rsidRDefault="00B07791" w:rsidP="00B07791">
            <w:r w:rsidRPr="00B07791">
              <w:t>Top-coding (threshold or cell-mean imputation)</w:t>
            </w:r>
          </w:p>
        </w:tc>
        <w:tc>
          <w:tcPr>
            <w:tcW w:w="0" w:type="auto"/>
            <w:vAlign w:val="center"/>
            <w:hideMark/>
          </w:tcPr>
          <w:p w14:paraId="4F6126D8" w14:textId="77777777" w:rsidR="00B07791" w:rsidRPr="00B07791" w:rsidRDefault="00B07791" w:rsidP="00B07791">
            <w:r w:rsidRPr="00B07791">
              <w:t>Respondent confidentiality</w:t>
            </w:r>
          </w:p>
        </w:tc>
      </w:tr>
      <w:tr w:rsidR="00B07791" w:rsidRPr="00B07791" w14:paraId="337B2943" w14:textId="77777777" w:rsidTr="00B07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8AAE" w14:textId="77777777" w:rsidR="00B07791" w:rsidRPr="00B07791" w:rsidRDefault="00B07791" w:rsidP="00B07791">
            <w:r w:rsidRPr="00B07791">
              <w:t>LIS</w:t>
            </w:r>
          </w:p>
        </w:tc>
        <w:tc>
          <w:tcPr>
            <w:tcW w:w="0" w:type="auto"/>
            <w:vAlign w:val="center"/>
            <w:hideMark/>
          </w:tcPr>
          <w:p w14:paraId="403FE311" w14:textId="77777777" w:rsidR="00B07791" w:rsidRPr="00B07791" w:rsidRDefault="00B07791" w:rsidP="00B07791">
            <w:r w:rsidRPr="00B07791">
              <w:t>Standardized IQR-based top/bottom coding (new); 10× median / 1% mean (old); micro-data preserved</w:t>
            </w:r>
          </w:p>
        </w:tc>
        <w:tc>
          <w:tcPr>
            <w:tcW w:w="0" w:type="auto"/>
            <w:vAlign w:val="center"/>
            <w:hideMark/>
          </w:tcPr>
          <w:p w14:paraId="6DF6E34E" w14:textId="77777777" w:rsidR="00B07791" w:rsidRPr="00B07791" w:rsidRDefault="00B07791" w:rsidP="00B07791">
            <w:r w:rsidRPr="00B07791">
              <w:t>Harmonization across national surveys</w:t>
            </w:r>
          </w:p>
        </w:tc>
      </w:tr>
      <w:tr w:rsidR="00B07791" w:rsidRPr="00B07791" w14:paraId="7A141640" w14:textId="77777777" w:rsidTr="00B07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C7FC" w14:textId="287A3492" w:rsidR="00B07791" w:rsidRPr="00B07791" w:rsidRDefault="00B07791" w:rsidP="00B07791">
            <w:r w:rsidRPr="00B07791">
              <w:t>WID</w:t>
            </w:r>
          </w:p>
        </w:tc>
        <w:tc>
          <w:tcPr>
            <w:tcW w:w="0" w:type="auto"/>
            <w:vAlign w:val="center"/>
            <w:hideMark/>
          </w:tcPr>
          <w:p w14:paraId="4806BD74" w14:textId="77777777" w:rsidR="00B07791" w:rsidRPr="00B07791" w:rsidRDefault="00B07791" w:rsidP="00B07791">
            <w:r w:rsidRPr="00B07791">
              <w:t>Tax-survey linkage; Pareto tail modelling; re-weighting</w:t>
            </w:r>
          </w:p>
        </w:tc>
        <w:tc>
          <w:tcPr>
            <w:tcW w:w="0" w:type="auto"/>
            <w:vAlign w:val="center"/>
            <w:hideMark/>
          </w:tcPr>
          <w:p w14:paraId="459ED9BE" w14:textId="77777777" w:rsidR="00B07791" w:rsidRPr="00B07791" w:rsidRDefault="00B07791" w:rsidP="00B07791">
            <w:r w:rsidRPr="00B07791">
              <w:t>Correct for structural underrepresentation of top incomes</w:t>
            </w:r>
          </w:p>
        </w:tc>
      </w:tr>
    </w:tbl>
    <w:p w14:paraId="58C0C648" w14:textId="15153044" w:rsidR="001C2061" w:rsidRDefault="001C2061"/>
    <w:sectPr w:rsidR="001C2061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E84A2" w14:textId="77777777" w:rsidR="003D1666" w:rsidRDefault="003D1666" w:rsidP="0082127B">
      <w:pPr>
        <w:spacing w:after="0" w:line="240" w:lineRule="auto"/>
      </w:pPr>
      <w:r>
        <w:separator/>
      </w:r>
    </w:p>
  </w:endnote>
  <w:endnote w:type="continuationSeparator" w:id="0">
    <w:p w14:paraId="56A6A94F" w14:textId="77777777" w:rsidR="003D1666" w:rsidRDefault="003D1666" w:rsidP="00821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4AAD1" w14:textId="6A168698" w:rsidR="0082127B" w:rsidRDefault="008212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365B45" wp14:editId="7CEB86C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507781744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76FD1" w14:textId="2B896DFC" w:rsidR="0082127B" w:rsidRPr="0082127B" w:rsidRDefault="0082127B" w:rsidP="008212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12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65B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textbox style="mso-fit-shape-to-text:t" inset="0,0,20pt,15pt">
                <w:txbxContent>
                  <w:p w14:paraId="2CF76FD1" w14:textId="2B896DFC" w:rsidR="0082127B" w:rsidRPr="0082127B" w:rsidRDefault="0082127B" w:rsidP="008212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127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4065" w14:textId="4F53CAFA" w:rsidR="0082127B" w:rsidRDefault="008212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9EAFF6" wp14:editId="5D7078EE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582577680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6A799A" w14:textId="2AC7E063" w:rsidR="0082127B" w:rsidRPr="0082127B" w:rsidRDefault="0082127B" w:rsidP="008212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12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EAF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textbox style="mso-fit-shape-to-text:t" inset="0,0,20pt,15pt">
                <w:txbxContent>
                  <w:p w14:paraId="576A799A" w14:textId="2AC7E063" w:rsidR="0082127B" w:rsidRPr="0082127B" w:rsidRDefault="0082127B" w:rsidP="008212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127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04B82" w14:textId="14A675DC" w:rsidR="0082127B" w:rsidRDefault="008212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042B0C" wp14:editId="15BE60D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432217379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625F1" w14:textId="4B0A7354" w:rsidR="0082127B" w:rsidRPr="0082127B" w:rsidRDefault="0082127B" w:rsidP="008212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12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42B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textbox style="mso-fit-shape-to-text:t" inset="0,0,20pt,15pt">
                <w:txbxContent>
                  <w:p w14:paraId="52A625F1" w14:textId="4B0A7354" w:rsidR="0082127B" w:rsidRPr="0082127B" w:rsidRDefault="0082127B" w:rsidP="008212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127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D374A" w14:textId="77777777" w:rsidR="003D1666" w:rsidRDefault="003D1666" w:rsidP="0082127B">
      <w:pPr>
        <w:spacing w:after="0" w:line="240" w:lineRule="auto"/>
      </w:pPr>
      <w:r>
        <w:separator/>
      </w:r>
    </w:p>
  </w:footnote>
  <w:footnote w:type="continuationSeparator" w:id="0">
    <w:p w14:paraId="335B2717" w14:textId="77777777" w:rsidR="003D1666" w:rsidRDefault="003D1666" w:rsidP="00821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2B1"/>
    <w:multiLevelType w:val="multilevel"/>
    <w:tmpl w:val="1BB69C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9175D5B"/>
    <w:multiLevelType w:val="multilevel"/>
    <w:tmpl w:val="530A278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11CF3"/>
    <w:multiLevelType w:val="multilevel"/>
    <w:tmpl w:val="B0EC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55692E"/>
    <w:multiLevelType w:val="hybridMultilevel"/>
    <w:tmpl w:val="FE5810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062BDD"/>
    <w:multiLevelType w:val="multilevel"/>
    <w:tmpl w:val="FD7AC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DB6A7B"/>
    <w:multiLevelType w:val="multilevel"/>
    <w:tmpl w:val="A890117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B4690"/>
    <w:multiLevelType w:val="multilevel"/>
    <w:tmpl w:val="68D4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A10CB7"/>
    <w:multiLevelType w:val="multilevel"/>
    <w:tmpl w:val="F9A257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7A3E757D"/>
    <w:multiLevelType w:val="multilevel"/>
    <w:tmpl w:val="0D8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7055876">
    <w:abstractNumId w:val="6"/>
  </w:num>
  <w:num w:numId="2" w16cid:durableId="1695764955">
    <w:abstractNumId w:val="5"/>
  </w:num>
  <w:num w:numId="3" w16cid:durableId="754862650">
    <w:abstractNumId w:val="1"/>
  </w:num>
  <w:num w:numId="4" w16cid:durableId="171184208">
    <w:abstractNumId w:val="4"/>
  </w:num>
  <w:num w:numId="5" w16cid:durableId="1870799083">
    <w:abstractNumId w:val="8"/>
  </w:num>
  <w:num w:numId="6" w16cid:durableId="662129361">
    <w:abstractNumId w:val="0"/>
  </w:num>
  <w:num w:numId="7" w16cid:durableId="1882326359">
    <w:abstractNumId w:val="7"/>
  </w:num>
  <w:num w:numId="8" w16cid:durableId="1959405447">
    <w:abstractNumId w:val="2"/>
  </w:num>
  <w:num w:numId="9" w16cid:durableId="472066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17"/>
    <w:rsid w:val="001671A2"/>
    <w:rsid w:val="00172ACD"/>
    <w:rsid w:val="001C2061"/>
    <w:rsid w:val="00243E6B"/>
    <w:rsid w:val="00332E6E"/>
    <w:rsid w:val="0034439E"/>
    <w:rsid w:val="003C0F00"/>
    <w:rsid w:val="003D1666"/>
    <w:rsid w:val="003D1D0F"/>
    <w:rsid w:val="00426C55"/>
    <w:rsid w:val="005F5D22"/>
    <w:rsid w:val="00621090"/>
    <w:rsid w:val="00670A1D"/>
    <w:rsid w:val="0082127B"/>
    <w:rsid w:val="00A27F26"/>
    <w:rsid w:val="00A62E1D"/>
    <w:rsid w:val="00B0395D"/>
    <w:rsid w:val="00B07791"/>
    <w:rsid w:val="00D921A3"/>
    <w:rsid w:val="00F8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FD2D"/>
  <w15:chartTrackingRefBased/>
  <w15:docId w15:val="{E1802BA1-D34A-49E7-B59A-AD8334B1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1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21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27B"/>
  </w:style>
  <w:style w:type="character" w:styleId="Hyperlink">
    <w:name w:val="Hyperlink"/>
    <w:basedOn w:val="DefaultParagraphFont"/>
    <w:uiPriority w:val="99"/>
    <w:unhideWhenUsed/>
    <w:rsid w:val="005F5D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D2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C0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nalytics.worldbank.org/PIP-Methodology/welfareaggregat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acatalog.worldbank.org/int/search/dataset/0064304/1000_binned_global_distribu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5564</TotalTime>
  <Pages>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Avayu Zaliasnik</dc:creator>
  <cp:keywords/>
  <dc:description/>
  <cp:lastModifiedBy>Daniela Avayu Zaliasnik</cp:lastModifiedBy>
  <cp:revision>11</cp:revision>
  <dcterms:created xsi:type="dcterms:W3CDTF">2026-06-15T15:32:00Z</dcterms:created>
  <dcterms:modified xsi:type="dcterms:W3CDTF">2026-06-24T17:04:00Z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19c31d23,59deec70,22b96e10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2026-06-15T15:46:09Z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3410daf8-a659-48d3-9717-a7281538598d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