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311CC" w14:textId="72F0CAB0" w:rsidR="006D2F76" w:rsidRPr="006A7426" w:rsidRDefault="00587C8E" w:rsidP="00C074F4">
      <w:pPr>
        <w:rPr>
          <w:rFonts w:ascii="Times New Roman" w:hAnsi="Times New Roman" w:cs="Times New Roman"/>
          <w:b/>
          <w:bCs/>
        </w:rPr>
      </w:pPr>
      <w:r w:rsidRPr="19987528">
        <w:rPr>
          <w:rFonts w:ascii="Times New Roman" w:hAnsi="Times New Roman" w:cs="Times New Roman"/>
          <w:b/>
          <w:bCs/>
        </w:rPr>
        <w:t>Updates</w:t>
      </w:r>
      <w:r w:rsidR="006A7426">
        <w:rPr>
          <w:rFonts w:ascii="Times New Roman" w:hAnsi="Times New Roman" w:cs="Times New Roman"/>
          <w:b/>
          <w:bCs/>
        </w:rPr>
        <w:t xml:space="preserve">: </w:t>
      </w:r>
      <w:r w:rsidR="006A7426" w:rsidRPr="006A7426">
        <w:rPr>
          <w:rFonts w:ascii="Times New Roman" w:hAnsi="Times New Roman" w:cs="Times New Roman"/>
          <w:b/>
          <w:bCs/>
          <w:u w:val="single"/>
        </w:rPr>
        <w:t>August 1, 2026</w:t>
      </w:r>
    </w:p>
    <w:p w14:paraId="3E20E4B3" w14:textId="110B3780" w:rsidR="00587C8E" w:rsidRPr="002A5C5A" w:rsidRDefault="00587C8E" w:rsidP="00587C8E">
      <w:pPr>
        <w:rPr>
          <w:rFonts w:ascii="Times New Roman" w:hAnsi="Times New Roman" w:cs="Times New Roman"/>
        </w:rPr>
      </w:pPr>
      <w:commentRangeStart w:id="0"/>
      <w:r w:rsidRPr="427C7962">
        <w:rPr>
          <w:rFonts w:ascii="Times New Roman" w:hAnsi="Times New Roman" w:cs="Times New Roman"/>
        </w:rPr>
        <w:t xml:space="preserve">Hi </w:t>
      </w:r>
      <w:commentRangeEnd w:id="0"/>
      <w:r w:rsidRPr="427C7962">
        <w:rPr>
          <w:rStyle w:val="CommentReference"/>
          <w:rFonts w:ascii="Times New Roman" w:hAnsi="Times New Roman" w:cs="Times New Roman"/>
          <w:sz w:val="24"/>
          <w:szCs w:val="24"/>
        </w:rPr>
        <w:commentReference w:id="0"/>
      </w:r>
      <w:r w:rsidR="0072050D" w:rsidRPr="427C7962">
        <w:rPr>
          <w:rFonts w:ascii="Times New Roman" w:hAnsi="Times New Roman" w:cs="Times New Roman"/>
        </w:rPr>
        <w:t>Nishant and Yuki</w:t>
      </w:r>
      <w:r w:rsidRPr="427C7962">
        <w:rPr>
          <w:rFonts w:ascii="Times New Roman" w:hAnsi="Times New Roman" w:cs="Times New Roman"/>
        </w:rPr>
        <w:t>,</w:t>
      </w:r>
    </w:p>
    <w:p w14:paraId="0EF26D9D"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wanted to share a brief update on the top-censoring work.</w:t>
      </w:r>
    </w:p>
    <w:p w14:paraId="0563D790" w14:textId="2758B2C3" w:rsidR="00587C8E" w:rsidRPr="002A5C5A" w:rsidRDefault="0072050D" w:rsidP="00587C8E">
      <w:pPr>
        <w:rPr>
          <w:rFonts w:ascii="Times New Roman" w:hAnsi="Times New Roman" w:cs="Times New Roman"/>
        </w:rPr>
      </w:pPr>
      <w:r w:rsidRPr="53EF1DCA">
        <w:rPr>
          <w:rFonts w:ascii="Times New Roman" w:hAnsi="Times New Roman" w:cs="Times New Roman"/>
        </w:rPr>
        <w:t>I</w:t>
      </w:r>
      <w:r w:rsidR="00587C8E" w:rsidRPr="53EF1DCA">
        <w:rPr>
          <w:rFonts w:ascii="Times New Roman" w:hAnsi="Times New Roman" w:cs="Times New Roman"/>
        </w:rPr>
        <w:t xml:space="preserve"> reviewed the approaches used by LIS, the CPS, WID, and the EU-SILC literature, and drafted a short literature review</w:t>
      </w:r>
      <w:r w:rsidR="166E6B61" w:rsidRPr="53EF1DCA">
        <w:rPr>
          <w:rFonts w:ascii="Times New Roman" w:hAnsi="Times New Roman" w:cs="Times New Roman"/>
        </w:rPr>
        <w:t xml:space="preserve"> (below)</w:t>
      </w:r>
      <w:r w:rsidR="00587C8E" w:rsidRPr="53EF1DCA">
        <w:rPr>
          <w:rFonts w:ascii="Times New Roman" w:hAnsi="Times New Roman" w:cs="Times New Roman"/>
        </w:rPr>
        <w:t xml:space="preserve"> summarizing their different objectives and methods. LIS applies a log-IQR top-coding rule; CPS top-coding is mainly designed for disclosure protection; EU-SILC compares trimming, winsorizing, and robust Pareto-based approaches; and WID focuses on correcting the underrepresentation of top incomes in surveys by combining survey, tax, and national accounts data.</w:t>
      </w:r>
    </w:p>
    <w:p w14:paraId="62515347"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then reviewed the surveys available in the shared drive to identify those with individual-level, non-grouped microdata that can be used for this exercise. I excluded files that contain grouped/binned distributions, since they cannot be used to identify individual upper-tail observations.</w:t>
      </w:r>
    </w:p>
    <w:p w14:paraId="64F4ABD3" w14:textId="77777777" w:rsidR="00587C8E" w:rsidRPr="002A5C5A" w:rsidRDefault="00587C8E" w:rsidP="00587C8E">
      <w:pPr>
        <w:rPr>
          <w:rFonts w:ascii="Times New Roman" w:hAnsi="Times New Roman" w:cs="Times New Roman"/>
        </w:rPr>
      </w:pPr>
      <w:r w:rsidRPr="427C7962">
        <w:rPr>
          <w:rFonts w:ascii="Times New Roman" w:hAnsi="Times New Roman" w:cs="Times New Roman"/>
        </w:rPr>
        <w:t xml:space="preserve">Using the </w:t>
      </w:r>
      <w:commentRangeStart w:id="1"/>
      <w:r w:rsidRPr="427C7962">
        <w:rPr>
          <w:rFonts w:ascii="Times New Roman" w:hAnsi="Times New Roman" w:cs="Times New Roman"/>
        </w:rPr>
        <w:t>LIS rule</w:t>
      </w:r>
      <w:commentRangeEnd w:id="1"/>
      <w:r w:rsidRPr="427C7962">
        <w:rPr>
          <w:rStyle w:val="CommentReference"/>
          <w:rFonts w:ascii="Times New Roman" w:hAnsi="Times New Roman" w:cs="Times New Roman"/>
          <w:sz w:val="24"/>
          <w:szCs w:val="24"/>
        </w:rPr>
        <w:commentReference w:id="1"/>
      </w:r>
      <w:r w:rsidRPr="427C7962">
        <w:rPr>
          <w:rFonts w:ascii="Times New Roman" w:hAnsi="Times New Roman" w:cs="Times New Roman"/>
        </w:rPr>
        <w:t>, I calculated the upper ceiling as:</w:t>
      </w:r>
    </w:p>
    <w:p w14:paraId="374DE23E" w14:textId="77777777" w:rsidR="0072050D" w:rsidRPr="002A5C5A" w:rsidRDefault="0072050D" w:rsidP="0072050D">
      <w:pPr>
        <w:rPr>
          <w:rFonts w:ascii="Times New Roman" w:eastAsiaTheme="minorEastAsia" w:hAnsi="Times New Roman" w:cs="Times New Roman"/>
        </w:rPr>
      </w:pPr>
      <m:oMathPara>
        <m:oMath>
          <m:r>
            <w:rPr>
              <w:rFonts w:ascii="Cambria Math" w:eastAsiaTheme="minorEastAsia" w:hAnsi="Cambria Math" w:cs="Times New Roman"/>
            </w:rPr>
            <m:t>exp[Q3(log y)+3* IQR(log y)]</m:t>
          </m:r>
        </m:oMath>
      </m:oMathPara>
    </w:p>
    <w:p w14:paraId="10BB1F9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and identified the observations above this threshold. The table below summarizes the initial screening results.</w:t>
      </w:r>
    </w:p>
    <w:tbl>
      <w:tblPr>
        <w:tblW w:w="10435" w:type="dxa"/>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93"/>
        <w:gridCol w:w="1146"/>
        <w:gridCol w:w="1856"/>
        <w:gridCol w:w="2749"/>
        <w:gridCol w:w="1912"/>
        <w:gridCol w:w="1379"/>
      </w:tblGrid>
      <w:tr w:rsidR="00A23D96" w:rsidRPr="002A5C5A" w14:paraId="57437B1A" w14:textId="7AA2864C" w:rsidTr="00A23D96">
        <w:trPr>
          <w:tblHeader/>
          <w:tblCellSpacing w:w="15" w:type="dxa"/>
          <w:jc w:val="center"/>
        </w:trPr>
        <w:tc>
          <w:tcPr>
            <w:tcW w:w="0" w:type="auto"/>
            <w:vAlign w:val="center"/>
            <w:hideMark/>
          </w:tcPr>
          <w:p w14:paraId="75B7163A" w14:textId="77777777" w:rsidR="00A23D96" w:rsidRPr="002A5C5A" w:rsidRDefault="00A23D96" w:rsidP="008D137F">
            <w:pPr>
              <w:jc w:val="center"/>
              <w:rPr>
                <w:rFonts w:ascii="Times New Roman" w:hAnsi="Times New Roman" w:cs="Times New Roman"/>
                <w:b/>
                <w:bCs/>
              </w:rPr>
            </w:pPr>
            <w:commentRangeStart w:id="2"/>
            <w:r w:rsidRPr="427C7962">
              <w:rPr>
                <w:rFonts w:ascii="Times New Roman" w:hAnsi="Times New Roman" w:cs="Times New Roman"/>
                <w:b/>
                <w:bCs/>
              </w:rPr>
              <w:t>Survey</w:t>
            </w:r>
            <w:commentRangeEnd w:id="2"/>
            <w:r w:rsidRPr="002A5C5A">
              <w:rPr>
                <w:rStyle w:val="CommentReference"/>
                <w:rFonts w:ascii="Times New Roman" w:hAnsi="Times New Roman" w:cs="Times New Roman"/>
                <w:b/>
                <w:bCs/>
                <w:sz w:val="24"/>
                <w:szCs w:val="24"/>
              </w:rPr>
              <w:commentReference w:id="2"/>
            </w:r>
          </w:p>
        </w:tc>
        <w:tc>
          <w:tcPr>
            <w:tcW w:w="0" w:type="auto"/>
            <w:vAlign w:val="center"/>
            <w:hideMark/>
          </w:tcPr>
          <w:p w14:paraId="0BDCA862"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Valid records</w:t>
            </w:r>
          </w:p>
        </w:tc>
        <w:tc>
          <w:tcPr>
            <w:tcW w:w="0" w:type="auto"/>
            <w:vAlign w:val="center"/>
            <w:hideMark/>
          </w:tcPr>
          <w:p w14:paraId="2B346E1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Records above LIS ceiling</w:t>
            </w:r>
          </w:p>
        </w:tc>
        <w:tc>
          <w:tcPr>
            <w:tcW w:w="0" w:type="auto"/>
            <w:vAlign w:val="center"/>
            <w:hideMark/>
          </w:tcPr>
          <w:p w14:paraId="156FAAC4"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Weighted population share above ceiling</w:t>
            </w:r>
          </w:p>
        </w:tc>
        <w:tc>
          <w:tcPr>
            <w:tcW w:w="0" w:type="auto"/>
            <w:vAlign w:val="center"/>
            <w:hideMark/>
          </w:tcPr>
          <w:p w14:paraId="77F6EF3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Welfare share above ceiling</w:t>
            </w:r>
          </w:p>
        </w:tc>
        <w:tc>
          <w:tcPr>
            <w:tcW w:w="1131" w:type="dxa"/>
          </w:tcPr>
          <w:p w14:paraId="4807078C" w14:textId="43E9DD7F" w:rsidR="00A23D96" w:rsidRPr="002A5C5A" w:rsidRDefault="00BE0E98" w:rsidP="008D137F">
            <w:pPr>
              <w:jc w:val="center"/>
              <w:rPr>
                <w:rFonts w:ascii="Times New Roman" w:hAnsi="Times New Roman" w:cs="Times New Roman"/>
                <w:b/>
                <w:bCs/>
              </w:rPr>
            </w:pPr>
            <w:r>
              <w:rPr>
                <w:rFonts w:ascii="Times New Roman" w:hAnsi="Times New Roman" w:cs="Times New Roman"/>
                <w:b/>
                <w:bCs/>
              </w:rPr>
              <w:t>Welfare type</w:t>
            </w:r>
          </w:p>
        </w:tc>
      </w:tr>
      <w:tr w:rsidR="00A23D96" w:rsidRPr="002A5C5A" w14:paraId="5D7E7075" w14:textId="4B60FCAA" w:rsidTr="00A23D96">
        <w:trPr>
          <w:tblCellSpacing w:w="15" w:type="dxa"/>
          <w:jc w:val="center"/>
        </w:trPr>
        <w:tc>
          <w:tcPr>
            <w:tcW w:w="0" w:type="auto"/>
            <w:shd w:val="clear" w:color="auto" w:fill="DAE8F8"/>
            <w:vAlign w:val="center"/>
            <w:hideMark/>
          </w:tcPr>
          <w:p w14:paraId="52D66C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1997</w:t>
            </w:r>
          </w:p>
        </w:tc>
        <w:tc>
          <w:tcPr>
            <w:tcW w:w="0" w:type="auto"/>
            <w:shd w:val="clear" w:color="auto" w:fill="DAE8F8"/>
            <w:vAlign w:val="center"/>
            <w:hideMark/>
          </w:tcPr>
          <w:p w14:paraId="07183AC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10,698</w:t>
            </w:r>
          </w:p>
        </w:tc>
        <w:tc>
          <w:tcPr>
            <w:tcW w:w="0" w:type="auto"/>
            <w:shd w:val="clear" w:color="auto" w:fill="DAE8F8"/>
            <w:vAlign w:val="center"/>
            <w:hideMark/>
          </w:tcPr>
          <w:p w14:paraId="4793C36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59</w:t>
            </w:r>
          </w:p>
        </w:tc>
        <w:tc>
          <w:tcPr>
            <w:tcW w:w="0" w:type="auto"/>
            <w:shd w:val="clear" w:color="auto" w:fill="DAE8F8"/>
            <w:vAlign w:val="center"/>
            <w:hideMark/>
          </w:tcPr>
          <w:p w14:paraId="0ABB26F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0.435%</w:t>
            </w:r>
          </w:p>
        </w:tc>
        <w:tc>
          <w:tcPr>
            <w:tcW w:w="0" w:type="auto"/>
            <w:shd w:val="clear" w:color="auto" w:fill="DAE8F8"/>
            <w:vAlign w:val="center"/>
            <w:hideMark/>
          </w:tcPr>
          <w:p w14:paraId="48D2E3EA"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41.60%</w:t>
            </w:r>
          </w:p>
        </w:tc>
        <w:tc>
          <w:tcPr>
            <w:tcW w:w="1131" w:type="dxa"/>
            <w:shd w:val="clear" w:color="auto" w:fill="DAE8F8"/>
          </w:tcPr>
          <w:p w14:paraId="62C9E870" w14:textId="5E98A46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7F36448D" w14:textId="77161996" w:rsidTr="00A23D96">
        <w:trPr>
          <w:tblCellSpacing w:w="15" w:type="dxa"/>
          <w:jc w:val="center"/>
        </w:trPr>
        <w:tc>
          <w:tcPr>
            <w:tcW w:w="0" w:type="auto"/>
            <w:vAlign w:val="center"/>
            <w:hideMark/>
          </w:tcPr>
          <w:p w14:paraId="56AD1A4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2004</w:t>
            </w:r>
          </w:p>
        </w:tc>
        <w:tc>
          <w:tcPr>
            <w:tcW w:w="0" w:type="auto"/>
            <w:vAlign w:val="center"/>
            <w:hideMark/>
          </w:tcPr>
          <w:p w14:paraId="49D63DE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52,691</w:t>
            </w:r>
          </w:p>
        </w:tc>
        <w:tc>
          <w:tcPr>
            <w:tcW w:w="0" w:type="auto"/>
            <w:vAlign w:val="center"/>
            <w:hideMark/>
          </w:tcPr>
          <w:p w14:paraId="3B12C4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65</w:t>
            </w:r>
          </w:p>
        </w:tc>
        <w:tc>
          <w:tcPr>
            <w:tcW w:w="0" w:type="auto"/>
            <w:vAlign w:val="center"/>
            <w:hideMark/>
          </w:tcPr>
          <w:p w14:paraId="5A048CD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0.128%</w:t>
            </w:r>
          </w:p>
        </w:tc>
        <w:tc>
          <w:tcPr>
            <w:tcW w:w="0" w:type="auto"/>
            <w:vAlign w:val="center"/>
            <w:hideMark/>
          </w:tcPr>
          <w:p w14:paraId="7B9ADDA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2.24%</w:t>
            </w:r>
          </w:p>
        </w:tc>
        <w:tc>
          <w:tcPr>
            <w:tcW w:w="1131" w:type="dxa"/>
          </w:tcPr>
          <w:p w14:paraId="25E08F06" w14:textId="3B3B0B1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59448511" w14:textId="0A671C09" w:rsidTr="00A23D96">
        <w:trPr>
          <w:tblCellSpacing w:w="15" w:type="dxa"/>
          <w:jc w:val="center"/>
        </w:trPr>
        <w:tc>
          <w:tcPr>
            <w:tcW w:w="0" w:type="auto"/>
            <w:vAlign w:val="center"/>
            <w:hideMark/>
          </w:tcPr>
          <w:p w14:paraId="5FF0E3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2019</w:t>
            </w:r>
          </w:p>
        </w:tc>
        <w:tc>
          <w:tcPr>
            <w:tcW w:w="0" w:type="auto"/>
            <w:vAlign w:val="center"/>
            <w:hideMark/>
          </w:tcPr>
          <w:p w14:paraId="3749708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50,476</w:t>
            </w:r>
          </w:p>
        </w:tc>
        <w:tc>
          <w:tcPr>
            <w:tcW w:w="0" w:type="auto"/>
            <w:vAlign w:val="center"/>
            <w:hideMark/>
          </w:tcPr>
          <w:p w14:paraId="176F94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34</w:t>
            </w:r>
          </w:p>
        </w:tc>
        <w:tc>
          <w:tcPr>
            <w:tcW w:w="0" w:type="auto"/>
            <w:vAlign w:val="center"/>
            <w:hideMark/>
          </w:tcPr>
          <w:p w14:paraId="2E959DE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0.046%</w:t>
            </w:r>
          </w:p>
        </w:tc>
        <w:tc>
          <w:tcPr>
            <w:tcW w:w="0" w:type="auto"/>
            <w:vAlign w:val="center"/>
            <w:hideMark/>
          </w:tcPr>
          <w:p w14:paraId="3CD883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1.20%</w:t>
            </w:r>
          </w:p>
        </w:tc>
        <w:tc>
          <w:tcPr>
            <w:tcW w:w="1131" w:type="dxa"/>
          </w:tcPr>
          <w:p w14:paraId="30AB4B1B" w14:textId="72CBD48D"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6A07BE7C" w14:textId="6F505101" w:rsidTr="00A23D96">
        <w:trPr>
          <w:tblCellSpacing w:w="15" w:type="dxa"/>
          <w:jc w:val="center"/>
        </w:trPr>
        <w:tc>
          <w:tcPr>
            <w:tcW w:w="0" w:type="auto"/>
            <w:shd w:val="clear" w:color="auto" w:fill="DAE8F8"/>
            <w:vAlign w:val="center"/>
            <w:hideMark/>
          </w:tcPr>
          <w:p w14:paraId="34B1CF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1993</w:t>
            </w:r>
          </w:p>
        </w:tc>
        <w:tc>
          <w:tcPr>
            <w:tcW w:w="0" w:type="auto"/>
            <w:shd w:val="clear" w:color="auto" w:fill="DAE8F8"/>
            <w:vAlign w:val="center"/>
            <w:hideMark/>
          </w:tcPr>
          <w:p w14:paraId="24675C5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9,097</w:t>
            </w:r>
          </w:p>
        </w:tc>
        <w:tc>
          <w:tcPr>
            <w:tcW w:w="0" w:type="auto"/>
            <w:shd w:val="clear" w:color="auto" w:fill="DAE8F8"/>
            <w:vAlign w:val="center"/>
            <w:hideMark/>
          </w:tcPr>
          <w:p w14:paraId="2C4ECDB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w:t>
            </w:r>
          </w:p>
        </w:tc>
        <w:tc>
          <w:tcPr>
            <w:tcW w:w="0" w:type="auto"/>
            <w:shd w:val="clear" w:color="auto" w:fill="DAE8F8"/>
            <w:vAlign w:val="center"/>
            <w:hideMark/>
          </w:tcPr>
          <w:p w14:paraId="6636202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0.246%</w:t>
            </w:r>
          </w:p>
        </w:tc>
        <w:tc>
          <w:tcPr>
            <w:tcW w:w="0" w:type="auto"/>
            <w:shd w:val="clear" w:color="auto" w:fill="DAE8F8"/>
            <w:vAlign w:val="center"/>
            <w:hideMark/>
          </w:tcPr>
          <w:p w14:paraId="457D112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20.09%</w:t>
            </w:r>
          </w:p>
        </w:tc>
        <w:tc>
          <w:tcPr>
            <w:tcW w:w="1131" w:type="dxa"/>
            <w:shd w:val="clear" w:color="auto" w:fill="DAE8F8"/>
          </w:tcPr>
          <w:p w14:paraId="77409908" w14:textId="2319AE5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36A5AC68" w14:textId="7B02241A" w:rsidTr="00A23D96">
        <w:trPr>
          <w:tblCellSpacing w:w="15" w:type="dxa"/>
          <w:jc w:val="center"/>
        </w:trPr>
        <w:tc>
          <w:tcPr>
            <w:tcW w:w="0" w:type="auto"/>
            <w:shd w:val="clear" w:color="auto" w:fill="DAE8F8"/>
            <w:vAlign w:val="center"/>
            <w:hideMark/>
          </w:tcPr>
          <w:p w14:paraId="4623998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1997</w:t>
            </w:r>
          </w:p>
        </w:tc>
        <w:tc>
          <w:tcPr>
            <w:tcW w:w="0" w:type="auto"/>
            <w:shd w:val="clear" w:color="auto" w:fill="DAE8F8"/>
            <w:vAlign w:val="center"/>
            <w:hideMark/>
          </w:tcPr>
          <w:p w14:paraId="5EC59AE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10,122</w:t>
            </w:r>
          </w:p>
        </w:tc>
        <w:tc>
          <w:tcPr>
            <w:tcW w:w="0" w:type="auto"/>
            <w:shd w:val="clear" w:color="auto" w:fill="DAE8F8"/>
            <w:vAlign w:val="center"/>
            <w:hideMark/>
          </w:tcPr>
          <w:p w14:paraId="5DD42EA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11</w:t>
            </w:r>
          </w:p>
        </w:tc>
        <w:tc>
          <w:tcPr>
            <w:tcW w:w="0" w:type="auto"/>
            <w:shd w:val="clear" w:color="auto" w:fill="DAE8F8"/>
            <w:vAlign w:val="center"/>
            <w:hideMark/>
          </w:tcPr>
          <w:p w14:paraId="300E0F3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0.114%</w:t>
            </w:r>
          </w:p>
        </w:tc>
        <w:tc>
          <w:tcPr>
            <w:tcW w:w="0" w:type="auto"/>
            <w:shd w:val="clear" w:color="auto" w:fill="DAE8F8"/>
            <w:vAlign w:val="center"/>
            <w:hideMark/>
          </w:tcPr>
          <w:p w14:paraId="2669747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18.24%</w:t>
            </w:r>
          </w:p>
        </w:tc>
        <w:tc>
          <w:tcPr>
            <w:tcW w:w="1131" w:type="dxa"/>
            <w:shd w:val="clear" w:color="auto" w:fill="DAE8F8"/>
          </w:tcPr>
          <w:p w14:paraId="1C2FF2E8" w14:textId="52B857C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2809F54E" w14:textId="2F6B037C" w:rsidTr="00A23D96">
        <w:trPr>
          <w:tblCellSpacing w:w="15" w:type="dxa"/>
          <w:jc w:val="center"/>
        </w:trPr>
        <w:tc>
          <w:tcPr>
            <w:tcW w:w="0" w:type="auto"/>
            <w:vAlign w:val="center"/>
            <w:hideMark/>
          </w:tcPr>
          <w:p w14:paraId="0CD3ED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2000</w:t>
            </w:r>
          </w:p>
        </w:tc>
        <w:tc>
          <w:tcPr>
            <w:tcW w:w="0" w:type="auto"/>
            <w:vAlign w:val="center"/>
            <w:hideMark/>
          </w:tcPr>
          <w:p w14:paraId="395C206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10,100</w:t>
            </w:r>
          </w:p>
        </w:tc>
        <w:tc>
          <w:tcPr>
            <w:tcW w:w="0" w:type="auto"/>
            <w:vAlign w:val="center"/>
            <w:hideMark/>
          </w:tcPr>
          <w:p w14:paraId="1E54C25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34AFC3F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0.010%</w:t>
            </w:r>
          </w:p>
        </w:tc>
        <w:tc>
          <w:tcPr>
            <w:tcW w:w="0" w:type="auto"/>
            <w:vAlign w:val="center"/>
            <w:hideMark/>
          </w:tcPr>
          <w:p w14:paraId="55FEB8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0.80%</w:t>
            </w:r>
          </w:p>
        </w:tc>
        <w:tc>
          <w:tcPr>
            <w:tcW w:w="1131" w:type="dxa"/>
          </w:tcPr>
          <w:p w14:paraId="37718237" w14:textId="036553A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4370A" w14:textId="787BD718" w:rsidTr="00A23D96">
        <w:trPr>
          <w:tblCellSpacing w:w="15" w:type="dxa"/>
          <w:jc w:val="center"/>
        </w:trPr>
        <w:tc>
          <w:tcPr>
            <w:tcW w:w="0" w:type="auto"/>
            <w:vAlign w:val="center"/>
            <w:hideMark/>
          </w:tcPr>
          <w:p w14:paraId="21147F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2008</w:t>
            </w:r>
          </w:p>
        </w:tc>
        <w:tc>
          <w:tcPr>
            <w:tcW w:w="0" w:type="auto"/>
            <w:vAlign w:val="center"/>
            <w:hideMark/>
          </w:tcPr>
          <w:p w14:paraId="2A6E831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45,398</w:t>
            </w:r>
          </w:p>
        </w:tc>
        <w:tc>
          <w:tcPr>
            <w:tcW w:w="0" w:type="auto"/>
            <w:vAlign w:val="center"/>
            <w:hideMark/>
          </w:tcPr>
          <w:p w14:paraId="6CA6EF2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5B318C0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0.004%</w:t>
            </w:r>
          </w:p>
        </w:tc>
        <w:tc>
          <w:tcPr>
            <w:tcW w:w="0" w:type="auto"/>
            <w:vAlign w:val="center"/>
            <w:hideMark/>
          </w:tcPr>
          <w:p w14:paraId="16D6A35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w:t>
            </w:r>
          </w:p>
        </w:tc>
        <w:tc>
          <w:tcPr>
            <w:tcW w:w="1131" w:type="dxa"/>
          </w:tcPr>
          <w:p w14:paraId="41F7B8F1" w14:textId="1AB33A9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94728AD" w14:textId="399DF094" w:rsidTr="00A23D96">
        <w:trPr>
          <w:tblCellSpacing w:w="15" w:type="dxa"/>
          <w:jc w:val="center"/>
        </w:trPr>
        <w:tc>
          <w:tcPr>
            <w:tcW w:w="0" w:type="auto"/>
            <w:vAlign w:val="center"/>
            <w:hideMark/>
          </w:tcPr>
          <w:p w14:paraId="2B00419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Ecuador 2006</w:t>
            </w:r>
          </w:p>
        </w:tc>
        <w:tc>
          <w:tcPr>
            <w:tcW w:w="0" w:type="auto"/>
            <w:vAlign w:val="center"/>
            <w:hideMark/>
          </w:tcPr>
          <w:p w14:paraId="43E118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77,636</w:t>
            </w:r>
          </w:p>
        </w:tc>
        <w:tc>
          <w:tcPr>
            <w:tcW w:w="0" w:type="auto"/>
            <w:vAlign w:val="center"/>
            <w:hideMark/>
          </w:tcPr>
          <w:p w14:paraId="2D6AF86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w:t>
            </w:r>
          </w:p>
        </w:tc>
        <w:tc>
          <w:tcPr>
            <w:tcW w:w="0" w:type="auto"/>
            <w:vAlign w:val="center"/>
            <w:hideMark/>
          </w:tcPr>
          <w:p w14:paraId="7BC976D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0.009%</w:t>
            </w:r>
          </w:p>
        </w:tc>
        <w:tc>
          <w:tcPr>
            <w:tcW w:w="0" w:type="auto"/>
            <w:vAlign w:val="center"/>
            <w:hideMark/>
          </w:tcPr>
          <w:p w14:paraId="7AE1F37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3.77%</w:t>
            </w:r>
          </w:p>
        </w:tc>
        <w:tc>
          <w:tcPr>
            <w:tcW w:w="1131" w:type="dxa"/>
          </w:tcPr>
          <w:p w14:paraId="7B23247F" w14:textId="27D96005" w:rsidR="00A23D96" w:rsidRPr="002A5C5A" w:rsidRDefault="001F61FD" w:rsidP="008D137F">
            <w:pPr>
              <w:jc w:val="center"/>
              <w:rPr>
                <w:rFonts w:ascii="Times New Roman" w:hAnsi="Times New Roman" w:cs="Times New Roman"/>
              </w:rPr>
            </w:pPr>
            <w:r>
              <w:rPr>
                <w:rFonts w:ascii="Times New Roman" w:hAnsi="Times New Roman" w:cs="Times New Roman"/>
              </w:rPr>
              <w:t>Income</w:t>
            </w:r>
          </w:p>
        </w:tc>
      </w:tr>
      <w:tr w:rsidR="00A23D96" w:rsidRPr="002A5C5A" w14:paraId="03066AF4" w14:textId="110E65CC" w:rsidTr="00A23D96">
        <w:trPr>
          <w:tblCellSpacing w:w="15" w:type="dxa"/>
          <w:jc w:val="center"/>
        </w:trPr>
        <w:tc>
          <w:tcPr>
            <w:tcW w:w="0" w:type="auto"/>
            <w:vAlign w:val="center"/>
            <w:hideMark/>
          </w:tcPr>
          <w:p w14:paraId="49F0511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lastRenderedPageBreak/>
              <w:t>Seychelles 1999</w:t>
            </w:r>
          </w:p>
        </w:tc>
        <w:tc>
          <w:tcPr>
            <w:tcW w:w="0" w:type="auto"/>
            <w:vAlign w:val="center"/>
            <w:hideMark/>
          </w:tcPr>
          <w:p w14:paraId="2363837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813</w:t>
            </w:r>
          </w:p>
        </w:tc>
        <w:tc>
          <w:tcPr>
            <w:tcW w:w="0" w:type="auto"/>
            <w:vAlign w:val="center"/>
            <w:hideMark/>
          </w:tcPr>
          <w:p w14:paraId="3BB781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w:t>
            </w:r>
          </w:p>
        </w:tc>
        <w:tc>
          <w:tcPr>
            <w:tcW w:w="0" w:type="auto"/>
            <w:vAlign w:val="center"/>
            <w:hideMark/>
          </w:tcPr>
          <w:p w14:paraId="09F24B8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0.152%</w:t>
            </w:r>
          </w:p>
        </w:tc>
        <w:tc>
          <w:tcPr>
            <w:tcW w:w="0" w:type="auto"/>
            <w:vAlign w:val="center"/>
            <w:hideMark/>
          </w:tcPr>
          <w:p w14:paraId="2F48483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4.34%</w:t>
            </w:r>
          </w:p>
        </w:tc>
        <w:tc>
          <w:tcPr>
            <w:tcW w:w="1131" w:type="dxa"/>
          </w:tcPr>
          <w:p w14:paraId="7063F409" w14:textId="52B2368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56EF9" w14:textId="764595A2" w:rsidTr="00A23D96">
        <w:trPr>
          <w:tblCellSpacing w:w="15" w:type="dxa"/>
          <w:jc w:val="center"/>
        </w:trPr>
        <w:tc>
          <w:tcPr>
            <w:tcW w:w="0" w:type="auto"/>
            <w:vAlign w:val="center"/>
            <w:hideMark/>
          </w:tcPr>
          <w:p w14:paraId="2841BC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Zimbabwe 2019</w:t>
            </w:r>
          </w:p>
        </w:tc>
        <w:tc>
          <w:tcPr>
            <w:tcW w:w="0" w:type="auto"/>
            <w:vAlign w:val="center"/>
            <w:hideMark/>
          </w:tcPr>
          <w:p w14:paraId="7CE48F6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987,700</w:t>
            </w:r>
          </w:p>
        </w:tc>
        <w:tc>
          <w:tcPr>
            <w:tcW w:w="0" w:type="auto"/>
            <w:vAlign w:val="center"/>
            <w:hideMark/>
          </w:tcPr>
          <w:p w14:paraId="675D91A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72</w:t>
            </w:r>
          </w:p>
        </w:tc>
        <w:tc>
          <w:tcPr>
            <w:tcW w:w="0" w:type="auto"/>
            <w:vAlign w:val="center"/>
            <w:hideMark/>
          </w:tcPr>
          <w:p w14:paraId="0BA9484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0.013%</w:t>
            </w:r>
          </w:p>
        </w:tc>
        <w:tc>
          <w:tcPr>
            <w:tcW w:w="0" w:type="auto"/>
            <w:vAlign w:val="center"/>
            <w:hideMark/>
          </w:tcPr>
          <w:p w14:paraId="78467D6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0.54%</w:t>
            </w:r>
          </w:p>
        </w:tc>
        <w:tc>
          <w:tcPr>
            <w:tcW w:w="1131" w:type="dxa"/>
          </w:tcPr>
          <w:p w14:paraId="668A5E9C" w14:textId="2F62CD8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bl>
    <w:p w14:paraId="4ACF968F" w14:textId="33812EF3" w:rsidR="00190D92" w:rsidRPr="002A5C5A" w:rsidRDefault="00190D92" w:rsidP="00587C8E">
      <w:pPr>
        <w:rPr>
          <w:rFonts w:ascii="Times New Roman" w:hAnsi="Times New Roman" w:cs="Times New Roman"/>
        </w:rPr>
      </w:pPr>
      <w:r w:rsidRPr="00190D92">
        <w:rPr>
          <w:rFonts w:ascii="Times New Roman" w:hAnsi="Times New Roman" w:cs="Times New Roman"/>
        </w:rPr>
        <w:t>These results are a screening exercise: observations above the LIS ceiling are candidates for review, not automatically invalid records.</w:t>
      </w:r>
    </w:p>
    <w:p w14:paraId="59BF13DB" w14:textId="3814AB42"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The initial screening suggests that Malawi 1997 and the two Belize surveys are particularly useful case studies, because a very </w:t>
      </w:r>
      <w:r w:rsidR="001D1D49" w:rsidRPr="002A5C5A">
        <w:rPr>
          <w:rFonts w:ascii="Times New Roman" w:hAnsi="Times New Roman" w:cs="Times New Roman"/>
        </w:rPr>
        <w:t>small weighted</w:t>
      </w:r>
      <w:r w:rsidRPr="002A5C5A">
        <w:rPr>
          <w:rFonts w:ascii="Times New Roman" w:hAnsi="Times New Roman" w:cs="Times New Roman"/>
        </w:rPr>
        <w:t xml:space="preserve"> population share above the LIS ceiling accounts for a relatively large share of total welfare.</w:t>
      </w:r>
    </w:p>
    <w:p w14:paraId="1269AAC1"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For Malawi 1997, the LIS ceiling is 48.57 PPP USD per person per day. The 59 observations above this threshold represent only 0.43% of the weighted population but account for 41.6% of total welfare. I fitted a Pareto distribution to the upper tail and found that the two largest values are especially inconsistent with the fitted tail. I then compared several treatments: no adjustment, trimming, winsorizing, LIS top-coding, and robust Pareto-based approaches. All approaches substantially reduce the influence of the upper tail on the mean and inequality measures, while poverty estimates remain essentially unchanged.</w:t>
      </w:r>
    </w:p>
    <w:p w14:paraId="7AC85AB1" w14:textId="77777777" w:rsidR="00587C8E" w:rsidRPr="002A5C5A" w:rsidRDefault="00587C8E" w:rsidP="00587C8E">
      <w:pPr>
        <w:rPr>
          <w:rFonts w:ascii="Times New Roman" w:hAnsi="Times New Roman" w:cs="Times New Roman"/>
        </w:rPr>
      </w:pPr>
      <w:r w:rsidRPr="19987528">
        <w:rPr>
          <w:rFonts w:ascii="Times New Roman" w:hAnsi="Times New Roman" w:cs="Times New Roman"/>
        </w:rPr>
        <w:t>For Belize 1993 and Belize 1997, the pattern is similar but less extreme. The observations above the LIS ceiling account for around 20% and 18% of total welfare, respectively. The Pareto diagnostics suggest that the upper tail in Belize 1997 is particularly irregular, with the two highest values deviating strongly from the fitted Pareto pattern.</w:t>
      </w:r>
    </w:p>
    <w:p w14:paraId="7159D3BE" w14:textId="614983E1" w:rsidR="009B4BB0" w:rsidRPr="002D11A0" w:rsidRDefault="002D11A0" w:rsidP="00587C8E">
      <w:pPr>
        <w:rPr>
          <w:rFonts w:ascii="Times New Roman" w:hAnsi="Times New Roman" w:cs="Times New Roman"/>
          <w:b/>
          <w:bCs/>
        </w:rPr>
      </w:pPr>
      <w:r w:rsidRPr="002D11A0">
        <w:rPr>
          <w:rFonts w:ascii="Times New Roman" w:hAnsi="Times New Roman" w:cs="Times New Roman"/>
          <w:b/>
          <w:bCs/>
        </w:rPr>
        <w:t>Table 1. Upper-tail screening and Pareto diagnostics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59"/>
        <w:gridCol w:w="984"/>
        <w:gridCol w:w="1652"/>
        <w:gridCol w:w="1260"/>
        <w:gridCol w:w="1596"/>
        <w:gridCol w:w="1605"/>
        <w:gridCol w:w="1294"/>
      </w:tblGrid>
      <w:tr w:rsidR="009B4BB0" w:rsidRPr="009B4BB0" w14:paraId="673F6C17" w14:textId="77777777" w:rsidTr="19987528">
        <w:trPr>
          <w:tblHeader/>
          <w:tblCellSpacing w:w="15" w:type="dxa"/>
        </w:trPr>
        <w:tc>
          <w:tcPr>
            <w:tcW w:w="0" w:type="auto"/>
            <w:vAlign w:val="center"/>
            <w:hideMark/>
          </w:tcPr>
          <w:p w14:paraId="0495E388"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Survey</w:t>
            </w:r>
          </w:p>
        </w:tc>
        <w:tc>
          <w:tcPr>
            <w:tcW w:w="0" w:type="auto"/>
            <w:vAlign w:val="center"/>
            <w:hideMark/>
          </w:tcPr>
          <w:p w14:paraId="054679D4"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Valid records</w:t>
            </w:r>
          </w:p>
        </w:tc>
        <w:tc>
          <w:tcPr>
            <w:tcW w:w="0" w:type="auto"/>
            <w:vAlign w:val="center"/>
            <w:hideMark/>
          </w:tcPr>
          <w:p w14:paraId="7BBC6DF0"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LIS ceiling (2021 PPP USD/day)</w:t>
            </w:r>
          </w:p>
        </w:tc>
        <w:tc>
          <w:tcPr>
            <w:tcW w:w="0" w:type="auto"/>
            <w:vAlign w:val="center"/>
            <w:hideMark/>
          </w:tcPr>
          <w:p w14:paraId="06D28BAC"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Records above ceiling</w:t>
            </w:r>
          </w:p>
        </w:tc>
        <w:tc>
          <w:tcPr>
            <w:tcW w:w="0" w:type="auto"/>
            <w:vAlign w:val="center"/>
            <w:hideMark/>
          </w:tcPr>
          <w:p w14:paraId="56450625"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Weighted population share</w:t>
            </w:r>
          </w:p>
        </w:tc>
        <w:tc>
          <w:tcPr>
            <w:tcW w:w="0" w:type="auto"/>
            <w:vAlign w:val="center"/>
            <w:hideMark/>
          </w:tcPr>
          <w:p w14:paraId="3109B047"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Welfare share held by these records</w:t>
            </w:r>
          </w:p>
        </w:tc>
        <w:tc>
          <w:tcPr>
            <w:tcW w:w="0" w:type="auto"/>
            <w:vAlign w:val="center"/>
            <w:hideMark/>
          </w:tcPr>
          <w:p w14:paraId="5BBC70C7" w14:textId="77777777" w:rsidR="009B4BB0" w:rsidRPr="009B4BB0" w:rsidRDefault="66742BD9" w:rsidP="009B4BB0">
            <w:pPr>
              <w:rPr>
                <w:rFonts w:ascii="Times New Roman" w:hAnsi="Times New Roman" w:cs="Times New Roman"/>
                <w:b/>
                <w:bCs/>
              </w:rPr>
            </w:pPr>
            <w:commentRangeStart w:id="3"/>
            <w:r w:rsidRPr="19987528">
              <w:rPr>
                <w:rFonts w:ascii="Times New Roman" w:hAnsi="Times New Roman" w:cs="Times New Roman"/>
                <w:b/>
                <w:bCs/>
              </w:rPr>
              <w:t xml:space="preserve">Pareto </w:t>
            </w:r>
            <w:commentRangeEnd w:id="3"/>
            <w:r w:rsidR="009B4BB0" w:rsidRPr="19987528">
              <w:rPr>
                <w:rStyle w:val="CommentReference"/>
                <w:rFonts w:ascii="Times New Roman" w:hAnsi="Times New Roman" w:cs="Times New Roman"/>
                <w:b/>
                <w:bCs/>
                <w:sz w:val="24"/>
                <w:szCs w:val="24"/>
              </w:rPr>
              <w:commentReference w:id="3"/>
            </w:r>
            <w:r w:rsidRPr="19987528">
              <w:rPr>
                <w:rFonts w:ascii="Times New Roman" w:hAnsi="Times New Roman" w:cs="Times New Roman"/>
                <w:b/>
                <w:bCs/>
              </w:rPr>
              <w:t>α (fitted above p90)</w:t>
            </w:r>
          </w:p>
        </w:tc>
      </w:tr>
      <w:tr w:rsidR="009B4BB0" w:rsidRPr="009B4BB0" w14:paraId="3DC3587D" w14:textId="77777777" w:rsidTr="19987528">
        <w:trPr>
          <w:tblCellSpacing w:w="15" w:type="dxa"/>
        </w:trPr>
        <w:tc>
          <w:tcPr>
            <w:tcW w:w="0" w:type="auto"/>
            <w:vAlign w:val="center"/>
            <w:hideMark/>
          </w:tcPr>
          <w:p w14:paraId="07229A7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Malawi 1997</w:t>
            </w:r>
          </w:p>
        </w:tc>
        <w:tc>
          <w:tcPr>
            <w:tcW w:w="0" w:type="auto"/>
            <w:vAlign w:val="center"/>
            <w:hideMark/>
          </w:tcPr>
          <w:p w14:paraId="558D184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10,698</w:t>
            </w:r>
          </w:p>
        </w:tc>
        <w:tc>
          <w:tcPr>
            <w:tcW w:w="0" w:type="auto"/>
            <w:vAlign w:val="center"/>
            <w:hideMark/>
          </w:tcPr>
          <w:p w14:paraId="20E9537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48.57</w:t>
            </w:r>
          </w:p>
        </w:tc>
        <w:tc>
          <w:tcPr>
            <w:tcW w:w="0" w:type="auto"/>
            <w:vAlign w:val="center"/>
            <w:hideMark/>
          </w:tcPr>
          <w:p w14:paraId="3233660E"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59</w:t>
            </w:r>
          </w:p>
        </w:tc>
        <w:tc>
          <w:tcPr>
            <w:tcW w:w="0" w:type="auto"/>
            <w:vAlign w:val="center"/>
            <w:hideMark/>
          </w:tcPr>
          <w:p w14:paraId="78DEE38D"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0.435%</w:t>
            </w:r>
          </w:p>
        </w:tc>
        <w:tc>
          <w:tcPr>
            <w:tcW w:w="0" w:type="auto"/>
            <w:vAlign w:val="center"/>
            <w:hideMark/>
          </w:tcPr>
          <w:p w14:paraId="19CC887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41.60%</w:t>
            </w:r>
          </w:p>
        </w:tc>
        <w:tc>
          <w:tcPr>
            <w:tcW w:w="0" w:type="auto"/>
            <w:vAlign w:val="center"/>
            <w:hideMark/>
          </w:tcPr>
          <w:p w14:paraId="569C1AF7"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1.61</w:t>
            </w:r>
          </w:p>
        </w:tc>
      </w:tr>
      <w:tr w:rsidR="009B4BB0" w:rsidRPr="009B4BB0" w14:paraId="7634785F" w14:textId="77777777" w:rsidTr="19987528">
        <w:trPr>
          <w:tblCellSpacing w:w="15" w:type="dxa"/>
        </w:trPr>
        <w:tc>
          <w:tcPr>
            <w:tcW w:w="0" w:type="auto"/>
            <w:vAlign w:val="center"/>
            <w:hideMark/>
          </w:tcPr>
          <w:p w14:paraId="0A267653"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1993</w:t>
            </w:r>
          </w:p>
        </w:tc>
        <w:tc>
          <w:tcPr>
            <w:tcW w:w="0" w:type="auto"/>
            <w:vAlign w:val="center"/>
            <w:hideMark/>
          </w:tcPr>
          <w:p w14:paraId="00960980"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9,097</w:t>
            </w:r>
          </w:p>
        </w:tc>
        <w:tc>
          <w:tcPr>
            <w:tcW w:w="0" w:type="auto"/>
            <w:vAlign w:val="center"/>
            <w:hideMark/>
          </w:tcPr>
          <w:p w14:paraId="16F7219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353.80</w:t>
            </w:r>
          </w:p>
        </w:tc>
        <w:tc>
          <w:tcPr>
            <w:tcW w:w="0" w:type="auto"/>
            <w:vAlign w:val="center"/>
            <w:hideMark/>
          </w:tcPr>
          <w:p w14:paraId="21D01FCF"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22</w:t>
            </w:r>
          </w:p>
        </w:tc>
        <w:tc>
          <w:tcPr>
            <w:tcW w:w="0" w:type="auto"/>
            <w:vAlign w:val="center"/>
            <w:hideMark/>
          </w:tcPr>
          <w:p w14:paraId="4860FC8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0.246%</w:t>
            </w:r>
          </w:p>
        </w:tc>
        <w:tc>
          <w:tcPr>
            <w:tcW w:w="0" w:type="auto"/>
            <w:vAlign w:val="center"/>
            <w:hideMark/>
          </w:tcPr>
          <w:p w14:paraId="4BC4FC0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20.09%</w:t>
            </w:r>
          </w:p>
        </w:tc>
        <w:tc>
          <w:tcPr>
            <w:tcW w:w="0" w:type="auto"/>
            <w:vAlign w:val="center"/>
            <w:hideMark/>
          </w:tcPr>
          <w:p w14:paraId="5F05A26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1.81</w:t>
            </w:r>
          </w:p>
        </w:tc>
      </w:tr>
      <w:tr w:rsidR="009B4BB0" w:rsidRPr="009B4BB0" w14:paraId="14EBDB94" w14:textId="77777777" w:rsidTr="19987528">
        <w:trPr>
          <w:tblCellSpacing w:w="15" w:type="dxa"/>
        </w:trPr>
        <w:tc>
          <w:tcPr>
            <w:tcW w:w="0" w:type="auto"/>
            <w:vAlign w:val="center"/>
            <w:hideMark/>
          </w:tcPr>
          <w:p w14:paraId="55FAD9BC"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1997</w:t>
            </w:r>
          </w:p>
        </w:tc>
        <w:tc>
          <w:tcPr>
            <w:tcW w:w="0" w:type="auto"/>
            <w:vAlign w:val="center"/>
            <w:hideMark/>
          </w:tcPr>
          <w:p w14:paraId="137FD9A4"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10,122</w:t>
            </w:r>
          </w:p>
        </w:tc>
        <w:tc>
          <w:tcPr>
            <w:tcW w:w="0" w:type="auto"/>
            <w:vAlign w:val="center"/>
            <w:hideMark/>
          </w:tcPr>
          <w:p w14:paraId="2ACD21FA"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360.08</w:t>
            </w:r>
          </w:p>
        </w:tc>
        <w:tc>
          <w:tcPr>
            <w:tcW w:w="0" w:type="auto"/>
            <w:vAlign w:val="center"/>
            <w:hideMark/>
          </w:tcPr>
          <w:p w14:paraId="1A9D2C8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11</w:t>
            </w:r>
          </w:p>
        </w:tc>
        <w:tc>
          <w:tcPr>
            <w:tcW w:w="0" w:type="auto"/>
            <w:vAlign w:val="center"/>
            <w:hideMark/>
          </w:tcPr>
          <w:p w14:paraId="1AC2973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0.114%</w:t>
            </w:r>
          </w:p>
        </w:tc>
        <w:tc>
          <w:tcPr>
            <w:tcW w:w="0" w:type="auto"/>
            <w:vAlign w:val="center"/>
            <w:hideMark/>
          </w:tcPr>
          <w:p w14:paraId="363077E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18.24%</w:t>
            </w:r>
          </w:p>
        </w:tc>
        <w:tc>
          <w:tcPr>
            <w:tcW w:w="0" w:type="auto"/>
            <w:vAlign w:val="center"/>
            <w:hideMark/>
          </w:tcPr>
          <w:p w14:paraId="7C744E46"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w:t>
            </w:r>
          </w:p>
        </w:tc>
      </w:tr>
    </w:tbl>
    <w:p w14:paraId="038DF440" w14:textId="77777777" w:rsidR="00E33FC0" w:rsidRDefault="00E33FC0" w:rsidP="00587C8E">
      <w:pPr>
        <w:rPr>
          <w:rFonts w:ascii="Times New Roman" w:hAnsi="Times New Roman" w:cs="Times New Roman"/>
          <w:lang w:val="es-CL"/>
        </w:rPr>
      </w:pPr>
    </w:p>
    <w:p w14:paraId="0A0C3800" w14:textId="233883BE" w:rsidR="00D71559" w:rsidRPr="00DA42BC" w:rsidRDefault="002D11A0" w:rsidP="0029361C">
      <w:pPr>
        <w:rPr>
          <w:rFonts w:ascii="Times New Roman" w:hAnsi="Times New Roman" w:cs="Times New Roman"/>
          <w:b/>
          <w:bCs/>
        </w:rPr>
      </w:pPr>
      <w:r w:rsidRPr="00DA42BC">
        <w:rPr>
          <w:rFonts w:ascii="Times New Roman" w:hAnsi="Times New Roman" w:cs="Times New Roman"/>
          <w:b/>
          <w:bCs/>
        </w:rPr>
        <w:t>Table 2. Malawi 1997: sensitivity to the two most extreme welfare value</w:t>
      </w:r>
      <w:r w:rsidR="0029361C" w:rsidRPr="00DA42BC">
        <w:rPr>
          <w:rFonts w:ascii="Times New Roman" w:hAnsi="Times New Roman" w:cs="Times New Roman"/>
          <w:b/>
          <w:bCs/>
        </w:rPr>
        <w: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52"/>
        <w:gridCol w:w="1441"/>
        <w:gridCol w:w="3408"/>
        <w:gridCol w:w="1994"/>
      </w:tblGrid>
      <w:tr w:rsidR="0029361C" w:rsidRPr="0029361C" w14:paraId="292C6FB0" w14:textId="77777777" w:rsidTr="19987528">
        <w:trPr>
          <w:tblHeader/>
          <w:tblCellSpacing w:w="15" w:type="dxa"/>
        </w:trPr>
        <w:tc>
          <w:tcPr>
            <w:tcW w:w="0" w:type="auto"/>
            <w:vAlign w:val="center"/>
            <w:hideMark/>
          </w:tcPr>
          <w:p w14:paraId="4785B010"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Indicator</w:t>
            </w:r>
          </w:p>
        </w:tc>
        <w:tc>
          <w:tcPr>
            <w:tcW w:w="0" w:type="auto"/>
            <w:vAlign w:val="center"/>
            <w:hideMark/>
          </w:tcPr>
          <w:p w14:paraId="6EC04095"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Original data</w:t>
            </w:r>
          </w:p>
        </w:tc>
        <w:tc>
          <w:tcPr>
            <w:tcW w:w="0" w:type="auto"/>
            <w:vAlign w:val="center"/>
            <w:hideMark/>
          </w:tcPr>
          <w:p w14:paraId="607A8E1C"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Excluding the two highest values</w:t>
            </w:r>
          </w:p>
        </w:tc>
        <w:tc>
          <w:tcPr>
            <w:tcW w:w="0" w:type="auto"/>
            <w:vAlign w:val="center"/>
            <w:hideMark/>
          </w:tcPr>
          <w:p w14:paraId="58AABD49"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Percentage change</w:t>
            </w:r>
          </w:p>
        </w:tc>
      </w:tr>
      <w:tr w:rsidR="0029361C" w:rsidRPr="0029361C" w14:paraId="092F82C4" w14:textId="77777777" w:rsidTr="19987528">
        <w:trPr>
          <w:tblCellSpacing w:w="15" w:type="dxa"/>
        </w:trPr>
        <w:tc>
          <w:tcPr>
            <w:tcW w:w="0" w:type="auto"/>
            <w:vAlign w:val="center"/>
            <w:hideMark/>
          </w:tcPr>
          <w:p w14:paraId="28C5886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Weighted mean</w:t>
            </w:r>
          </w:p>
        </w:tc>
        <w:tc>
          <w:tcPr>
            <w:tcW w:w="0" w:type="auto"/>
            <w:vAlign w:val="center"/>
            <w:hideMark/>
          </w:tcPr>
          <w:p w14:paraId="3D0FC7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5.780</w:t>
            </w:r>
          </w:p>
        </w:tc>
        <w:tc>
          <w:tcPr>
            <w:tcW w:w="0" w:type="auto"/>
            <w:vAlign w:val="center"/>
            <w:hideMark/>
          </w:tcPr>
          <w:p w14:paraId="216402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3.800</w:t>
            </w:r>
          </w:p>
        </w:tc>
        <w:tc>
          <w:tcPr>
            <w:tcW w:w="0" w:type="auto"/>
            <w:vAlign w:val="center"/>
            <w:hideMark/>
          </w:tcPr>
          <w:p w14:paraId="14BF47BB"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−34.26%</w:t>
            </w:r>
          </w:p>
        </w:tc>
      </w:tr>
      <w:tr w:rsidR="0029361C" w:rsidRPr="0029361C" w14:paraId="21743009" w14:textId="77777777" w:rsidTr="19987528">
        <w:trPr>
          <w:tblCellSpacing w:w="15" w:type="dxa"/>
        </w:trPr>
        <w:tc>
          <w:tcPr>
            <w:tcW w:w="0" w:type="auto"/>
            <w:vAlign w:val="center"/>
            <w:hideMark/>
          </w:tcPr>
          <w:p w14:paraId="7EB844A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Gini</w:t>
            </w:r>
          </w:p>
        </w:tc>
        <w:tc>
          <w:tcPr>
            <w:tcW w:w="0" w:type="auto"/>
            <w:vAlign w:val="center"/>
            <w:hideMark/>
          </w:tcPr>
          <w:p w14:paraId="7E2EEEB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0.658</w:t>
            </w:r>
          </w:p>
        </w:tc>
        <w:tc>
          <w:tcPr>
            <w:tcW w:w="0" w:type="auto"/>
            <w:vAlign w:val="center"/>
            <w:hideMark/>
          </w:tcPr>
          <w:p w14:paraId="6988F543"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0.479</w:t>
            </w:r>
          </w:p>
        </w:tc>
        <w:tc>
          <w:tcPr>
            <w:tcW w:w="0" w:type="auto"/>
            <w:vAlign w:val="center"/>
            <w:hideMark/>
          </w:tcPr>
          <w:p w14:paraId="46360540"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−27.13%</w:t>
            </w:r>
          </w:p>
        </w:tc>
      </w:tr>
      <w:tr w:rsidR="0029361C" w:rsidRPr="0029361C" w14:paraId="529AD80F" w14:textId="77777777" w:rsidTr="19987528">
        <w:trPr>
          <w:tblCellSpacing w:w="15" w:type="dxa"/>
        </w:trPr>
        <w:tc>
          <w:tcPr>
            <w:tcW w:w="0" w:type="auto"/>
            <w:vAlign w:val="center"/>
            <w:hideMark/>
          </w:tcPr>
          <w:p w14:paraId="01637D33" w14:textId="77777777" w:rsidR="0029361C" w:rsidRPr="0029361C" w:rsidRDefault="0029361C" w:rsidP="0029361C">
            <w:pPr>
              <w:rPr>
                <w:rFonts w:ascii="Times New Roman" w:hAnsi="Times New Roman" w:cs="Times New Roman"/>
              </w:rPr>
            </w:pPr>
            <w:commentRangeStart w:id="4"/>
            <w:r w:rsidRPr="19987528">
              <w:rPr>
                <w:rFonts w:ascii="Times New Roman" w:hAnsi="Times New Roman" w:cs="Times New Roman"/>
              </w:rPr>
              <w:t>Mean log deviation</w:t>
            </w:r>
            <w:commentRangeEnd w:id="4"/>
            <w:r w:rsidRPr="0029361C">
              <w:rPr>
                <w:rStyle w:val="CommentReference"/>
                <w:rFonts w:ascii="Times New Roman" w:hAnsi="Times New Roman" w:cs="Times New Roman"/>
                <w:sz w:val="24"/>
                <w:szCs w:val="24"/>
              </w:rPr>
              <w:commentReference w:id="4"/>
            </w:r>
          </w:p>
        </w:tc>
        <w:tc>
          <w:tcPr>
            <w:tcW w:w="0" w:type="auto"/>
            <w:vAlign w:val="center"/>
            <w:hideMark/>
          </w:tcPr>
          <w:p w14:paraId="60C6BC4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0.811</w:t>
            </w:r>
          </w:p>
        </w:tc>
        <w:tc>
          <w:tcPr>
            <w:tcW w:w="0" w:type="auto"/>
            <w:vAlign w:val="center"/>
            <w:hideMark/>
          </w:tcPr>
          <w:p w14:paraId="4331FD2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0.392</w:t>
            </w:r>
          </w:p>
        </w:tc>
        <w:tc>
          <w:tcPr>
            <w:tcW w:w="0" w:type="auto"/>
            <w:vAlign w:val="center"/>
            <w:hideMark/>
          </w:tcPr>
          <w:p w14:paraId="6FCAD002"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−51.65%</w:t>
            </w:r>
          </w:p>
        </w:tc>
      </w:tr>
      <w:tr w:rsidR="0029361C" w:rsidRPr="0029361C" w14:paraId="54080E29" w14:textId="77777777" w:rsidTr="19987528">
        <w:trPr>
          <w:tblCellSpacing w:w="15" w:type="dxa"/>
        </w:trPr>
        <w:tc>
          <w:tcPr>
            <w:tcW w:w="0" w:type="auto"/>
            <w:vAlign w:val="center"/>
            <w:hideMark/>
          </w:tcPr>
          <w:p w14:paraId="195F90B1"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Atkinson (ε = 2)</w:t>
            </w:r>
          </w:p>
        </w:tc>
        <w:tc>
          <w:tcPr>
            <w:tcW w:w="0" w:type="auto"/>
            <w:vAlign w:val="center"/>
            <w:hideMark/>
          </w:tcPr>
          <w:p w14:paraId="023E969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0.647</w:t>
            </w:r>
          </w:p>
        </w:tc>
        <w:tc>
          <w:tcPr>
            <w:tcW w:w="0" w:type="auto"/>
            <w:vAlign w:val="center"/>
            <w:hideMark/>
          </w:tcPr>
          <w:p w14:paraId="3623F2DA"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0.463</w:t>
            </w:r>
          </w:p>
        </w:tc>
        <w:tc>
          <w:tcPr>
            <w:tcW w:w="0" w:type="auto"/>
            <w:vAlign w:val="center"/>
            <w:hideMark/>
          </w:tcPr>
          <w:p w14:paraId="1C28606E"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−28.46%</w:t>
            </w:r>
          </w:p>
        </w:tc>
      </w:tr>
      <w:tr w:rsidR="0029361C" w:rsidRPr="0029361C" w14:paraId="337E0E49" w14:textId="77777777" w:rsidTr="19987528">
        <w:trPr>
          <w:tblCellSpacing w:w="15" w:type="dxa"/>
        </w:trPr>
        <w:tc>
          <w:tcPr>
            <w:tcW w:w="0" w:type="auto"/>
            <w:vAlign w:val="center"/>
            <w:hideMark/>
          </w:tcPr>
          <w:p w14:paraId="54142F8F" w14:textId="39B41EE5" w:rsidR="0029361C" w:rsidRPr="0029361C" w:rsidRDefault="0029361C" w:rsidP="0029361C">
            <w:pPr>
              <w:rPr>
                <w:rFonts w:ascii="Times New Roman" w:hAnsi="Times New Roman" w:cs="Times New Roman"/>
              </w:rPr>
            </w:pPr>
            <w:r w:rsidRPr="19987528">
              <w:rPr>
                <w:rFonts w:ascii="Times New Roman" w:hAnsi="Times New Roman" w:cs="Times New Roman"/>
              </w:rPr>
              <w:t xml:space="preserve">Poverty headcount </w:t>
            </w:r>
          </w:p>
        </w:tc>
        <w:tc>
          <w:tcPr>
            <w:tcW w:w="0" w:type="auto"/>
            <w:vAlign w:val="center"/>
            <w:hideMark/>
          </w:tcPr>
          <w:p w14:paraId="257153AC"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07A3B55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2E70ABDD"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approximately 0%</w:t>
            </w:r>
          </w:p>
        </w:tc>
      </w:tr>
    </w:tbl>
    <w:p w14:paraId="32BE56A8" w14:textId="77777777" w:rsidR="0029361C" w:rsidRPr="002D11A0" w:rsidRDefault="0029361C" w:rsidP="0029361C">
      <w:pPr>
        <w:rPr>
          <w:rFonts w:ascii="Times New Roman" w:hAnsi="Times New Roman" w:cs="Times New Roman"/>
        </w:rPr>
      </w:pPr>
    </w:p>
    <w:p w14:paraId="2860A22B" w14:textId="6E7A3751" w:rsidR="00FF46F6" w:rsidRPr="002D11A0" w:rsidRDefault="05B04A73" w:rsidP="19987528">
      <w:pPr>
        <w:pBdr>
          <w:bottom w:val="single" w:sz="6" w:space="1" w:color="auto"/>
        </w:pBdr>
        <w:rPr>
          <w:rFonts w:ascii="Times New Roman" w:hAnsi="Times New Roman" w:cs="Times New Roman"/>
          <w:b/>
          <w:bCs/>
        </w:rPr>
      </w:pPr>
      <w:r w:rsidRPr="19987528">
        <w:rPr>
          <w:rFonts w:ascii="Times New Roman" w:hAnsi="Times New Roman" w:cs="Times New Roman"/>
          <w:b/>
          <w:bCs/>
        </w:rPr>
        <w:t xml:space="preserve">Figure 1: </w:t>
      </w:r>
    </w:p>
    <w:p w14:paraId="5004E263" w14:textId="7A7A1EB5" w:rsidR="7DEE5222" w:rsidRDefault="7DEE5222" w:rsidP="19987528">
      <w:pPr>
        <w:pBdr>
          <w:bottom w:val="single" w:sz="6" w:space="1" w:color="auto"/>
        </w:pBdr>
      </w:pPr>
      <w:r>
        <w:rPr>
          <w:noProof/>
        </w:rPr>
        <w:drawing>
          <wp:inline distT="0" distB="0" distL="0" distR="0" wp14:anchorId="2F065E33" wp14:editId="06BB640E">
            <wp:extent cx="5943600" cy="3962400"/>
            <wp:effectExtent l="0" t="0" r="0" b="0"/>
            <wp:docPr id="476225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210" name="Picture 476225210"/>
                    <pic:cNvPicPr/>
                  </pic:nvPicPr>
                  <pic:blipFill>
                    <a:blip r:embed="rId11">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49954D9F">
        <w:t>Figure 2: Pareto sensitivity using Belize</w:t>
      </w:r>
    </w:p>
    <w:p w14:paraId="0447661C" w14:textId="6EDAAD13" w:rsidR="49954D9F" w:rsidRDefault="49954D9F" w:rsidP="19987528">
      <w:pPr>
        <w:pBdr>
          <w:bottom w:val="single" w:sz="6" w:space="1" w:color="auto"/>
        </w:pBdr>
      </w:pPr>
      <w:r>
        <w:rPr>
          <w:noProof/>
        </w:rPr>
        <w:lastRenderedPageBreak/>
        <w:drawing>
          <wp:inline distT="0" distB="0" distL="0" distR="0" wp14:anchorId="325C38C4" wp14:editId="7BF1E3ED">
            <wp:extent cx="5943600" cy="3714750"/>
            <wp:effectExtent l="0" t="0" r="0" b="0"/>
            <wp:docPr id="653055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55147" name="Picture 653055147"/>
                    <pic:cNvPicPr/>
                  </pic:nvPicPr>
                  <pic:blipFill>
                    <a:blip r:embed="rId12">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0F0A5357" w14:textId="7F13F472" w:rsidR="1E12F32A" w:rsidRDefault="1E12F32A" w:rsidP="19987528">
      <w:pPr>
        <w:pBdr>
          <w:bottom w:val="single" w:sz="6" w:space="1" w:color="auto"/>
        </w:pBdr>
      </w:pPr>
      <w:r w:rsidRPr="19987528">
        <w:rPr>
          <w:rFonts w:ascii="Times New Roman" w:hAnsi="Times New Roman" w:cs="Times New Roman"/>
          <w:b/>
          <w:bCs/>
        </w:rPr>
        <w:t>Code WIP</w:t>
      </w:r>
      <w:r w:rsidRPr="19987528">
        <w:rPr>
          <w:rFonts w:ascii="Times New Roman" w:hAnsi="Times New Roman" w:cs="Times New Roman"/>
        </w:rPr>
        <w:t>: https://github.com/daniavayu/bindata_check/tree/main/top_censoring</w:t>
      </w:r>
    </w:p>
    <w:p w14:paraId="11001531" w14:textId="77777777" w:rsidR="00D71559" w:rsidRDefault="00D71559" w:rsidP="00C074F4">
      <w:pPr>
        <w:pBdr>
          <w:bottom w:val="single" w:sz="6" w:space="1" w:color="auto"/>
        </w:pBdr>
        <w:rPr>
          <w:rFonts w:ascii="Times New Roman" w:hAnsi="Times New Roman" w:cs="Times New Roman"/>
        </w:rPr>
      </w:pPr>
    </w:p>
    <w:p w14:paraId="28D46C0E" w14:textId="77777777" w:rsidR="00952EA9" w:rsidRDefault="00952EA9" w:rsidP="19987528">
      <w:pPr>
        <w:pBdr>
          <w:bottom w:val="single" w:sz="6" w:space="1" w:color="auto"/>
        </w:pBdr>
        <w:rPr>
          <w:rFonts w:ascii="Times New Roman" w:hAnsi="Times New Roman" w:cs="Times New Roman"/>
        </w:rPr>
      </w:pPr>
    </w:p>
    <w:p w14:paraId="6F074650" w14:textId="2CBFBA0E" w:rsidR="19987528" w:rsidRDefault="19987528" w:rsidP="19987528">
      <w:pPr>
        <w:pBdr>
          <w:bottom w:val="single" w:sz="6" w:space="1" w:color="auto"/>
        </w:pBdr>
        <w:rPr>
          <w:rFonts w:ascii="Times New Roman" w:hAnsi="Times New Roman" w:cs="Times New Roman"/>
        </w:rPr>
      </w:pPr>
    </w:p>
    <w:p w14:paraId="011C597F" w14:textId="63866FF7" w:rsidR="19987528" w:rsidRDefault="19987528" w:rsidP="19987528">
      <w:pPr>
        <w:pBdr>
          <w:bottom w:val="single" w:sz="6" w:space="1" w:color="auto"/>
        </w:pBdr>
        <w:rPr>
          <w:rFonts w:ascii="Times New Roman" w:hAnsi="Times New Roman" w:cs="Times New Roman"/>
        </w:rPr>
      </w:pPr>
    </w:p>
    <w:p w14:paraId="4C8C0B1F" w14:textId="43A590C3" w:rsidR="19987528" w:rsidRDefault="19987528" w:rsidP="19987528">
      <w:pPr>
        <w:pBdr>
          <w:bottom w:val="single" w:sz="6" w:space="1" w:color="auto"/>
        </w:pBdr>
        <w:rPr>
          <w:rFonts w:ascii="Times New Roman" w:hAnsi="Times New Roman" w:cs="Times New Roman"/>
        </w:rPr>
      </w:pPr>
    </w:p>
    <w:p w14:paraId="759A49E8" w14:textId="1A40A92D" w:rsidR="19987528" w:rsidRDefault="19987528" w:rsidP="19987528">
      <w:pPr>
        <w:pBdr>
          <w:bottom w:val="single" w:sz="6" w:space="1" w:color="auto"/>
        </w:pBdr>
        <w:rPr>
          <w:rFonts w:ascii="Times New Roman" w:hAnsi="Times New Roman" w:cs="Times New Roman"/>
        </w:rPr>
      </w:pPr>
    </w:p>
    <w:p w14:paraId="708E0FA7" w14:textId="75F5AEB8" w:rsidR="19987528" w:rsidRDefault="19987528" w:rsidP="19987528">
      <w:pPr>
        <w:pBdr>
          <w:bottom w:val="single" w:sz="6" w:space="1" w:color="auto"/>
        </w:pBdr>
        <w:rPr>
          <w:rFonts w:ascii="Times New Roman" w:hAnsi="Times New Roman" w:cs="Times New Roman"/>
        </w:rPr>
      </w:pPr>
    </w:p>
    <w:p w14:paraId="37370C31" w14:textId="3757BD15" w:rsidR="19987528" w:rsidRDefault="19987528" w:rsidP="19987528">
      <w:pPr>
        <w:pBdr>
          <w:bottom w:val="single" w:sz="6" w:space="1" w:color="auto"/>
        </w:pBdr>
        <w:rPr>
          <w:rFonts w:ascii="Times New Roman" w:hAnsi="Times New Roman" w:cs="Times New Roman"/>
        </w:rPr>
      </w:pPr>
    </w:p>
    <w:p w14:paraId="3B298892" w14:textId="23A294B8" w:rsidR="19987528" w:rsidRDefault="19987528" w:rsidP="19987528">
      <w:pPr>
        <w:pBdr>
          <w:bottom w:val="single" w:sz="6" w:space="1" w:color="auto"/>
        </w:pBdr>
        <w:rPr>
          <w:rFonts w:ascii="Times New Roman" w:hAnsi="Times New Roman" w:cs="Times New Roman"/>
        </w:rPr>
      </w:pPr>
    </w:p>
    <w:p w14:paraId="59844292" w14:textId="2C7F2F80" w:rsidR="19987528" w:rsidRDefault="19987528" w:rsidP="19987528">
      <w:pPr>
        <w:pBdr>
          <w:bottom w:val="single" w:sz="6" w:space="1" w:color="auto"/>
        </w:pBdr>
        <w:rPr>
          <w:rFonts w:ascii="Times New Roman" w:hAnsi="Times New Roman" w:cs="Times New Roman"/>
        </w:rPr>
      </w:pPr>
    </w:p>
    <w:p w14:paraId="645D5EA7" w14:textId="2C1D094D" w:rsidR="19987528" w:rsidRDefault="19987528" w:rsidP="19987528">
      <w:pPr>
        <w:pBdr>
          <w:bottom w:val="single" w:sz="6" w:space="1" w:color="auto"/>
        </w:pBdr>
        <w:rPr>
          <w:rFonts w:ascii="Times New Roman" w:hAnsi="Times New Roman" w:cs="Times New Roman"/>
        </w:rPr>
      </w:pPr>
    </w:p>
    <w:p w14:paraId="1FE64BD1" w14:textId="4E111A54" w:rsidR="006A7426" w:rsidRDefault="006A7426" w:rsidP="19987528">
      <w:pPr>
        <w:pBdr>
          <w:bottom w:val="single" w:sz="6" w:space="1" w:color="auto"/>
        </w:pBdr>
        <w:rPr>
          <w:rFonts w:ascii="Times New Roman" w:hAnsi="Times New Roman" w:cs="Times New Roman"/>
        </w:rPr>
      </w:pPr>
    </w:p>
    <w:p w14:paraId="33517594" w14:textId="77777777" w:rsidR="000E5D16" w:rsidRDefault="000E5D16" w:rsidP="19987528">
      <w:pPr>
        <w:pBdr>
          <w:bottom w:val="single" w:sz="6" w:space="1" w:color="auto"/>
        </w:pBdr>
        <w:rPr>
          <w:rFonts w:ascii="Times New Roman" w:hAnsi="Times New Roman" w:cs="Times New Roman"/>
        </w:rPr>
      </w:pPr>
    </w:p>
    <w:p w14:paraId="2582C0FD" w14:textId="77777777" w:rsidR="000E5D16" w:rsidRDefault="000E5D16" w:rsidP="19987528">
      <w:pPr>
        <w:pBdr>
          <w:bottom w:val="single" w:sz="6" w:space="1" w:color="auto"/>
        </w:pBdr>
        <w:rPr>
          <w:rFonts w:ascii="Times New Roman" w:hAnsi="Times New Roman" w:cs="Times New Roman"/>
        </w:rPr>
      </w:pPr>
    </w:p>
    <w:p w14:paraId="4CD723C9" w14:textId="77777777" w:rsidR="005E6700" w:rsidRPr="00B504D4" w:rsidRDefault="005E6700" w:rsidP="000C4293">
      <w:pPr>
        <w:rPr>
          <w:rFonts w:ascii="Times New Roman" w:hAnsi="Times New Roman" w:cs="Times New Roman"/>
          <w:b/>
          <w:bCs/>
          <w:u w:val="single"/>
        </w:rPr>
      </w:pPr>
      <w:r w:rsidRPr="00B504D4">
        <w:rPr>
          <w:rFonts w:ascii="Times New Roman" w:hAnsi="Times New Roman" w:cs="Times New Roman"/>
          <w:b/>
          <w:bCs/>
          <w:u w:val="single"/>
        </w:rPr>
        <w:t>Literature Review</w:t>
      </w:r>
    </w:p>
    <w:p w14:paraId="0C456B8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Treatment of Upper-Tail Values in Income Distribution Analysis</w:t>
      </w:r>
    </w:p>
    <w:p w14:paraId="5E3BC4C8" w14:textId="385F9885"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Inequality measures calculated from household survey microdata can be highly sensitive to a small number of observations at the upper end of the welfare distribution. </w:t>
      </w:r>
      <w:r w:rsidR="005A56F5" w:rsidRPr="005A56F5">
        <w:rPr>
          <w:rFonts w:ascii="Times New Roman" w:hAnsi="Times New Roman" w:cs="Times New Roman"/>
        </w:rPr>
        <w:t>This is particularly true for the mean and for inequality measures that are sensitive to the upper tail</w:t>
      </w:r>
      <w:r w:rsidR="00FA1F3A">
        <w:rPr>
          <w:rFonts w:ascii="Times New Roman" w:hAnsi="Times New Roman" w:cs="Times New Roman"/>
        </w:rPr>
        <w:t xml:space="preserve">. </w:t>
      </w:r>
      <w:r w:rsidRPr="000C4293">
        <w:rPr>
          <w:rFonts w:ascii="Times New Roman" w:hAnsi="Times New Roman" w:cs="Times New Roman"/>
        </w:rPr>
        <w:t>Extreme values may reflect genuine high incomes or consumption levels, but they may also result from reporting error, data-processing problems, measurement error, nonresponse, or the limited representation of very affluent households in household surveys.</w:t>
      </w:r>
    </w:p>
    <w:p w14:paraId="35F90E37" w14:textId="0C98D994" w:rsidR="000C4293" w:rsidRPr="000C4293" w:rsidRDefault="000C4293" w:rsidP="000C4293">
      <w:pPr>
        <w:rPr>
          <w:rFonts w:ascii="Times New Roman" w:hAnsi="Times New Roman" w:cs="Times New Roman"/>
        </w:rPr>
      </w:pPr>
      <w:r w:rsidRPr="000C4293">
        <w:rPr>
          <w:rFonts w:ascii="Times New Roman" w:hAnsi="Times New Roman" w:cs="Times New Roman"/>
        </w:rPr>
        <w:t>The methodological issue is whether the observations are plausible, how much influence they have on the estimates, and whether the survey adequately represents the upper tail. A procedure that reduces the influence of extreme observations may improve robustness, but it may also remove genuine information about inequality. Conversely, a survey may contain influential high values while still underestimating the true income of the richest households because those households are underrepresented.</w:t>
      </w:r>
    </w:p>
    <w:p w14:paraId="2EA31A7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LIS Top-Coding</w:t>
      </w:r>
    </w:p>
    <w:p w14:paraId="423C0454" w14:textId="7328715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Luxembourg Income Study has documented a distribution-based approach to identifying unusually </w:t>
      </w:r>
      <w:r w:rsidR="00B504D4" w:rsidRPr="000C4293">
        <w:rPr>
          <w:rFonts w:ascii="Times New Roman" w:hAnsi="Times New Roman" w:cs="Times New Roman"/>
        </w:rPr>
        <w:t>high-income</w:t>
      </w:r>
      <w:r w:rsidRPr="000C4293">
        <w:rPr>
          <w:rFonts w:ascii="Times New Roman" w:hAnsi="Times New Roman" w:cs="Times New Roman"/>
        </w:rPr>
        <w:t xml:space="preserve"> values. In the procedure described by Neugschwender (2020), the upper threshold is based on the interquartile range of log income. For a strictly positive welfare variable </w:t>
      </w:r>
      <m:oMath>
        <m:r>
          <w:rPr>
            <w:rFonts w:ascii="Cambria Math" w:hAnsi="Cambria Math" w:cs="Times New Roman"/>
          </w:rPr>
          <m:t>y</m:t>
        </m:r>
      </m:oMath>
      <w:r w:rsidRPr="000C4293">
        <w:rPr>
          <w:rFonts w:ascii="Times New Roman" w:hAnsi="Times New Roman" w:cs="Times New Roman"/>
        </w:rPr>
        <w:t>, the threshold can be written as:</w:t>
      </w:r>
    </w:p>
    <w:p w14:paraId="137ED8F8" w14:textId="00795419" w:rsidR="000C4293" w:rsidRPr="000C4293" w:rsidRDefault="000C4293" w:rsidP="000C4293">
      <w:pPr>
        <w:rPr>
          <w:rFonts w:ascii="Times New Roman" w:hAnsi="Times New Roman" w:cs="Times New Roman"/>
        </w:rPr>
      </w:pPr>
      <m:oMathPara>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⁡y)+3</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0.25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e>
              </m:d>
            </m:e>
          </m:d>
          <m:r>
            <w:rPr>
              <w:rFonts w:ascii="Cambria Math" w:hAnsi="Cambria Math" w:cs="Times New Roman"/>
            </w:rPr>
            <m:t>.</m:t>
          </m:r>
        </m:oMath>
      </m:oMathPara>
    </w:p>
    <w:p w14:paraId="04565C64"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Values above the threshold are replaced by the threshold:</w:t>
      </w:r>
    </w:p>
    <w:p w14:paraId="002327F2" w14:textId="3051A1D6" w:rsidR="000C4293" w:rsidRPr="000C4293" w:rsidRDefault="00000000" w:rsidP="000C4293">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oMath>
      </m:oMathPara>
    </w:p>
    <w:p w14:paraId="5FC02A8E" w14:textId="52FF3009"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This is a form of winsorization or </w:t>
      </w:r>
      <w:r w:rsidR="005933E4" w:rsidRPr="000C4293">
        <w:rPr>
          <w:rFonts w:ascii="Times New Roman" w:hAnsi="Times New Roman" w:cs="Times New Roman"/>
        </w:rPr>
        <w:t>top coding</w:t>
      </w:r>
      <w:r w:rsidRPr="000C4293">
        <w:rPr>
          <w:rFonts w:ascii="Times New Roman" w:hAnsi="Times New Roman" w:cs="Times New Roman"/>
        </w:rPr>
        <w:t>. It does not remove the affected records from the dataset. The observations remain in the sample, and their survey weights are retained, but the welfare value used in the calculation is capped.</w:t>
      </w:r>
    </w:p>
    <w:p w14:paraId="6A2D79E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main advantages of this approach are transparency, simplicity, and comparability. A rule based on the distribution of log income can adapt to differences in the scale and dispersion of income across countries and surveys. However, the LIS ceiling should be interpreted as a treatment threshold rather than as proof that the observations above it are erroneous. High values above the ceiling may be genuine, and the rule does not by itself establish that they should be excluded from the underlying survey.</w:t>
      </w:r>
    </w:p>
    <w:p w14:paraId="6DAA85DB" w14:textId="00131DF2"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For the present analysis, the LIS rule is used as a transparent baseline sensitivity treatment. The implementation uses weighted quartiles of log welfare and expresses welfare in 2021 PPP dollars per person per day. </w:t>
      </w:r>
    </w:p>
    <w:p w14:paraId="41DE14D3" w14:textId="77777777" w:rsidR="000C4293" w:rsidRPr="00D338D0" w:rsidRDefault="000C4293" w:rsidP="000C4293">
      <w:pPr>
        <w:rPr>
          <w:rFonts w:ascii="Times New Roman" w:hAnsi="Times New Roman" w:cs="Times New Roman"/>
          <w:b/>
          <w:bCs/>
        </w:rPr>
      </w:pPr>
      <w:r w:rsidRPr="00D338D0">
        <w:rPr>
          <w:rFonts w:ascii="Times New Roman" w:hAnsi="Times New Roman" w:cs="Times New Roman"/>
          <w:b/>
          <w:bCs/>
        </w:rPr>
        <w:t>Current Population Survey</w:t>
      </w:r>
    </w:p>
    <w:p w14:paraId="7FD1BCA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6FE0C2C7" w14:textId="460415BA" w:rsidR="00765659" w:rsidRPr="000C4293" w:rsidRDefault="00765659" w:rsidP="000C4293">
      <w:pPr>
        <w:rPr>
          <w:rFonts w:ascii="Times New Roman" w:hAnsi="Times New Roman" w:cs="Times New Roman"/>
        </w:rPr>
      </w:pPr>
      <w:r w:rsidRPr="00765659">
        <w:rPr>
          <w:rFonts w:ascii="Times New Roman" w:hAnsi="Times New Roman" w:cs="Times New Roman"/>
        </w:rPr>
        <w:t>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r>
        <w:rPr>
          <w:rFonts w:ascii="Times New Roman" w:hAnsi="Times New Roman" w:cs="Times New Roman"/>
        </w:rPr>
        <w:t>.</w:t>
      </w:r>
    </w:p>
    <w:p w14:paraId="7AFAFA77" w14:textId="77777777" w:rsidR="000C4293" w:rsidRPr="00501286" w:rsidRDefault="000C4293" w:rsidP="000C4293">
      <w:pPr>
        <w:rPr>
          <w:rFonts w:ascii="Times New Roman" w:hAnsi="Times New Roman" w:cs="Times New Roman"/>
          <w:b/>
          <w:bCs/>
        </w:rPr>
      </w:pPr>
      <w:r w:rsidRPr="00501286">
        <w:rPr>
          <w:rFonts w:ascii="Times New Roman" w:hAnsi="Times New Roman" w:cs="Times New Roman"/>
          <w:b/>
          <w:bCs/>
        </w:rPr>
        <w:t>Trimming, Winsorizing, and Robust Tail Modelling</w:t>
      </w:r>
    </w:p>
    <w:p w14:paraId="0967927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standard approach to extreme observations is trimming. Trimming removes observations above a specified cutoff or percentile. It is easy to implement and useful as a diagnostic, but it gives the affected observations no influence at all. This is a strong assumption and is not generally appropriate unless there is independent evidence that the observations are invalid.</w:t>
      </w:r>
    </w:p>
    <w:p w14:paraId="656A434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Winsorizing retains the observations but replaces values above a cutoff with the cutoff value. It therefore limits the influence of the upper tail while preserving the sample size and survey weights. The disadvantage is that all affected observations receive the same replacement value, even though their original values may have represented genuine differences among high-income households.</w:t>
      </w:r>
    </w:p>
    <w:p w14:paraId="38A4048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Van Kerm (2007) examines the sensitivity of poverty and inequality estimates to extreme incomes in EU-SILC and compares simple adjustments, including trimming and winsorizing, with approaches based on modelling the upper tail. The paper emphasizes that ordinal comparisons between countries may be relatively robust to alternative treatments, while cardinal estimates such as means, income shares, and inequality indices may be substantially more sensitive.</w:t>
      </w:r>
    </w:p>
    <w:p w14:paraId="074DE9E3" w14:textId="76E0BE18"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A Pareto model is often used to describe the upper tail of an income distribution. If the Pareto model is fitted above a threshold </w:t>
      </w:r>
      <m:oMath>
        <m:r>
          <w:rPr>
            <w:rFonts w:ascii="Cambria Math" w:hAnsi="Cambria Math" w:cs="Times New Roman"/>
          </w:rPr>
          <m:t>u</m:t>
        </m:r>
      </m:oMath>
      <w:r w:rsidRPr="000C4293">
        <w:rPr>
          <w:rFonts w:ascii="Times New Roman" w:hAnsi="Times New Roman" w:cs="Times New Roman"/>
        </w:rPr>
        <w:t>, its survival function can be expressed as:</w:t>
      </w:r>
    </w:p>
    <w:p w14:paraId="53126A34" w14:textId="17185036" w:rsidR="000C4293" w:rsidRPr="000C4293" w:rsidRDefault="000C4293" w:rsidP="000C4293">
      <w:pPr>
        <w:rPr>
          <w:rFonts w:ascii="Times New Roman" w:hAnsi="Times New Roman" w:cs="Times New Roman"/>
        </w:rPr>
      </w:pPr>
      <m:oMathPara>
        <m:oMath>
          <m:r>
            <w:rPr>
              <w:rFonts w:ascii="Cambria Math" w:hAnsi="Cambria Math" w:cs="Times New Roman"/>
            </w:rPr>
            <m:t>P(Y≥y∣Y≥u)=</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u</m:t>
                      </m:r>
                    </m:num>
                    <m:den>
                      <m:r>
                        <w:rPr>
                          <w:rFonts w:ascii="Cambria Math" w:hAnsi="Cambria Math" w:cs="Times New Roman"/>
                        </w:rPr>
                        <m:t>y</m:t>
                      </m:r>
                    </m:den>
                  </m:f>
                </m:e>
              </m:d>
            </m:e>
            <m:sup>
              <m:r>
                <w:rPr>
                  <w:rFonts w:ascii="Cambria Math" w:hAnsi="Cambria Math" w:cs="Times New Roman"/>
                </w:rPr>
                <m:t>α</m:t>
              </m:r>
            </m:sup>
          </m:sSup>
          <m:r>
            <w:rPr>
              <w:rFonts w:ascii="Cambria Math" w:hAnsi="Cambria Math" w:cs="Times New Roman"/>
            </w:rPr>
            <m:t>,y≥u,</m:t>
          </m:r>
        </m:oMath>
      </m:oMathPara>
    </w:p>
    <w:p w14:paraId="04812456" w14:textId="1544A853" w:rsidR="000C4293" w:rsidRPr="000C4293" w:rsidRDefault="000C4293" w:rsidP="000C4293">
      <w:pPr>
        <w:rPr>
          <w:rFonts w:ascii="Times New Roman" w:hAnsi="Times New Roman" w:cs="Times New Roman"/>
        </w:rPr>
      </w:pPr>
      <w:r w:rsidRPr="000C4293">
        <w:rPr>
          <w:rFonts w:ascii="Times New Roman" w:hAnsi="Times New Roman" w:cs="Times New Roman"/>
        </w:rPr>
        <w:t>where </w:t>
      </w:r>
      <m:oMath>
        <m:r>
          <w:rPr>
            <w:rFonts w:ascii="Cambria Math" w:hAnsi="Cambria Math" w:cs="Times New Roman"/>
          </w:rPr>
          <m:t>α</m:t>
        </m:r>
      </m:oMath>
      <w:r w:rsidRPr="000C4293">
        <w:rPr>
          <w:rFonts w:ascii="Times New Roman" w:hAnsi="Times New Roman" w:cs="Times New Roman"/>
        </w:rPr>
        <w:t> is the Pareto shape parameter. A smaller value of </w:t>
      </w:r>
      <m:oMath>
        <m:r>
          <w:rPr>
            <w:rFonts w:ascii="Cambria Math" w:hAnsi="Cambria Math" w:cs="Times New Roman"/>
          </w:rPr>
          <m:t>α</m:t>
        </m:r>
      </m:oMath>
      <w:r w:rsidRPr="000C4293">
        <w:rPr>
          <w:rFonts w:ascii="Times New Roman" w:hAnsi="Times New Roman" w:cs="Times New Roman"/>
        </w:rPr>
        <w:t> indicates a heavier upper tail.</w:t>
      </w:r>
    </w:p>
    <w:p w14:paraId="695BA9BE"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Pareto model should not automatically be fitted to the entire welfare distribution. The bulk of the distribution and the upper tail may follow different statistical patterns. The choice of the tail threshold is therefore important, and results should be examined for sensitivity to alternative thresholds such as the 90th, 95th, or 99th percentile.</w:t>
      </w:r>
    </w:p>
    <w:p w14:paraId="7C8BC832" w14:textId="25783008"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A fitted Pareto distribution can be used in several ways. It can provide a diagnostic comparison between observed and predicted tail probabilities, support a semiparametric inequality estimate, or generate plausible replacement values in a sensitivity analysis. However, replacing observed values with Pareto draws is an additional modelling choice. </w:t>
      </w:r>
    </w:p>
    <w:p w14:paraId="198C0EC4" w14:textId="65D81368" w:rsidR="000C4293" w:rsidRPr="000C4293" w:rsidRDefault="00FD4CAD" w:rsidP="000C4293">
      <w:pPr>
        <w:rPr>
          <w:rFonts w:ascii="Times New Roman" w:hAnsi="Times New Roman" w:cs="Times New Roman"/>
        </w:rPr>
      </w:pPr>
      <w:r w:rsidRPr="00FD4CAD">
        <w:rPr>
          <w:rFonts w:ascii="Times New Roman" w:hAnsi="Times New Roman" w:cs="Times New Roman"/>
        </w:rPr>
        <w:t>In the present exercise, the Pareto analysis is inspired by the EU-SILC literature but is not an exact replication of Van Kerm’s implementation. The fitted Pareto model and the resulting capping or imputation exercises should therefore be interpreted as exploratory sensitivity analyses.</w:t>
      </w:r>
    </w:p>
    <w:p w14:paraId="2D1F3E8F" w14:textId="77777777" w:rsidR="000C4293" w:rsidRPr="00C22A2C" w:rsidRDefault="000C4293" w:rsidP="000C4293">
      <w:pPr>
        <w:rPr>
          <w:rFonts w:ascii="Times New Roman" w:hAnsi="Times New Roman" w:cs="Times New Roman"/>
          <w:b/>
          <w:bCs/>
        </w:rPr>
      </w:pPr>
      <w:r w:rsidRPr="00C22A2C">
        <w:rPr>
          <w:rFonts w:ascii="Times New Roman" w:hAnsi="Times New Roman" w:cs="Times New Roman"/>
          <w:b/>
          <w:bCs/>
        </w:rPr>
        <w:t>Extreme Values and Censored Data</w:t>
      </w:r>
    </w:p>
    <w:p w14:paraId="22AFC71F" w14:textId="531CB0FE" w:rsidR="000C4293" w:rsidRPr="000C4293" w:rsidRDefault="000C4293" w:rsidP="000C4293">
      <w:pPr>
        <w:rPr>
          <w:rFonts w:ascii="Times New Roman" w:hAnsi="Times New Roman" w:cs="Times New Roman"/>
        </w:rPr>
      </w:pPr>
      <w:commentRangeStart w:id="5"/>
      <w:r w:rsidRPr="427C7962">
        <w:rPr>
          <w:rFonts w:ascii="Times New Roman" w:hAnsi="Times New Roman" w:cs="Times New Roman"/>
        </w:rPr>
        <w:t>Jenkins</w:t>
      </w:r>
      <w:commentRangeEnd w:id="5"/>
      <w:r w:rsidRPr="427C7962">
        <w:rPr>
          <w:rStyle w:val="CommentReference"/>
          <w:rFonts w:ascii="Times New Roman" w:hAnsi="Times New Roman" w:cs="Times New Roman"/>
          <w:sz w:val="24"/>
          <w:szCs w:val="24"/>
        </w:rPr>
        <w:commentReference w:id="5"/>
      </w:r>
      <w:r w:rsidRPr="427C7962">
        <w:rPr>
          <w:rFonts w:ascii="Times New Roman" w:hAnsi="Times New Roman" w:cs="Times New Roman"/>
        </w:rPr>
        <w:t xml:space="preserve">, Burkhauser, Feng, and Larrimore (2011) address a related but distinct problem: estimating inequality when the data are already right-censored or top-coded by the data provider. In that situation, the original values above a known threshold are not observed. The authors propose multiple-imputation methods in which the censored observations are imputed using draws from a flexible parametric distribution, particularly the </w:t>
      </w:r>
      <w:commentRangeStart w:id="6"/>
      <w:r w:rsidR="00B434D0" w:rsidRPr="427C7962">
        <w:rPr>
          <w:rFonts w:ascii="Times New Roman" w:hAnsi="Times New Roman" w:cs="Times New Roman"/>
        </w:rPr>
        <w:t>g</w:t>
      </w:r>
      <w:r w:rsidRPr="427C7962">
        <w:rPr>
          <w:rFonts w:ascii="Times New Roman" w:hAnsi="Times New Roman" w:cs="Times New Roman"/>
        </w:rPr>
        <w:t xml:space="preserve">eneralized </w:t>
      </w:r>
      <w:r w:rsidR="00B434D0" w:rsidRPr="427C7962">
        <w:rPr>
          <w:rFonts w:ascii="Times New Roman" w:hAnsi="Times New Roman" w:cs="Times New Roman"/>
        </w:rPr>
        <w:t>b</w:t>
      </w:r>
      <w:r w:rsidRPr="427C7962">
        <w:rPr>
          <w:rFonts w:ascii="Times New Roman" w:hAnsi="Times New Roman" w:cs="Times New Roman"/>
        </w:rPr>
        <w:t xml:space="preserve">eta of the </w:t>
      </w:r>
      <w:r w:rsidR="00B434D0" w:rsidRPr="427C7962">
        <w:rPr>
          <w:rFonts w:ascii="Times New Roman" w:hAnsi="Times New Roman" w:cs="Times New Roman"/>
        </w:rPr>
        <w:t>s</w:t>
      </w:r>
      <w:r w:rsidRPr="427C7962">
        <w:rPr>
          <w:rFonts w:ascii="Times New Roman" w:hAnsi="Times New Roman" w:cs="Times New Roman"/>
        </w:rPr>
        <w:t xml:space="preserve">econd </w:t>
      </w:r>
      <w:r w:rsidR="00B434D0" w:rsidRPr="427C7962">
        <w:rPr>
          <w:rFonts w:ascii="Times New Roman" w:hAnsi="Times New Roman" w:cs="Times New Roman"/>
        </w:rPr>
        <w:t>k</w:t>
      </w:r>
      <w:r w:rsidRPr="427C7962">
        <w:rPr>
          <w:rFonts w:ascii="Times New Roman" w:hAnsi="Times New Roman" w:cs="Times New Roman"/>
        </w:rPr>
        <w:t>ind</w:t>
      </w:r>
      <w:r w:rsidR="00B434D0" w:rsidRPr="427C7962">
        <w:rPr>
          <w:rFonts w:ascii="Times New Roman" w:hAnsi="Times New Roman" w:cs="Times New Roman"/>
        </w:rPr>
        <w:t xml:space="preserve"> distribution</w:t>
      </w:r>
      <w:commentRangeEnd w:id="6"/>
      <w:r w:rsidRPr="427C7962">
        <w:rPr>
          <w:rStyle w:val="CommentReference"/>
          <w:rFonts w:ascii="Times New Roman" w:hAnsi="Times New Roman" w:cs="Times New Roman"/>
          <w:sz w:val="24"/>
          <w:szCs w:val="24"/>
        </w:rPr>
        <w:commentReference w:id="6"/>
      </w:r>
      <w:r w:rsidRPr="427C7962">
        <w:rPr>
          <w:rFonts w:ascii="Times New Roman" w:hAnsi="Times New Roman" w:cs="Times New Roman"/>
        </w:rPr>
        <w:t>. The imputed datasets are then used to estimate inequality measures and associated uncertainty.</w:t>
      </w:r>
    </w:p>
    <w:p w14:paraId="4C76BB9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This approach is relevant because it demonstrates that top-coding can affect inequality estimates if the lost upper-tail variation is ignored. However, it is not directly the same as the present problem. In the current survey microdata, the extreme values are observed. The question is whether their influence should be limited, not how to reconstruct values that have already been hidden by a data provider.</w:t>
      </w:r>
    </w:p>
    <w:p w14:paraId="02067236" w14:textId="77777777" w:rsidR="000C4293" w:rsidRPr="004B5F16" w:rsidRDefault="000C4293" w:rsidP="000C4293">
      <w:pPr>
        <w:rPr>
          <w:rFonts w:ascii="Times New Roman" w:hAnsi="Times New Roman" w:cs="Times New Roman"/>
          <w:b/>
          <w:bCs/>
        </w:rPr>
      </w:pPr>
      <w:r w:rsidRPr="004B5F16">
        <w:rPr>
          <w:rFonts w:ascii="Times New Roman" w:hAnsi="Times New Roman" w:cs="Times New Roman"/>
          <w:b/>
          <w:bCs/>
        </w:rPr>
        <w:t>Survey Underrepresentation and the World Inequality Database</w:t>
      </w:r>
    </w:p>
    <w:p w14:paraId="4C582E8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World Inequality Database addresses a different problem from top-coding: the possible underrepresentation of the richest individuals in household surveys. Household surveys may fail to capture some high-income households because of sampling limitations, nonresponse, underreporting, or difficulties linking survey responses to the very top of the income distribution.</w:t>
      </w:r>
    </w:p>
    <w:p w14:paraId="6DFCB6C5" w14:textId="20BFEA41"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The Distributional National Accounts framework therefore seeks, where appropriate data are available, to combine household survey information with tax records, national accounts, and other administrative or distributional sources. The purpose is to improve the representation of the full distribution, especially the upper tail. </w:t>
      </w:r>
      <w:r w:rsidR="00C837D3" w:rsidRPr="00C837D3">
        <w:rPr>
          <w:rFonts w:ascii="Times New Roman" w:hAnsi="Times New Roman" w:cs="Times New Roman"/>
        </w:rPr>
        <w:t>Pareto or generalized Pareto models may be used to describe the distribution above a selected threshold (World Inequality Lab, 2025).</w:t>
      </w:r>
    </w:p>
    <w:p w14:paraId="12FCA55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exact procedure is country-specific because the availability and quality of tax, survey, and national-accounts data differ across countries. The WID approach should therefore not be described as a single universal top-coding rule. Conceptually, it often moves in the opposite direction from top-coding: top-coding limits the influence of observed extreme values, whereas the WID approach may increase the estimated upper tail when survey data appear to omit or underrepresent the richest individuals.</w:t>
      </w:r>
    </w:p>
    <w:p w14:paraId="015FEB87" w14:textId="08443757" w:rsidR="000C4293" w:rsidRPr="000C4293" w:rsidRDefault="000C4293" w:rsidP="000C4293">
      <w:pPr>
        <w:rPr>
          <w:rFonts w:ascii="Times New Roman" w:hAnsi="Times New Roman" w:cs="Times New Roman"/>
        </w:rPr>
      </w:pPr>
      <w:r w:rsidRPr="000C4293">
        <w:rPr>
          <w:rFonts w:ascii="Times New Roman" w:hAnsi="Times New Roman" w:cs="Times New Roman"/>
        </w:rPr>
        <w:t>A survey can contain a small number of highly influential observations and still understate the true share of income received by the richest households. Top-coding is therefore a robustness treatment for observed microdata, not a correction for national top-income undercoverage.</w:t>
      </w:r>
    </w:p>
    <w:p w14:paraId="57DB4341" w14:textId="77777777" w:rsidR="000C4293" w:rsidRPr="009E6266" w:rsidRDefault="000C4293" w:rsidP="000C4293">
      <w:pPr>
        <w:rPr>
          <w:rFonts w:ascii="Times New Roman" w:hAnsi="Times New Roman" w:cs="Times New Roman"/>
          <w:b/>
          <w:bCs/>
        </w:rPr>
      </w:pPr>
      <w:r w:rsidRPr="009E6266">
        <w:rPr>
          <w:rFonts w:ascii="Times New Roman" w:hAnsi="Times New Roman" w:cs="Times New Roman"/>
          <w:b/>
          <w:bCs/>
        </w:rPr>
        <w:t>Implications for the Current Exercise</w:t>
      </w:r>
    </w:p>
    <w:p w14:paraId="11AFEAB6"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literature does not identify one universally correct treatment for upper-tail values. The appropriate method depends on the objective:</w:t>
      </w:r>
    </w:p>
    <w:p w14:paraId="7D8CCFCB" w14:textId="77777777" w:rsidR="009E6266" w:rsidRDefault="000C4293" w:rsidP="009E6266">
      <w:pPr>
        <w:numPr>
          <w:ilvl w:val="0"/>
          <w:numId w:val="13"/>
        </w:numPr>
        <w:rPr>
          <w:rFonts w:ascii="Times New Roman" w:hAnsi="Times New Roman" w:cs="Times New Roman"/>
        </w:rPr>
      </w:pPr>
      <w:r w:rsidRPr="000C4293">
        <w:rPr>
          <w:rFonts w:ascii="Times New Roman" w:hAnsi="Times New Roman" w:cs="Times New Roman"/>
        </w:rPr>
        <w:t>trimming is useful as a strong diagnostic sensitivity check</w:t>
      </w:r>
    </w:p>
    <w:p w14:paraId="408587A2" w14:textId="1E0CAC37" w:rsidR="000C4293" w:rsidRPr="009E6266" w:rsidRDefault="000C4293" w:rsidP="009E6266">
      <w:pPr>
        <w:numPr>
          <w:ilvl w:val="0"/>
          <w:numId w:val="13"/>
        </w:numPr>
        <w:rPr>
          <w:rFonts w:ascii="Times New Roman" w:hAnsi="Times New Roman" w:cs="Times New Roman"/>
        </w:rPr>
      </w:pPr>
      <w:r w:rsidRPr="009E6266">
        <w:rPr>
          <w:rFonts w:ascii="Times New Roman" w:hAnsi="Times New Roman" w:cs="Times New Roman"/>
        </w:rPr>
        <w:t>winsorizing provides a transparent way to limit the influence of selected observations</w:t>
      </w:r>
    </w:p>
    <w:p w14:paraId="5DB122FF" w14:textId="71A734AA"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LIS-style top-coding provides a simple and comparable baseline rule</w:t>
      </w:r>
    </w:p>
    <w:p w14:paraId="6F9885F9" w14:textId="266EC7E5"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Pareto modelling provides a way to assess whether the observed upper tail is compatible with a specified distribution</w:t>
      </w:r>
    </w:p>
    <w:p w14:paraId="49588C88" w14:textId="369C54D2"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multiple imputation is appropriate when values are already censored and missing above a known threshold</w:t>
      </w:r>
    </w:p>
    <w:p w14:paraId="6514069C" w14:textId="77777777"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survey-tax-data integration addresses underrepresentation of top incomes rather than the influence of observed outliers.</w:t>
      </w:r>
    </w:p>
    <w:p w14:paraId="4C4E7A4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proposed empirical strategy is therefore to use the LIS log-IQR ceiling as a transparent baseline treatment, while using Pareto diagnostics and alternative treatments as sensitivity analyses. Observations above the LIS ceiling should be regarded as candidates for review, not automatically as invalid observations.</w:t>
      </w:r>
    </w:p>
    <w:p w14:paraId="446D6C66" w14:textId="77777777" w:rsidR="00CF0042" w:rsidRDefault="00CF0042" w:rsidP="000C4293">
      <w:pPr>
        <w:rPr>
          <w:rFonts w:ascii="Times New Roman" w:hAnsi="Times New Roman" w:cs="Times New Roman"/>
          <w:b/>
          <w:bCs/>
        </w:rPr>
      </w:pPr>
    </w:p>
    <w:p w14:paraId="39637DFB" w14:textId="77777777" w:rsidR="00CF0042" w:rsidRDefault="00CF0042" w:rsidP="000C4293">
      <w:pPr>
        <w:rPr>
          <w:rFonts w:ascii="Times New Roman" w:hAnsi="Times New Roman" w:cs="Times New Roman"/>
          <w:b/>
          <w:bCs/>
        </w:rPr>
      </w:pPr>
    </w:p>
    <w:p w14:paraId="3D0913A8" w14:textId="77777777" w:rsidR="00CF0042" w:rsidRDefault="00CF0042" w:rsidP="000C4293">
      <w:pPr>
        <w:rPr>
          <w:rFonts w:ascii="Times New Roman" w:hAnsi="Times New Roman" w:cs="Times New Roman"/>
          <w:b/>
          <w:bCs/>
        </w:rPr>
      </w:pPr>
    </w:p>
    <w:p w14:paraId="5A402681" w14:textId="2BFCBD44" w:rsidR="00A9049C" w:rsidRPr="00CF0042" w:rsidRDefault="007F23DA" w:rsidP="000C4293">
      <w:pPr>
        <w:rPr>
          <w:rFonts w:ascii="Times New Roman" w:hAnsi="Times New Roman" w:cs="Times New Roman"/>
          <w:b/>
          <w:bCs/>
        </w:rPr>
      </w:pPr>
      <w:r w:rsidRPr="007F23DA">
        <w:rPr>
          <w:rFonts w:ascii="Times New Roman" w:hAnsi="Times New Roman" w:cs="Times New Roman"/>
          <w:b/>
          <w:bCs/>
        </w:rPr>
        <w:lastRenderedPageBreak/>
        <w:t>R</w:t>
      </w:r>
      <w:r w:rsidR="000C4293" w:rsidRPr="007F23DA">
        <w:rPr>
          <w:rFonts w:ascii="Times New Roman" w:hAnsi="Times New Roman" w:cs="Times New Roman"/>
          <w:b/>
          <w:bCs/>
        </w:rPr>
        <w:t>eferences</w:t>
      </w:r>
    </w:p>
    <w:p w14:paraId="50BD74DE" w14:textId="1F94CF41" w:rsidR="007E0018" w:rsidRDefault="007E0018" w:rsidP="000C4293">
      <w:pPr>
        <w:rPr>
          <w:rFonts w:ascii="Times New Roman" w:hAnsi="Times New Roman" w:cs="Times New Roman"/>
        </w:rPr>
      </w:pPr>
      <w:r w:rsidRPr="007E0018">
        <w:rPr>
          <w:rFonts w:ascii="Times New Roman" w:hAnsi="Times New Roman" w:cs="Times New Roman"/>
        </w:rPr>
        <w:t xml:space="preserve">IPUMS CPS. (n.d.). </w:t>
      </w:r>
      <w:hyperlink r:id="rId13" w:history="1">
        <w:r w:rsidRPr="00CB0FDE">
          <w:rPr>
            <w:rStyle w:val="Hyperlink"/>
            <w:rFonts w:ascii="Times New Roman" w:hAnsi="Times New Roman" w:cs="Times New Roman"/>
          </w:rPr>
          <w:t>Income components: Topcodes, replacement values, and swap values</w:t>
        </w:r>
      </w:hyperlink>
      <w:r w:rsidRPr="007E0018">
        <w:rPr>
          <w:rFonts w:ascii="Times New Roman" w:hAnsi="Times New Roman" w:cs="Times New Roman"/>
        </w:rPr>
        <w:t xml:space="preserve">. </w:t>
      </w:r>
    </w:p>
    <w:p w14:paraId="295E2A99" w14:textId="5DBA578C"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S. P., Burkhauser, R. V., Feng, S., &amp; Larrimore, J. (2011). </w:t>
      </w:r>
      <w:hyperlink r:id="rId14" w:history="1">
        <w:r w:rsidRPr="00027F2C">
          <w:rPr>
            <w:rStyle w:val="Hyperlink"/>
            <w:rFonts w:ascii="Times New Roman" w:hAnsi="Times New Roman" w:cs="Times New Roman"/>
          </w:rPr>
          <w:t>Measuring inequality using censored data: A multiple-imputation approach to estimation and inference</w:t>
        </w:r>
      </w:hyperlink>
      <w:r w:rsidRPr="000C4293">
        <w:rPr>
          <w:rFonts w:ascii="Times New Roman" w:hAnsi="Times New Roman" w:cs="Times New Roman"/>
        </w:rPr>
        <w:t>. </w:t>
      </w:r>
      <w:r w:rsidRPr="000C4293">
        <w:rPr>
          <w:rFonts w:ascii="Times New Roman" w:hAnsi="Times New Roman" w:cs="Times New Roman"/>
          <w:i/>
          <w:iCs/>
        </w:rPr>
        <w:t>Journal of the Royal Statistical Society: Series A (Statistics in Society), 174</w:t>
      </w:r>
      <w:r w:rsidRPr="000C4293">
        <w:rPr>
          <w:rFonts w:ascii="Times New Roman" w:hAnsi="Times New Roman" w:cs="Times New Roman"/>
        </w:rPr>
        <w:t>(1), 63–81. </w:t>
      </w:r>
      <w:r w:rsidR="00540929" w:rsidRPr="000C4293">
        <w:rPr>
          <w:rFonts w:ascii="Times New Roman" w:hAnsi="Times New Roman" w:cs="Times New Roman"/>
        </w:rPr>
        <w:t xml:space="preserve"> </w:t>
      </w:r>
    </w:p>
    <w:p w14:paraId="1C950980" w14:textId="6315AC8D" w:rsidR="000C4293" w:rsidRPr="000C4293" w:rsidRDefault="000C4293" w:rsidP="000C4293">
      <w:pPr>
        <w:rPr>
          <w:rFonts w:ascii="Times New Roman" w:hAnsi="Times New Roman" w:cs="Times New Roman"/>
        </w:rPr>
      </w:pPr>
      <w:r w:rsidRPr="000C4293">
        <w:rPr>
          <w:rFonts w:ascii="Times New Roman" w:hAnsi="Times New Roman" w:cs="Times New Roman"/>
        </w:rPr>
        <w:t>Neugschwender, J. (2020). </w:t>
      </w:r>
      <w:hyperlink r:id="rId15" w:history="1">
        <w:r w:rsidRPr="00F25BC4">
          <w:rPr>
            <w:rStyle w:val="Hyperlink"/>
            <w:rFonts w:ascii="Times New Roman" w:hAnsi="Times New Roman" w:cs="Times New Roman"/>
            <w:i/>
            <w:iCs/>
          </w:rPr>
          <w:t>Top and Bot</w:t>
        </w:r>
        <w:r w:rsidRPr="00F25BC4">
          <w:rPr>
            <w:rStyle w:val="Hyperlink"/>
            <w:rFonts w:ascii="Times New Roman" w:hAnsi="Times New Roman" w:cs="Times New Roman"/>
            <w:i/>
            <w:iCs/>
          </w:rPr>
          <w:t>t</w:t>
        </w:r>
        <w:r w:rsidRPr="00F25BC4">
          <w:rPr>
            <w:rStyle w:val="Hyperlink"/>
            <w:rFonts w:ascii="Times New Roman" w:hAnsi="Times New Roman" w:cs="Times New Roman"/>
            <w:i/>
            <w:iCs/>
          </w:rPr>
          <w:t>om Coding at LIS</w:t>
        </w:r>
      </w:hyperlink>
      <w:r w:rsidRPr="000C4293">
        <w:rPr>
          <w:rFonts w:ascii="Times New Roman" w:hAnsi="Times New Roman" w:cs="Times New Roman"/>
        </w:rPr>
        <w:t>. LIS Technical Working Paper No. 9. Luxembourg Income Study.</w:t>
      </w:r>
    </w:p>
    <w:p w14:paraId="1C9A25C8" w14:textId="75B0AA5A" w:rsidR="000C4293" w:rsidRPr="000C4293" w:rsidRDefault="000C4293" w:rsidP="000C4293">
      <w:pPr>
        <w:rPr>
          <w:rFonts w:ascii="Times New Roman" w:hAnsi="Times New Roman" w:cs="Times New Roman"/>
        </w:rPr>
      </w:pPr>
      <w:r w:rsidRPr="000C4293">
        <w:rPr>
          <w:rFonts w:ascii="Times New Roman" w:hAnsi="Times New Roman" w:cs="Times New Roman"/>
        </w:rPr>
        <w:t>U.S. Census Bureau. (2024). </w:t>
      </w:r>
      <w:hyperlink r:id="rId16" w:history="1">
        <w:r w:rsidRPr="00BD3B91">
          <w:rPr>
            <w:rStyle w:val="Hyperlink"/>
            <w:rFonts w:ascii="Times New Roman" w:hAnsi="Times New Roman" w:cs="Times New Roman"/>
            <w:i/>
            <w:iCs/>
          </w:rPr>
          <w:t>Disclosure Avoidance of Usual Hourly Earnings</w:t>
        </w:r>
      </w:hyperlink>
      <w:r w:rsidRPr="000C4293">
        <w:rPr>
          <w:rFonts w:ascii="Times New Roman" w:hAnsi="Times New Roman" w:cs="Times New Roman"/>
        </w:rPr>
        <w:t>. Current Population Survey technical documentation.</w:t>
      </w:r>
    </w:p>
    <w:p w14:paraId="2BC31AEA" w14:textId="1C435FED" w:rsidR="000C4293" w:rsidRPr="000C4293" w:rsidRDefault="000C4293" w:rsidP="000C4293">
      <w:pPr>
        <w:rPr>
          <w:rFonts w:ascii="Times New Roman" w:hAnsi="Times New Roman" w:cs="Times New Roman"/>
        </w:rPr>
      </w:pPr>
      <w:r w:rsidRPr="000C4293">
        <w:rPr>
          <w:rFonts w:ascii="Times New Roman" w:hAnsi="Times New Roman" w:cs="Times New Roman"/>
        </w:rPr>
        <w:t>Van Kerm, P. (2007). </w:t>
      </w:r>
      <w:hyperlink r:id="rId17" w:history="1">
        <w:r w:rsidRPr="00037E45">
          <w:rPr>
            <w:rStyle w:val="Hyperlink"/>
            <w:rFonts w:ascii="Times New Roman" w:hAnsi="Times New Roman" w:cs="Times New Roman"/>
            <w:i/>
            <w:iCs/>
          </w:rPr>
          <w:t>Extreme incomes and the estimation of poverty and inequality indicators from EU-SILC</w:t>
        </w:r>
        <w:r w:rsidRPr="00037E45">
          <w:rPr>
            <w:rStyle w:val="Hyperlink"/>
            <w:rFonts w:ascii="Times New Roman" w:hAnsi="Times New Roman" w:cs="Times New Roman"/>
          </w:rPr>
          <w:t>.</w:t>
        </w:r>
      </w:hyperlink>
      <w:r w:rsidRPr="000C4293">
        <w:rPr>
          <w:rFonts w:ascii="Times New Roman" w:hAnsi="Times New Roman" w:cs="Times New Roman"/>
        </w:rPr>
        <w:t xml:space="preserve"> Working paper available through the EU-SILC/Research Papers in Economics repository. </w:t>
      </w:r>
    </w:p>
    <w:p w14:paraId="3D9B37CC" w14:textId="496D9D8A" w:rsidR="000C4293" w:rsidRPr="00A44AE6" w:rsidRDefault="000C4293" w:rsidP="00C074F4">
      <w:r w:rsidRPr="19987528">
        <w:rPr>
          <w:rFonts w:ascii="Times New Roman" w:hAnsi="Times New Roman" w:cs="Times New Roman"/>
        </w:rPr>
        <w:t>World Inequality Lab. (2025). </w:t>
      </w:r>
      <w:hyperlink r:id="rId18">
        <w:r w:rsidRPr="19987528">
          <w:rPr>
            <w:rStyle w:val="Hyperlink"/>
            <w:rFonts w:ascii="Times New Roman" w:hAnsi="Times New Roman" w:cs="Times New Roman"/>
            <w:i/>
            <w:iCs/>
          </w:rPr>
          <w:t>Distributional National Accounts Guidelines 2025: Methods and Concepts Used in the World Inequality Database</w:t>
        </w:r>
      </w:hyperlink>
      <w:r w:rsidRPr="19987528">
        <w:rPr>
          <w:rFonts w:ascii="Times New Roman" w:hAnsi="Times New Roman" w:cs="Times New Roman"/>
        </w:rPr>
        <w:t xml:space="preserve">. </w:t>
      </w:r>
    </w:p>
    <w:p w14:paraId="04564AC3" w14:textId="4D753D6E" w:rsidR="19987528" w:rsidRDefault="19987528" w:rsidP="19987528">
      <w:pPr>
        <w:rPr>
          <w:rFonts w:ascii="Times New Roman" w:hAnsi="Times New Roman" w:cs="Times New Roman"/>
        </w:rPr>
      </w:pPr>
    </w:p>
    <w:p w14:paraId="03045418" w14:textId="484CFEFA" w:rsidR="006A7426" w:rsidRPr="006A7426" w:rsidRDefault="006A7426" w:rsidP="006A7426">
      <w:pPr>
        <w:rPr>
          <w:rFonts w:ascii="Times New Roman" w:hAnsi="Times New Roman" w:cs="Times New Roman"/>
          <w:b/>
          <w:bCs/>
        </w:rPr>
      </w:pPr>
      <w:r w:rsidRPr="19987528">
        <w:rPr>
          <w:rFonts w:ascii="Times New Roman" w:hAnsi="Times New Roman" w:cs="Times New Roman"/>
          <w:b/>
          <w:bCs/>
        </w:rPr>
        <w:t>Updates</w:t>
      </w:r>
      <w:r>
        <w:rPr>
          <w:rFonts w:ascii="Times New Roman" w:hAnsi="Times New Roman" w:cs="Times New Roman"/>
          <w:b/>
          <w:bCs/>
        </w:rPr>
        <w:t xml:space="preserve">: </w:t>
      </w:r>
      <w:r>
        <w:rPr>
          <w:rFonts w:ascii="Times New Roman" w:hAnsi="Times New Roman" w:cs="Times New Roman"/>
          <w:b/>
          <w:bCs/>
          <w:u w:val="single"/>
        </w:rPr>
        <w:t>September</w:t>
      </w:r>
      <w:r w:rsidRPr="006A7426">
        <w:rPr>
          <w:rFonts w:ascii="Times New Roman" w:hAnsi="Times New Roman" w:cs="Times New Roman"/>
          <w:b/>
          <w:bCs/>
          <w:u w:val="single"/>
        </w:rPr>
        <w:t xml:space="preserve"> </w:t>
      </w:r>
      <w:r>
        <w:rPr>
          <w:rFonts w:ascii="Times New Roman" w:hAnsi="Times New Roman" w:cs="Times New Roman"/>
          <w:b/>
          <w:bCs/>
          <w:u w:val="single"/>
        </w:rPr>
        <w:t>2</w:t>
      </w:r>
      <w:r w:rsidRPr="006A7426">
        <w:rPr>
          <w:rFonts w:ascii="Times New Roman" w:hAnsi="Times New Roman" w:cs="Times New Roman"/>
          <w:b/>
          <w:bCs/>
          <w:u w:val="single"/>
        </w:rPr>
        <w:t>, 2026</w:t>
      </w:r>
    </w:p>
    <w:p w14:paraId="219F19A9" w14:textId="1D9FF400" w:rsidR="37757DBB" w:rsidRDefault="37757DBB">
      <w:r w:rsidRPr="19987528">
        <w:rPr>
          <w:rFonts w:ascii="Times New Roman" w:hAnsi="Times New Roman" w:cs="Times New Roman"/>
        </w:rPr>
        <w:t>Notes</w:t>
      </w:r>
      <w:r w:rsidR="006A7426">
        <w:rPr>
          <w:rFonts w:ascii="Times New Roman" w:hAnsi="Times New Roman" w:cs="Times New Roman"/>
        </w:rPr>
        <w:t xml:space="preserve"> from</w:t>
      </w:r>
      <w:r w:rsidR="000E5D16">
        <w:rPr>
          <w:rFonts w:ascii="Times New Roman" w:hAnsi="Times New Roman" w:cs="Times New Roman"/>
        </w:rPr>
        <w:t xml:space="preserve"> previous</w:t>
      </w:r>
      <w:r w:rsidR="006A7426">
        <w:rPr>
          <w:rFonts w:ascii="Times New Roman" w:hAnsi="Times New Roman" w:cs="Times New Roman"/>
        </w:rPr>
        <w:t xml:space="preserve"> meeting</w:t>
      </w:r>
      <w:r w:rsidRPr="19987528">
        <w:rPr>
          <w:rFonts w:ascii="Times New Roman" w:hAnsi="Times New Roman" w:cs="Times New Roman"/>
        </w:rPr>
        <w:t>:</w:t>
      </w:r>
    </w:p>
    <w:p w14:paraId="1882DA9A"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LIS approach</w:t>
      </w:r>
    </w:p>
    <w:p w14:paraId="3B1C5E27"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 xml:space="preserve">Pareto fitting </w:t>
      </w:r>
    </w:p>
    <w:p w14:paraId="32DBCF6F"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Dagum distribution</w:t>
      </w:r>
    </w:p>
    <w:p w14:paraId="018803E3" w14:textId="3EA09E0B" w:rsidR="37757DBB" w:rsidRP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Fisk distribution</w:t>
      </w:r>
    </w:p>
    <w:p w14:paraId="1E3700AD" w14:textId="7CA2D2EF" w:rsidR="2973EF90" w:rsidRPr="006A7426" w:rsidRDefault="2973EF90" w:rsidP="19987528">
      <w:pPr>
        <w:rPr>
          <w:rFonts w:ascii="Times New Roman" w:hAnsi="Times New Roman" w:cs="Times New Roman"/>
        </w:rPr>
      </w:pPr>
      <w:r w:rsidRPr="006A7426">
        <w:rPr>
          <w:rFonts w:ascii="Times New Roman" w:hAnsi="Times New Roman" w:cs="Times New Roman"/>
        </w:rPr>
        <w:t>To do</w:t>
      </w:r>
      <w:r w:rsidR="006A7426" w:rsidRPr="006A7426">
        <w:rPr>
          <w:rFonts w:ascii="Times New Roman" w:hAnsi="Times New Roman" w:cs="Times New Roman"/>
        </w:rPr>
        <w:t>s</w:t>
      </w:r>
      <w:r w:rsidRPr="006A7426">
        <w:rPr>
          <w:rFonts w:ascii="Times New Roman" w:hAnsi="Times New Roman" w:cs="Times New Roman"/>
        </w:rPr>
        <w:t>:</w:t>
      </w:r>
    </w:p>
    <w:p w14:paraId="7FFA7B0C" w14:textId="1653E04A" w:rsidR="0A7B1F8F" w:rsidRDefault="0A7B1F8F" w:rsidP="19987528">
      <w:pPr>
        <w:pStyle w:val="ListParagraph"/>
        <w:numPr>
          <w:ilvl w:val="0"/>
          <w:numId w:val="1"/>
        </w:numPr>
        <w:rPr>
          <w:rFonts w:ascii="Times New Roman" w:hAnsi="Times New Roman" w:cs="Times New Roman"/>
        </w:rPr>
      </w:pPr>
      <w:r w:rsidRPr="19987528">
        <w:rPr>
          <w:rFonts w:ascii="Times New Roman" w:hAnsi="Times New Roman" w:cs="Times New Roman"/>
        </w:rPr>
        <w:t>See if Belize has newer surveys</w:t>
      </w:r>
      <w:r w:rsidR="004616D8">
        <w:rPr>
          <w:rFonts w:ascii="Times New Roman" w:hAnsi="Times New Roman" w:cs="Times New Roman"/>
        </w:rPr>
        <w:t>. Do</w:t>
      </w:r>
      <w:r w:rsidR="7DE481F1" w:rsidRPr="19987528">
        <w:rPr>
          <w:rFonts w:ascii="Times New Roman" w:hAnsi="Times New Roman" w:cs="Times New Roman"/>
        </w:rPr>
        <w:t xml:space="preserve"> a histogram with the shares of surveys within each possible extreme (distribution of shares above LIS ceiling)</w:t>
      </w:r>
    </w:p>
    <w:p w14:paraId="36BEFB62" w14:textId="4A98B84F" w:rsidR="005474C5" w:rsidRPr="005474C5" w:rsidRDefault="005474C5" w:rsidP="005474C5">
      <w:pPr>
        <w:rPr>
          <w:rFonts w:ascii="Times New Roman" w:hAnsi="Times New Roman" w:cs="Times New Roman"/>
        </w:rPr>
      </w:pPr>
      <w:r>
        <w:rPr>
          <w:rFonts w:ascii="Times New Roman" w:hAnsi="Times New Roman" w:cs="Times New Roman"/>
        </w:rPr>
        <w:t>Total surveys: 18</w:t>
      </w:r>
      <w:r w:rsidR="00235CDC">
        <w:rPr>
          <w:rFonts w:ascii="Times New Roman" w:hAnsi="Times New Roman" w:cs="Times New Roman"/>
        </w:rPr>
        <w:t>25</w:t>
      </w:r>
    </w:p>
    <w:p w14:paraId="34851D84" w14:textId="1680B295" w:rsidR="004616D8" w:rsidRDefault="008635C0" w:rsidP="004616D8">
      <w:pPr>
        <w:rPr>
          <w:rFonts w:ascii="Times New Roman" w:hAnsi="Times New Roman" w:cs="Times New Roman"/>
        </w:rPr>
      </w:pPr>
      <w:r w:rsidRPr="008635C0">
        <w:rPr>
          <w:rFonts w:ascii="Times New Roman" w:hAnsi="Times New Roman" w:cs="Times New Roman"/>
          <w:noProof/>
        </w:rPr>
        <w:drawing>
          <wp:inline distT="0" distB="0" distL="0" distR="0" wp14:anchorId="624FBDE4" wp14:editId="5B6E1228">
            <wp:extent cx="5943600" cy="1343660"/>
            <wp:effectExtent l="0" t="0" r="0" b="8890"/>
            <wp:docPr id="200487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1830" name=""/>
                    <pic:cNvPicPr/>
                  </pic:nvPicPr>
                  <pic:blipFill>
                    <a:blip r:embed="rId19"/>
                    <a:stretch>
                      <a:fillRect/>
                    </a:stretch>
                  </pic:blipFill>
                  <pic:spPr>
                    <a:xfrm>
                      <a:off x="0" y="0"/>
                      <a:ext cx="5943600" cy="1343660"/>
                    </a:xfrm>
                    <a:prstGeom prst="rect">
                      <a:avLst/>
                    </a:prstGeom>
                  </pic:spPr>
                </pic:pic>
              </a:graphicData>
            </a:graphic>
          </wp:inline>
        </w:drawing>
      </w:r>
    </w:p>
    <w:p w14:paraId="58334054" w14:textId="3B982F28" w:rsidR="008574BE" w:rsidRPr="008574BE" w:rsidRDefault="008574BE" w:rsidP="008574BE">
      <w:pPr>
        <w:pStyle w:val="ListParagraph"/>
        <w:numPr>
          <w:ilvl w:val="0"/>
          <w:numId w:val="16"/>
        </w:numPr>
        <w:rPr>
          <w:rFonts w:ascii="Times New Roman" w:hAnsi="Times New Roman" w:cs="Times New Roman"/>
        </w:rPr>
      </w:pPr>
      <w:r>
        <w:rPr>
          <w:rFonts w:ascii="Times New Roman" w:hAnsi="Times New Roman" w:cs="Times New Roman"/>
        </w:rPr>
        <w:lastRenderedPageBreak/>
        <w:t xml:space="preserve">24 surveys have 5% or more </w:t>
      </w:r>
      <w:r w:rsidR="00483D44">
        <w:rPr>
          <w:rFonts w:ascii="Times New Roman" w:hAnsi="Times New Roman" w:cs="Times New Roman"/>
        </w:rPr>
        <w:t>welfare share above LIS ceiling</w:t>
      </w:r>
      <w:r w:rsidR="00766B57">
        <w:rPr>
          <w:rFonts w:ascii="Times New Roman" w:hAnsi="Times New Roman" w:cs="Times New Roman"/>
        </w:rPr>
        <w:t xml:space="preserve">. All of them have less than 0.5% of the population in that area. </w:t>
      </w:r>
      <w:r w:rsidR="00483D44">
        <w:rPr>
          <w:rFonts w:ascii="Times New Roman" w:hAnsi="Times New Roman" w:cs="Times New Roman"/>
        </w:rPr>
        <w:t xml:space="preserve"> </w:t>
      </w:r>
      <w:r w:rsidR="00D366D6">
        <w:rPr>
          <w:rFonts w:ascii="Times New Roman" w:hAnsi="Times New Roman" w:cs="Times New Roman"/>
        </w:rPr>
        <w:t>The dashed line is the median</w:t>
      </w:r>
      <w:r w:rsidR="000E0584">
        <w:rPr>
          <w:rFonts w:ascii="Times New Roman" w:hAnsi="Times New Roman" w:cs="Times New Roman"/>
        </w:rPr>
        <w:t xml:space="preserve"> (</w:t>
      </w:r>
      <w:r w:rsidR="000E0584" w:rsidRPr="000E0584">
        <w:rPr>
          <w:rFonts w:ascii="Times New Roman" w:hAnsi="Times New Roman" w:cs="Times New Roman"/>
        </w:rPr>
        <w:t>median_share = welfare_share.median()</w:t>
      </w:r>
      <w:r w:rsidR="000E0584">
        <w:rPr>
          <w:rFonts w:ascii="Times New Roman" w:hAnsi="Times New Roman" w:cs="Times New Roman"/>
        </w:rPr>
        <w:t>)</w:t>
      </w:r>
      <w:r w:rsidR="00D366D6">
        <w:rPr>
          <w:rFonts w:ascii="Times New Roman" w:hAnsi="Times New Roman" w:cs="Times New Roman"/>
        </w:rPr>
        <w:t xml:space="preserve">. </w:t>
      </w: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960"/>
        <w:gridCol w:w="705"/>
        <w:gridCol w:w="1092"/>
        <w:gridCol w:w="1144"/>
        <w:gridCol w:w="1524"/>
        <w:gridCol w:w="2092"/>
        <w:gridCol w:w="1843"/>
      </w:tblGrid>
      <w:tr w:rsidR="00731395" w:rsidRPr="00731395" w14:paraId="078E1FC1"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DCCD15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Survey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877E40"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03251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B35E11"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Valid records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D2C832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Records above LIS ceiling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FB1166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Weighted population share above ceiling</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7B4A0EB"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Welfare share above ceiling</w:t>
            </w:r>
          </w:p>
        </w:tc>
      </w:tr>
      <w:tr w:rsidR="00731395" w:rsidRPr="00731395" w14:paraId="2136207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264F46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01ADC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73626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A9330C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BC446C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3DCD28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0.246155%</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9857D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20.090199%</w:t>
            </w:r>
          </w:p>
        </w:tc>
      </w:tr>
      <w:tr w:rsidR="00731395" w:rsidRPr="00731395" w14:paraId="101F8D6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9514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FFB98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7E4F3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B271A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660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C02C1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68C00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0.282513%</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F9AC90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19.958916%</w:t>
            </w:r>
          </w:p>
        </w:tc>
      </w:tr>
      <w:tr w:rsidR="00731395" w:rsidRPr="00731395" w14:paraId="1F28AC4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7F88A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HBS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8AAFE6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2EFBAE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1E1C37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785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4E27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4072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47F353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r>
      <w:tr w:rsidR="00731395" w:rsidRPr="00731395" w14:paraId="1E140DE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654BC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SLC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19B99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0F084E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626951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3255A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0D517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0.051692%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0FA517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3.974407%</w:t>
            </w:r>
          </w:p>
        </w:tc>
      </w:tr>
      <w:tr w:rsidR="00731395" w:rsidRPr="00731395" w14:paraId="4CBC3D00"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668A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DC9BF2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B7DDC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BC40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753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B0853C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82A85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0.113682%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13ADE"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18.243989%</w:t>
            </w:r>
          </w:p>
        </w:tc>
      </w:tr>
      <w:tr w:rsidR="00731395" w:rsidRPr="00731395" w14:paraId="5C5DA346"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C7D077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94FBC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8B27E7"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686AE5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C4A1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13AE4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0.012478%</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31088D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0.554545%</w:t>
            </w:r>
          </w:p>
        </w:tc>
      </w:tr>
      <w:tr w:rsidR="00731395" w:rsidRPr="00731395" w14:paraId="5DF33CAF"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0F4D9D4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2F96A4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1999</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13FEC2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C54938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730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63AB79D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46D9C2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0.021975%</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C0D1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0.904040%</w:t>
            </w:r>
          </w:p>
        </w:tc>
      </w:tr>
    </w:tbl>
    <w:p w14:paraId="168E875E" w14:textId="77777777" w:rsidR="002C590A" w:rsidRDefault="002C590A" w:rsidP="004616D8">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480"/>
        <w:gridCol w:w="3325"/>
        <w:gridCol w:w="705"/>
        <w:gridCol w:w="1146"/>
        <w:gridCol w:w="1650"/>
      </w:tblGrid>
      <w:tr w:rsidR="00573289" w:rsidRPr="00573289" w14:paraId="310ADEAE"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C65B18"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A175A6" w14:textId="1C3FCC8A" w:rsidR="00573289" w:rsidRPr="00573289" w:rsidRDefault="002B44B6" w:rsidP="00573289">
            <w:pPr>
              <w:rPr>
                <w:rFonts w:ascii="Times New Roman" w:hAnsi="Times New Roman" w:cs="Times New Roman"/>
                <w:b/>
                <w:bCs/>
              </w:rPr>
            </w:pPr>
            <w:r>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2B1ED2" w14:textId="43A1566E" w:rsidR="00573289" w:rsidRPr="00573289" w:rsidRDefault="002B44B6" w:rsidP="00573289">
            <w:pPr>
              <w:rPr>
                <w:rFonts w:ascii="Times New Roman" w:hAnsi="Times New Roman" w:cs="Times New Roman"/>
                <w:b/>
                <w:bCs/>
              </w:rPr>
            </w:pPr>
            <w:r>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4A3CFF" w14:textId="37E1DCD8" w:rsidR="00573289" w:rsidRPr="00573289" w:rsidRDefault="002B44B6" w:rsidP="00573289">
            <w:pPr>
              <w:rPr>
                <w:rFonts w:ascii="Times New Roman" w:hAnsi="Times New Roman" w:cs="Times New Roman"/>
                <w:b/>
                <w:bCs/>
              </w:rPr>
            </w:pPr>
            <w:r>
              <w:rPr>
                <w:rFonts w:ascii="Times New Roman" w:hAnsi="Times New Roman" w:cs="Times New Roman"/>
                <w:b/>
                <w:bCs/>
              </w:rPr>
              <w:t>Survey</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B12F341"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Welfare share</w:t>
            </w:r>
          </w:p>
        </w:tc>
      </w:tr>
      <w:tr w:rsidR="00573289" w:rsidRPr="00573289" w14:paraId="3E23420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0D796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F8179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AF24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71D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FD3DF1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41.5964%</w:t>
            </w:r>
          </w:p>
        </w:tc>
      </w:tr>
      <w:tr w:rsidR="00573289" w:rsidRPr="00573289" w14:paraId="543418B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9A93FB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FD3CC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1138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BAAF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E90A1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20.0902%</w:t>
            </w:r>
          </w:p>
        </w:tc>
      </w:tr>
      <w:tr w:rsidR="00573289" w:rsidRPr="00573289" w14:paraId="2AD8DD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A55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C09A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3A60E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A4115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F3978B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19.9589%</w:t>
            </w:r>
          </w:p>
        </w:tc>
      </w:tr>
      <w:tr w:rsidR="00573289" w:rsidRPr="00573289" w14:paraId="36F43BA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A7C38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B0507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A9F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075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2BDD07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18.2440%</w:t>
            </w:r>
          </w:p>
        </w:tc>
      </w:tr>
      <w:tr w:rsidR="00573289" w:rsidRPr="00573289" w14:paraId="036B19A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A1534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3B9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Seychelles (SYC)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3EDA2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7F034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HBS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AD9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12.0630%</w:t>
            </w:r>
          </w:p>
        </w:tc>
      </w:tr>
      <w:tr w:rsidR="00573289" w:rsidRPr="00573289" w14:paraId="0C64390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C4F3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C4973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Maldives (MDV)</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EA57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B46E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A7CAF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11.8246%</w:t>
            </w:r>
          </w:p>
        </w:tc>
      </w:tr>
      <w:tr w:rsidR="00573289" w:rsidRPr="00573289" w14:paraId="55D7496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EBAD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79AA3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84AD6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FDB1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98B7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10.9665%</w:t>
            </w:r>
          </w:p>
        </w:tc>
      </w:tr>
      <w:tr w:rsidR="00573289" w:rsidRPr="00573289" w14:paraId="5016BEE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F274B0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lastRenderedPageBreak/>
              <w:t>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774E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Ethiopia (ETH)</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8FBF22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53FD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HICES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6EF29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10.8902%</w:t>
            </w:r>
          </w:p>
        </w:tc>
      </w:tr>
      <w:tr w:rsidR="00573289" w:rsidRPr="00573289" w14:paraId="6673B94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A77E5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A592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Madagascar (MDG)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EBCDD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43F6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85A978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8.8085%</w:t>
            </w:r>
          </w:p>
        </w:tc>
      </w:tr>
      <w:tr w:rsidR="00573289" w:rsidRPr="00573289" w14:paraId="02752DF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097010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C10350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4CF17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B9D3A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EFA46A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8.4229%</w:t>
            </w:r>
          </w:p>
        </w:tc>
      </w:tr>
      <w:tr w:rsidR="00573289" w:rsidRPr="00573289" w14:paraId="65F1BE2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721B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883A66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D93732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B50E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IOF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0CAA6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8.0368%</w:t>
            </w:r>
          </w:p>
        </w:tc>
      </w:tr>
      <w:tr w:rsidR="00573289" w:rsidRPr="00573289" w14:paraId="03EF7F0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8D9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57C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Burkina Faso (BFA)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A5AA33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355E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6015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7.9044%</w:t>
            </w:r>
          </w:p>
        </w:tc>
      </w:tr>
      <w:tr w:rsidR="00573289" w:rsidRPr="00573289" w14:paraId="4255842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5E9813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0E177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A7AB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07DEEB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A3C9C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7.7505%</w:t>
            </w:r>
          </w:p>
        </w:tc>
      </w:tr>
      <w:tr w:rsidR="00573289" w:rsidRPr="00573289" w14:paraId="0357FED5"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5BAC9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DC4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Comoros (COM)</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D5B1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245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7091A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7.6145%</w:t>
            </w:r>
          </w:p>
        </w:tc>
      </w:tr>
      <w:tr w:rsidR="00573289" w:rsidRPr="00573289" w14:paraId="7C3F680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D7D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0992C9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Myanmar (MMR)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4FABD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E811A6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MPLCS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DF72A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7.4224%</w:t>
            </w:r>
          </w:p>
        </w:tc>
      </w:tr>
      <w:tr w:rsidR="00573289" w:rsidRPr="00573289" w14:paraId="0485531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87E20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F764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114C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5FD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5BCBC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7.1682%</w:t>
            </w:r>
          </w:p>
        </w:tc>
      </w:tr>
      <w:tr w:rsidR="00573289" w:rsidRPr="00573289" w14:paraId="2D3DA76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D1AC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D9D3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E992B4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1DD7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4D1BC9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7.0417%</w:t>
            </w:r>
          </w:p>
        </w:tc>
      </w:tr>
      <w:tr w:rsidR="00573289" w:rsidRPr="00573289" w14:paraId="7B90A4A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14C08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F4367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FDA90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EF7C80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IAF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2C21AF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6.7657%</w:t>
            </w:r>
          </w:p>
        </w:tc>
      </w:tr>
      <w:tr w:rsidR="00573289" w:rsidRPr="00573289" w14:paraId="5A8D74C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09ACB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334F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901A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6453F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AF66B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6.5026%</w:t>
            </w:r>
          </w:p>
        </w:tc>
      </w:tr>
      <w:tr w:rsidR="00573289" w:rsidRPr="00573289" w14:paraId="122E37C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C517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1839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57379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7FB679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2C1718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6.1369%</w:t>
            </w:r>
          </w:p>
        </w:tc>
      </w:tr>
      <w:tr w:rsidR="00573289" w:rsidRPr="00573289" w14:paraId="0BD0F43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1F2D1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122D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Central African Republic (CAF)</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7375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55F39D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ECASEB</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39A73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5.4657%</w:t>
            </w:r>
          </w:p>
        </w:tc>
      </w:tr>
      <w:tr w:rsidR="00573289" w:rsidRPr="00573289" w14:paraId="5705548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A350EB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08323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1FD8F5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70425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ACC4C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5.3731%</w:t>
            </w:r>
          </w:p>
        </w:tc>
      </w:tr>
      <w:tr w:rsidR="00573289" w:rsidRPr="00573289" w14:paraId="059D08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891A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0DC074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40F82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EBF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AC2FE2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5.3613%</w:t>
            </w:r>
          </w:p>
        </w:tc>
      </w:tr>
      <w:tr w:rsidR="00573289" w:rsidRPr="00573289" w14:paraId="112041A7"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744D3A9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24</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1CDAEF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ABCFF3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1F9876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70D3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5.0918%</w:t>
            </w:r>
          </w:p>
        </w:tc>
      </w:tr>
    </w:tbl>
    <w:p w14:paraId="0C95E6A6" w14:textId="77777777" w:rsidR="00573289" w:rsidRDefault="00573289" w:rsidP="004616D8">
      <w:pPr>
        <w:rPr>
          <w:rFonts w:ascii="Times New Roman" w:hAnsi="Times New Roman" w:cs="Times New Roman"/>
        </w:rPr>
      </w:pPr>
    </w:p>
    <w:p w14:paraId="3E043086" w14:textId="1A5FA615" w:rsidR="00A969F3" w:rsidRPr="000E0584" w:rsidRDefault="00AE44B4" w:rsidP="004616D8">
      <w:pPr>
        <w:rPr>
          <w:rFonts w:ascii="Times New Roman" w:hAnsi="Times New Roman" w:cs="Times New Roman"/>
          <w:b/>
          <w:bCs/>
        </w:rPr>
      </w:pPr>
      <w:r w:rsidRPr="000E0584">
        <w:rPr>
          <w:rFonts w:ascii="Times New Roman" w:hAnsi="Times New Roman" w:cs="Times New Roman"/>
          <w:b/>
          <w:bCs/>
        </w:rPr>
        <w:t>Change in mean using LIS coding</w:t>
      </w:r>
      <w:r w:rsidR="000E0584">
        <w:rPr>
          <w:rFonts w:ascii="Times New Roman" w:hAnsi="Times New Roman" w:cs="Times New Roman"/>
          <w:b/>
          <w:bCs/>
        </w:rPr>
        <w:t xml:space="preserve">: </w:t>
      </w:r>
    </w:p>
    <w:tbl>
      <w:tblPr>
        <w:tblW w:w="3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AE44B4" w:rsidRPr="00AE44B4" w14:paraId="0C6AC567" w14:textId="77777777" w:rsidTr="000E0584">
        <w:trPr>
          <w:trHeight w:val="285"/>
        </w:trPr>
        <w:tc>
          <w:tcPr>
            <w:tcW w:w="1020" w:type="dxa"/>
            <w:noWrap/>
            <w:vAlign w:val="bottom"/>
            <w:hideMark/>
          </w:tcPr>
          <w:p w14:paraId="01C81F75"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lastRenderedPageBreak/>
              <w:t>Country</w:t>
            </w:r>
          </w:p>
        </w:tc>
        <w:tc>
          <w:tcPr>
            <w:tcW w:w="1020" w:type="dxa"/>
            <w:noWrap/>
            <w:vAlign w:val="bottom"/>
            <w:hideMark/>
          </w:tcPr>
          <w:p w14:paraId="756B75C3"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362" w:type="dxa"/>
            <w:noWrap/>
            <w:vAlign w:val="bottom"/>
            <w:hideMark/>
          </w:tcPr>
          <w:p w14:paraId="3691A4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AE44B4" w:rsidRPr="00AE44B4" w14:paraId="46D231E9" w14:textId="77777777" w:rsidTr="000E0584">
        <w:trPr>
          <w:trHeight w:val="285"/>
        </w:trPr>
        <w:tc>
          <w:tcPr>
            <w:tcW w:w="1020" w:type="dxa"/>
            <w:noWrap/>
            <w:vAlign w:val="bottom"/>
            <w:hideMark/>
          </w:tcPr>
          <w:p w14:paraId="7723BDD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313778A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81CE03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AE44B4" w:rsidRPr="00AE44B4" w14:paraId="0B6CB3F3" w14:textId="77777777" w:rsidTr="000E0584">
        <w:trPr>
          <w:trHeight w:val="285"/>
        </w:trPr>
        <w:tc>
          <w:tcPr>
            <w:tcW w:w="1020" w:type="dxa"/>
            <w:noWrap/>
            <w:vAlign w:val="bottom"/>
            <w:hideMark/>
          </w:tcPr>
          <w:p w14:paraId="08D19DA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6C98BEC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ADB558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AE44B4" w:rsidRPr="00AE44B4" w14:paraId="5F92A57D" w14:textId="77777777" w:rsidTr="000E0584">
        <w:trPr>
          <w:trHeight w:val="285"/>
        </w:trPr>
        <w:tc>
          <w:tcPr>
            <w:tcW w:w="1020" w:type="dxa"/>
            <w:noWrap/>
            <w:vAlign w:val="bottom"/>
            <w:hideMark/>
          </w:tcPr>
          <w:p w14:paraId="6440229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0B7B758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362" w:type="dxa"/>
            <w:noWrap/>
            <w:vAlign w:val="bottom"/>
            <w:hideMark/>
          </w:tcPr>
          <w:p w14:paraId="1A58E69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AE44B4" w:rsidRPr="00AE44B4" w14:paraId="27442978" w14:textId="77777777" w:rsidTr="000E0584">
        <w:trPr>
          <w:trHeight w:val="285"/>
        </w:trPr>
        <w:tc>
          <w:tcPr>
            <w:tcW w:w="1020" w:type="dxa"/>
            <w:noWrap/>
            <w:vAlign w:val="bottom"/>
            <w:hideMark/>
          </w:tcPr>
          <w:p w14:paraId="17E3919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1054236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06DEAA9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AE44B4" w:rsidRPr="00AE44B4" w14:paraId="2C49CFEB" w14:textId="77777777" w:rsidTr="000E0584">
        <w:trPr>
          <w:trHeight w:val="285"/>
        </w:trPr>
        <w:tc>
          <w:tcPr>
            <w:tcW w:w="1020" w:type="dxa"/>
            <w:noWrap/>
            <w:vAlign w:val="bottom"/>
            <w:hideMark/>
          </w:tcPr>
          <w:p w14:paraId="7CF7B1A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4567B5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362" w:type="dxa"/>
            <w:noWrap/>
            <w:vAlign w:val="bottom"/>
            <w:hideMark/>
          </w:tcPr>
          <w:p w14:paraId="369C7BE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AE44B4" w:rsidRPr="00AE44B4" w14:paraId="0586F46B" w14:textId="77777777" w:rsidTr="000E0584">
        <w:trPr>
          <w:trHeight w:val="285"/>
        </w:trPr>
        <w:tc>
          <w:tcPr>
            <w:tcW w:w="1020" w:type="dxa"/>
            <w:noWrap/>
            <w:vAlign w:val="bottom"/>
            <w:hideMark/>
          </w:tcPr>
          <w:p w14:paraId="26BA280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4E9ECDE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362" w:type="dxa"/>
            <w:noWrap/>
            <w:vAlign w:val="bottom"/>
            <w:hideMark/>
          </w:tcPr>
          <w:p w14:paraId="3D4E726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AE44B4" w:rsidRPr="00AE44B4" w14:paraId="043E74C1" w14:textId="77777777" w:rsidTr="000E0584">
        <w:trPr>
          <w:trHeight w:val="285"/>
        </w:trPr>
        <w:tc>
          <w:tcPr>
            <w:tcW w:w="1020" w:type="dxa"/>
            <w:noWrap/>
            <w:vAlign w:val="bottom"/>
            <w:hideMark/>
          </w:tcPr>
          <w:p w14:paraId="255B660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3E667E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7D03577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AE44B4" w:rsidRPr="00AE44B4" w14:paraId="5357A19A" w14:textId="77777777" w:rsidTr="000E0584">
        <w:trPr>
          <w:trHeight w:val="285"/>
        </w:trPr>
        <w:tc>
          <w:tcPr>
            <w:tcW w:w="1020" w:type="dxa"/>
            <w:noWrap/>
            <w:vAlign w:val="bottom"/>
            <w:hideMark/>
          </w:tcPr>
          <w:p w14:paraId="6B11B666"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218F604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146DCCD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AE44B4" w:rsidRPr="00AE44B4" w14:paraId="0E467525" w14:textId="77777777" w:rsidTr="000E0584">
        <w:trPr>
          <w:trHeight w:val="285"/>
        </w:trPr>
        <w:tc>
          <w:tcPr>
            <w:tcW w:w="1020" w:type="dxa"/>
            <w:noWrap/>
            <w:vAlign w:val="bottom"/>
            <w:hideMark/>
          </w:tcPr>
          <w:p w14:paraId="63DF80D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05D8CA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362" w:type="dxa"/>
            <w:noWrap/>
            <w:vAlign w:val="bottom"/>
            <w:hideMark/>
          </w:tcPr>
          <w:p w14:paraId="6FEA658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AE44B4" w:rsidRPr="00AE44B4" w14:paraId="4D512EB1" w14:textId="77777777" w:rsidTr="000E0584">
        <w:trPr>
          <w:trHeight w:val="285"/>
        </w:trPr>
        <w:tc>
          <w:tcPr>
            <w:tcW w:w="1020" w:type="dxa"/>
            <w:noWrap/>
            <w:vAlign w:val="bottom"/>
            <w:hideMark/>
          </w:tcPr>
          <w:p w14:paraId="4008B26E"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28B2035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503647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AE44B4" w:rsidRPr="00AE44B4" w14:paraId="1F5BDA87" w14:textId="77777777" w:rsidTr="000E0584">
        <w:trPr>
          <w:trHeight w:val="285"/>
        </w:trPr>
        <w:tc>
          <w:tcPr>
            <w:tcW w:w="1020" w:type="dxa"/>
            <w:noWrap/>
            <w:vAlign w:val="bottom"/>
            <w:hideMark/>
          </w:tcPr>
          <w:p w14:paraId="3E791C22"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47392A6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771C9A6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AE44B4" w:rsidRPr="00AE44B4" w14:paraId="229A2449" w14:textId="77777777" w:rsidTr="000E0584">
        <w:trPr>
          <w:trHeight w:val="285"/>
        </w:trPr>
        <w:tc>
          <w:tcPr>
            <w:tcW w:w="1020" w:type="dxa"/>
            <w:noWrap/>
            <w:vAlign w:val="bottom"/>
            <w:hideMark/>
          </w:tcPr>
          <w:p w14:paraId="21DB2B9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7024CCD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362" w:type="dxa"/>
            <w:noWrap/>
            <w:vAlign w:val="bottom"/>
            <w:hideMark/>
          </w:tcPr>
          <w:p w14:paraId="4ED37E1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AE44B4" w:rsidRPr="00AE44B4" w14:paraId="3B23B34E" w14:textId="77777777" w:rsidTr="000E0584">
        <w:trPr>
          <w:trHeight w:val="285"/>
        </w:trPr>
        <w:tc>
          <w:tcPr>
            <w:tcW w:w="1020" w:type="dxa"/>
            <w:noWrap/>
            <w:vAlign w:val="bottom"/>
            <w:hideMark/>
          </w:tcPr>
          <w:p w14:paraId="0E6EC0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49E5D4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1109AC4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AE44B4" w:rsidRPr="00AE44B4" w14:paraId="5876FE7A" w14:textId="77777777" w:rsidTr="000E0584">
        <w:trPr>
          <w:trHeight w:val="285"/>
        </w:trPr>
        <w:tc>
          <w:tcPr>
            <w:tcW w:w="1020" w:type="dxa"/>
            <w:noWrap/>
            <w:vAlign w:val="bottom"/>
            <w:hideMark/>
          </w:tcPr>
          <w:p w14:paraId="63A28D0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E0A24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362" w:type="dxa"/>
            <w:noWrap/>
            <w:vAlign w:val="bottom"/>
            <w:hideMark/>
          </w:tcPr>
          <w:p w14:paraId="16190239"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AE44B4" w:rsidRPr="00AE44B4" w14:paraId="69768110" w14:textId="77777777" w:rsidTr="000E0584">
        <w:trPr>
          <w:trHeight w:val="285"/>
        </w:trPr>
        <w:tc>
          <w:tcPr>
            <w:tcW w:w="1020" w:type="dxa"/>
            <w:noWrap/>
            <w:vAlign w:val="bottom"/>
            <w:hideMark/>
          </w:tcPr>
          <w:p w14:paraId="680D69E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65A3DB9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5A2C1D8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AE44B4" w:rsidRPr="00AE44B4" w14:paraId="6A170000" w14:textId="77777777" w:rsidTr="000E0584">
        <w:trPr>
          <w:trHeight w:val="285"/>
        </w:trPr>
        <w:tc>
          <w:tcPr>
            <w:tcW w:w="1020" w:type="dxa"/>
            <w:noWrap/>
            <w:vAlign w:val="bottom"/>
            <w:hideMark/>
          </w:tcPr>
          <w:p w14:paraId="024230A9"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405181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362" w:type="dxa"/>
            <w:noWrap/>
            <w:vAlign w:val="bottom"/>
            <w:hideMark/>
          </w:tcPr>
          <w:p w14:paraId="11EDC7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AE44B4" w:rsidRPr="00AE44B4" w14:paraId="3EEFB0DB" w14:textId="77777777" w:rsidTr="000E0584">
        <w:trPr>
          <w:trHeight w:val="285"/>
        </w:trPr>
        <w:tc>
          <w:tcPr>
            <w:tcW w:w="1020" w:type="dxa"/>
            <w:noWrap/>
            <w:vAlign w:val="bottom"/>
            <w:hideMark/>
          </w:tcPr>
          <w:p w14:paraId="0F67FBD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2335E4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362" w:type="dxa"/>
            <w:noWrap/>
            <w:vAlign w:val="bottom"/>
            <w:hideMark/>
          </w:tcPr>
          <w:p w14:paraId="657B1C0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AE44B4" w:rsidRPr="00AE44B4" w14:paraId="21FB1035" w14:textId="77777777" w:rsidTr="000E0584">
        <w:trPr>
          <w:trHeight w:val="285"/>
        </w:trPr>
        <w:tc>
          <w:tcPr>
            <w:tcW w:w="1020" w:type="dxa"/>
            <w:noWrap/>
            <w:vAlign w:val="bottom"/>
            <w:hideMark/>
          </w:tcPr>
          <w:p w14:paraId="0C6099C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70F72C9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5575C45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AE44B4" w:rsidRPr="00AE44B4" w14:paraId="4A1961D5" w14:textId="77777777" w:rsidTr="000E0584">
        <w:trPr>
          <w:trHeight w:val="285"/>
        </w:trPr>
        <w:tc>
          <w:tcPr>
            <w:tcW w:w="1020" w:type="dxa"/>
            <w:noWrap/>
            <w:vAlign w:val="bottom"/>
            <w:hideMark/>
          </w:tcPr>
          <w:p w14:paraId="37A994B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7FBB646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5306E20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AE44B4" w:rsidRPr="00AE44B4" w14:paraId="3981E3E9" w14:textId="77777777" w:rsidTr="000E0584">
        <w:trPr>
          <w:trHeight w:val="285"/>
        </w:trPr>
        <w:tc>
          <w:tcPr>
            <w:tcW w:w="1020" w:type="dxa"/>
            <w:noWrap/>
            <w:vAlign w:val="bottom"/>
            <w:hideMark/>
          </w:tcPr>
          <w:p w14:paraId="4ACB12E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BA1F32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3EFAE07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AE44B4" w:rsidRPr="00AE44B4" w14:paraId="18EE45DB" w14:textId="77777777" w:rsidTr="000E0584">
        <w:trPr>
          <w:trHeight w:val="285"/>
        </w:trPr>
        <w:tc>
          <w:tcPr>
            <w:tcW w:w="1020" w:type="dxa"/>
            <w:noWrap/>
            <w:vAlign w:val="bottom"/>
            <w:hideMark/>
          </w:tcPr>
          <w:p w14:paraId="471141B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7C126AF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699F222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645399D2" w14:textId="1AB5C26F" w:rsidR="000545E4" w:rsidRPr="004616D8" w:rsidRDefault="000545E4" w:rsidP="004616D8">
      <w:pPr>
        <w:rPr>
          <w:rFonts w:ascii="Times New Roman" w:hAnsi="Times New Roman" w:cs="Times New Roman"/>
        </w:rPr>
      </w:pPr>
      <w:r w:rsidRPr="000545E4">
        <w:rPr>
          <w:rFonts w:ascii="Times New Roman" w:hAnsi="Times New Roman" w:cs="Times New Roman"/>
          <w:noProof/>
        </w:rPr>
        <w:lastRenderedPageBreak/>
        <w:drawing>
          <wp:inline distT="0" distB="0" distL="0" distR="0" wp14:anchorId="7DF9F296" wp14:editId="5B9B5594">
            <wp:extent cx="5943600" cy="4909820"/>
            <wp:effectExtent l="0" t="0" r="0" b="5080"/>
            <wp:docPr id="59232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909820"/>
                    </a:xfrm>
                    <a:prstGeom prst="rect">
                      <a:avLst/>
                    </a:prstGeom>
                    <a:noFill/>
                    <a:ln>
                      <a:noFill/>
                    </a:ln>
                  </pic:spPr>
                </pic:pic>
              </a:graphicData>
            </a:graphic>
          </wp:inline>
        </w:drawing>
      </w:r>
    </w:p>
    <w:p w14:paraId="780FBC46" w14:textId="019C2254" w:rsidR="7DE481F1" w:rsidRDefault="7DE481F1" w:rsidP="19987528">
      <w:pPr>
        <w:pStyle w:val="ListParagraph"/>
        <w:numPr>
          <w:ilvl w:val="0"/>
          <w:numId w:val="1"/>
        </w:numPr>
        <w:rPr>
          <w:rFonts w:ascii="Times New Roman" w:hAnsi="Times New Roman" w:cs="Times New Roman"/>
        </w:rPr>
      </w:pPr>
      <w:r w:rsidRPr="19987528">
        <w:rPr>
          <w:rFonts w:ascii="Times New Roman" w:hAnsi="Times New Roman" w:cs="Times New Roman"/>
        </w:rPr>
        <w:t xml:space="preserve">Understand why CPS does the average of the top 3%. See what they have done in other years. See if this is a better option as mean is not affected. </w:t>
      </w:r>
    </w:p>
    <w:p w14:paraId="6DCAE661" w14:textId="77777777" w:rsidR="007E55AC" w:rsidRPr="007E55AC" w:rsidRDefault="007E55AC" w:rsidP="007E55AC">
      <w:pPr>
        <w:ind w:left="360"/>
        <w:rPr>
          <w:rFonts w:ascii="Times New Roman" w:hAnsi="Times New Roman" w:cs="Times New Roman"/>
        </w:rPr>
      </w:pPr>
      <w:r w:rsidRPr="007E55AC">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1BF4FFB1" w14:textId="77777777" w:rsidR="007E55AC" w:rsidRDefault="007E55AC" w:rsidP="007E55AC">
      <w:pPr>
        <w:rPr>
          <w:rFonts w:ascii="Times New Roman" w:hAnsi="Times New Roman" w:cs="Times New Roman"/>
        </w:rPr>
      </w:pPr>
      <w:r w:rsidRPr="007E55AC">
        <w:rPr>
          <w:rFonts w:ascii="Times New Roman" w:hAnsi="Times New Roman" w:cs="Times New Roman"/>
        </w:rPr>
        <w:t xml:space="preserve">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w:t>
      </w:r>
      <w:r w:rsidRPr="007E55AC">
        <w:rPr>
          <w:rFonts w:ascii="Times New Roman" w:hAnsi="Times New Roman" w:cs="Times New Roman"/>
        </w:rPr>
        <w:lastRenderedPageBreak/>
        <w:t>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p>
    <w:p w14:paraId="6DCAAC37" w14:textId="77777777" w:rsidR="002B44B6" w:rsidRDefault="002B44B6" w:rsidP="007E55AC">
      <w:pPr>
        <w:rPr>
          <w:rFonts w:ascii="Times New Roman" w:hAnsi="Times New Roman" w:cs="Times New Roman"/>
        </w:rPr>
      </w:pPr>
    </w:p>
    <w:p w14:paraId="0EBD6F15" w14:textId="5226DBF3" w:rsidR="007A72A5" w:rsidRDefault="00B630F4" w:rsidP="007E55AC">
      <w:pPr>
        <w:rPr>
          <w:rFonts w:ascii="Times New Roman" w:hAnsi="Times New Roman" w:cs="Times New Roman"/>
        </w:rPr>
      </w:pPr>
      <w:r>
        <w:rPr>
          <w:rFonts w:ascii="Times New Roman" w:hAnsi="Times New Roman" w:cs="Times New Roman"/>
        </w:rPr>
        <w:t>Notes:</w:t>
      </w:r>
    </w:p>
    <w:p w14:paraId="06B763E5" w14:textId="59F009AE" w:rsidR="00B630F4" w:rsidRPr="00B630F4" w:rsidRDefault="00B630F4" w:rsidP="00B630F4">
      <w:pPr>
        <w:pStyle w:val="ListParagraph"/>
        <w:numPr>
          <w:ilvl w:val="0"/>
          <w:numId w:val="17"/>
        </w:numPr>
        <w:rPr>
          <w:rFonts w:ascii="Times New Roman" w:hAnsi="Times New Roman" w:cs="Times New Roman"/>
        </w:rPr>
      </w:pPr>
      <w:r w:rsidRPr="00B630F4">
        <w:rPr>
          <w:rFonts w:ascii="Times New Roman" w:hAnsi="Times New Roman" w:cs="Times New Roman"/>
        </w:rPr>
        <w:t xml:space="preserve">Add GINI </w:t>
      </w:r>
      <w:r w:rsidR="00F21492" w:rsidRPr="00B630F4">
        <w:rPr>
          <w:rFonts w:ascii="Times New Roman" w:hAnsi="Times New Roman" w:cs="Times New Roman"/>
        </w:rPr>
        <w:t>to</w:t>
      </w:r>
      <w:r w:rsidRPr="00B630F4">
        <w:rPr>
          <w:rFonts w:ascii="Times New Roman" w:hAnsi="Times New Roman" w:cs="Times New Roman"/>
        </w:rPr>
        <w:t xml:space="preserve"> this table:</w:t>
      </w:r>
    </w:p>
    <w:p w14:paraId="2DAA1635" w14:textId="77777777" w:rsidR="00B630F4" w:rsidRPr="000E0584" w:rsidRDefault="00B630F4" w:rsidP="00B630F4">
      <w:pPr>
        <w:rPr>
          <w:rFonts w:ascii="Times New Roman" w:hAnsi="Times New Roman" w:cs="Times New Roman"/>
          <w:b/>
          <w:bCs/>
        </w:rPr>
      </w:pPr>
      <w:r w:rsidRPr="000E0584">
        <w:rPr>
          <w:rFonts w:ascii="Times New Roman" w:hAnsi="Times New Roman" w:cs="Times New Roman"/>
          <w:b/>
          <w:bCs/>
        </w:rPr>
        <w:t>Change in mean using LIS coding</w:t>
      </w:r>
      <w:r>
        <w:rPr>
          <w:rFonts w:ascii="Times New Roman" w:hAnsi="Times New Roman" w:cs="Times New Roman"/>
          <w:b/>
          <w:bCs/>
        </w:rPr>
        <w:t xml:space="preserve">: </w:t>
      </w:r>
    </w:p>
    <w:tbl>
      <w:tblPr>
        <w:tblW w:w="3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B630F4" w:rsidRPr="00AE44B4" w14:paraId="53BEA47F" w14:textId="77777777" w:rsidTr="00980A20">
        <w:trPr>
          <w:trHeight w:val="285"/>
        </w:trPr>
        <w:tc>
          <w:tcPr>
            <w:tcW w:w="1020" w:type="dxa"/>
            <w:noWrap/>
            <w:vAlign w:val="bottom"/>
            <w:hideMark/>
          </w:tcPr>
          <w:p w14:paraId="7122CD5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Country</w:t>
            </w:r>
          </w:p>
        </w:tc>
        <w:tc>
          <w:tcPr>
            <w:tcW w:w="1020" w:type="dxa"/>
            <w:noWrap/>
            <w:vAlign w:val="bottom"/>
            <w:hideMark/>
          </w:tcPr>
          <w:p w14:paraId="5F2D480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548" w:type="dxa"/>
            <w:noWrap/>
            <w:vAlign w:val="bottom"/>
            <w:hideMark/>
          </w:tcPr>
          <w:p w14:paraId="6730BC8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B630F4" w:rsidRPr="00AE44B4" w14:paraId="40BCD7E6" w14:textId="77777777" w:rsidTr="00980A20">
        <w:trPr>
          <w:trHeight w:val="285"/>
        </w:trPr>
        <w:tc>
          <w:tcPr>
            <w:tcW w:w="1020" w:type="dxa"/>
            <w:noWrap/>
            <w:vAlign w:val="bottom"/>
            <w:hideMark/>
          </w:tcPr>
          <w:p w14:paraId="53B9813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0E9EF61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0353CBC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B630F4" w:rsidRPr="00AE44B4" w14:paraId="342F4FD0" w14:textId="77777777" w:rsidTr="00980A20">
        <w:trPr>
          <w:trHeight w:val="285"/>
        </w:trPr>
        <w:tc>
          <w:tcPr>
            <w:tcW w:w="1020" w:type="dxa"/>
            <w:noWrap/>
            <w:vAlign w:val="bottom"/>
            <w:hideMark/>
          </w:tcPr>
          <w:p w14:paraId="27B3672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2889106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2D47BD2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B630F4" w:rsidRPr="00AE44B4" w14:paraId="6D34637D" w14:textId="77777777" w:rsidTr="00980A20">
        <w:trPr>
          <w:trHeight w:val="285"/>
        </w:trPr>
        <w:tc>
          <w:tcPr>
            <w:tcW w:w="1020" w:type="dxa"/>
            <w:noWrap/>
            <w:vAlign w:val="bottom"/>
            <w:hideMark/>
          </w:tcPr>
          <w:p w14:paraId="1615BA9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5AA3755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548" w:type="dxa"/>
            <w:noWrap/>
            <w:vAlign w:val="bottom"/>
            <w:hideMark/>
          </w:tcPr>
          <w:p w14:paraId="4BD95F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B630F4" w:rsidRPr="00AE44B4" w14:paraId="10E6ADC7" w14:textId="77777777" w:rsidTr="00980A20">
        <w:trPr>
          <w:trHeight w:val="285"/>
        </w:trPr>
        <w:tc>
          <w:tcPr>
            <w:tcW w:w="1020" w:type="dxa"/>
            <w:noWrap/>
            <w:vAlign w:val="bottom"/>
            <w:hideMark/>
          </w:tcPr>
          <w:p w14:paraId="0DD9B17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737AE4A5"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4CA27EC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B630F4" w:rsidRPr="00AE44B4" w14:paraId="45C3B41F" w14:textId="77777777" w:rsidTr="00980A20">
        <w:trPr>
          <w:trHeight w:val="285"/>
        </w:trPr>
        <w:tc>
          <w:tcPr>
            <w:tcW w:w="1020" w:type="dxa"/>
            <w:noWrap/>
            <w:vAlign w:val="bottom"/>
            <w:hideMark/>
          </w:tcPr>
          <w:p w14:paraId="7CA56D1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7156848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548" w:type="dxa"/>
            <w:noWrap/>
            <w:vAlign w:val="bottom"/>
            <w:hideMark/>
          </w:tcPr>
          <w:p w14:paraId="1F2767B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B630F4" w:rsidRPr="00AE44B4" w14:paraId="5AFBBD06" w14:textId="77777777" w:rsidTr="00980A20">
        <w:trPr>
          <w:trHeight w:val="285"/>
        </w:trPr>
        <w:tc>
          <w:tcPr>
            <w:tcW w:w="1020" w:type="dxa"/>
            <w:noWrap/>
            <w:vAlign w:val="bottom"/>
            <w:hideMark/>
          </w:tcPr>
          <w:p w14:paraId="7FE1E9C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18D2029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548" w:type="dxa"/>
            <w:noWrap/>
            <w:vAlign w:val="bottom"/>
            <w:hideMark/>
          </w:tcPr>
          <w:p w14:paraId="4BBADEA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B630F4" w:rsidRPr="00AE44B4" w14:paraId="2466359A" w14:textId="77777777" w:rsidTr="00980A20">
        <w:trPr>
          <w:trHeight w:val="285"/>
        </w:trPr>
        <w:tc>
          <w:tcPr>
            <w:tcW w:w="1020" w:type="dxa"/>
            <w:noWrap/>
            <w:vAlign w:val="bottom"/>
            <w:hideMark/>
          </w:tcPr>
          <w:p w14:paraId="068F76A9"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48C7DEF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6C0FAE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B630F4" w:rsidRPr="00AE44B4" w14:paraId="51C15435" w14:textId="77777777" w:rsidTr="00980A20">
        <w:trPr>
          <w:trHeight w:val="285"/>
        </w:trPr>
        <w:tc>
          <w:tcPr>
            <w:tcW w:w="1020" w:type="dxa"/>
            <w:noWrap/>
            <w:vAlign w:val="bottom"/>
            <w:hideMark/>
          </w:tcPr>
          <w:p w14:paraId="00232BF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60596B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181F5D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B630F4" w:rsidRPr="00AE44B4" w14:paraId="2210F22B" w14:textId="77777777" w:rsidTr="00980A20">
        <w:trPr>
          <w:trHeight w:val="285"/>
        </w:trPr>
        <w:tc>
          <w:tcPr>
            <w:tcW w:w="1020" w:type="dxa"/>
            <w:noWrap/>
            <w:vAlign w:val="bottom"/>
            <w:hideMark/>
          </w:tcPr>
          <w:p w14:paraId="00C84EF2"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F895DA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548" w:type="dxa"/>
            <w:noWrap/>
            <w:vAlign w:val="bottom"/>
            <w:hideMark/>
          </w:tcPr>
          <w:p w14:paraId="73DA8AE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B630F4" w:rsidRPr="00AE44B4" w14:paraId="43BF03C5" w14:textId="77777777" w:rsidTr="00980A20">
        <w:trPr>
          <w:trHeight w:val="285"/>
        </w:trPr>
        <w:tc>
          <w:tcPr>
            <w:tcW w:w="1020" w:type="dxa"/>
            <w:noWrap/>
            <w:vAlign w:val="bottom"/>
            <w:hideMark/>
          </w:tcPr>
          <w:p w14:paraId="7F2716B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19A0369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25A0D5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B630F4" w:rsidRPr="00AE44B4" w14:paraId="4B8C079D" w14:textId="77777777" w:rsidTr="00980A20">
        <w:trPr>
          <w:trHeight w:val="285"/>
        </w:trPr>
        <w:tc>
          <w:tcPr>
            <w:tcW w:w="1020" w:type="dxa"/>
            <w:noWrap/>
            <w:vAlign w:val="bottom"/>
            <w:hideMark/>
          </w:tcPr>
          <w:p w14:paraId="120080C0"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3857F3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2129617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B630F4" w:rsidRPr="00AE44B4" w14:paraId="4AF73353" w14:textId="77777777" w:rsidTr="00980A20">
        <w:trPr>
          <w:trHeight w:val="285"/>
        </w:trPr>
        <w:tc>
          <w:tcPr>
            <w:tcW w:w="1020" w:type="dxa"/>
            <w:noWrap/>
            <w:vAlign w:val="bottom"/>
            <w:hideMark/>
          </w:tcPr>
          <w:p w14:paraId="560CEA8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488E046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548" w:type="dxa"/>
            <w:noWrap/>
            <w:vAlign w:val="bottom"/>
            <w:hideMark/>
          </w:tcPr>
          <w:p w14:paraId="0B4AADB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B630F4" w:rsidRPr="00AE44B4" w14:paraId="6EAF7E2A" w14:textId="77777777" w:rsidTr="00980A20">
        <w:trPr>
          <w:trHeight w:val="285"/>
        </w:trPr>
        <w:tc>
          <w:tcPr>
            <w:tcW w:w="1020" w:type="dxa"/>
            <w:noWrap/>
            <w:vAlign w:val="bottom"/>
            <w:hideMark/>
          </w:tcPr>
          <w:p w14:paraId="0878DBE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1F9A1F1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76A68E5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B630F4" w:rsidRPr="00AE44B4" w14:paraId="45275D50" w14:textId="77777777" w:rsidTr="00980A20">
        <w:trPr>
          <w:trHeight w:val="285"/>
        </w:trPr>
        <w:tc>
          <w:tcPr>
            <w:tcW w:w="1020" w:type="dxa"/>
            <w:noWrap/>
            <w:vAlign w:val="bottom"/>
            <w:hideMark/>
          </w:tcPr>
          <w:p w14:paraId="5D87F41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43ABE04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548" w:type="dxa"/>
            <w:noWrap/>
            <w:vAlign w:val="bottom"/>
            <w:hideMark/>
          </w:tcPr>
          <w:p w14:paraId="33C91B4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B630F4" w:rsidRPr="00AE44B4" w14:paraId="2F90FC63" w14:textId="77777777" w:rsidTr="00980A20">
        <w:trPr>
          <w:trHeight w:val="285"/>
        </w:trPr>
        <w:tc>
          <w:tcPr>
            <w:tcW w:w="1020" w:type="dxa"/>
            <w:noWrap/>
            <w:vAlign w:val="bottom"/>
            <w:hideMark/>
          </w:tcPr>
          <w:p w14:paraId="12339198"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5F652B4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73AA32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B630F4" w:rsidRPr="00AE44B4" w14:paraId="38529031" w14:textId="77777777" w:rsidTr="00980A20">
        <w:trPr>
          <w:trHeight w:val="285"/>
        </w:trPr>
        <w:tc>
          <w:tcPr>
            <w:tcW w:w="1020" w:type="dxa"/>
            <w:noWrap/>
            <w:vAlign w:val="bottom"/>
            <w:hideMark/>
          </w:tcPr>
          <w:p w14:paraId="682F1BC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724AB6B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548" w:type="dxa"/>
            <w:noWrap/>
            <w:vAlign w:val="bottom"/>
            <w:hideMark/>
          </w:tcPr>
          <w:p w14:paraId="3750F84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B630F4" w:rsidRPr="00AE44B4" w14:paraId="3860E7E1" w14:textId="77777777" w:rsidTr="00980A20">
        <w:trPr>
          <w:trHeight w:val="285"/>
        </w:trPr>
        <w:tc>
          <w:tcPr>
            <w:tcW w:w="1020" w:type="dxa"/>
            <w:noWrap/>
            <w:vAlign w:val="bottom"/>
            <w:hideMark/>
          </w:tcPr>
          <w:p w14:paraId="5272890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0F00D57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548" w:type="dxa"/>
            <w:noWrap/>
            <w:vAlign w:val="bottom"/>
            <w:hideMark/>
          </w:tcPr>
          <w:p w14:paraId="2E095DD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B630F4" w:rsidRPr="00AE44B4" w14:paraId="10692B1F" w14:textId="77777777" w:rsidTr="00980A20">
        <w:trPr>
          <w:trHeight w:val="285"/>
        </w:trPr>
        <w:tc>
          <w:tcPr>
            <w:tcW w:w="1020" w:type="dxa"/>
            <w:noWrap/>
            <w:vAlign w:val="bottom"/>
            <w:hideMark/>
          </w:tcPr>
          <w:p w14:paraId="78AC6B1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099649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59140A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B630F4" w:rsidRPr="00AE44B4" w14:paraId="6FA9F15E" w14:textId="77777777" w:rsidTr="00980A20">
        <w:trPr>
          <w:trHeight w:val="285"/>
        </w:trPr>
        <w:tc>
          <w:tcPr>
            <w:tcW w:w="1020" w:type="dxa"/>
            <w:noWrap/>
            <w:vAlign w:val="bottom"/>
            <w:hideMark/>
          </w:tcPr>
          <w:p w14:paraId="2DA7F47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1F59650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385661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B630F4" w:rsidRPr="00AE44B4" w14:paraId="193F8430" w14:textId="77777777" w:rsidTr="00980A20">
        <w:trPr>
          <w:trHeight w:val="285"/>
        </w:trPr>
        <w:tc>
          <w:tcPr>
            <w:tcW w:w="1020" w:type="dxa"/>
            <w:noWrap/>
            <w:vAlign w:val="bottom"/>
            <w:hideMark/>
          </w:tcPr>
          <w:p w14:paraId="659D96C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9AD9B2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426A2C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B630F4" w:rsidRPr="00AE44B4" w14:paraId="25129EDD" w14:textId="77777777" w:rsidTr="00980A20">
        <w:trPr>
          <w:trHeight w:val="285"/>
        </w:trPr>
        <w:tc>
          <w:tcPr>
            <w:tcW w:w="1020" w:type="dxa"/>
            <w:noWrap/>
            <w:vAlign w:val="bottom"/>
            <w:hideMark/>
          </w:tcPr>
          <w:p w14:paraId="34BEDB6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18F3366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57B44F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0243F4B9" w14:textId="77777777" w:rsidR="00B35999" w:rsidRDefault="00B35999" w:rsidP="00087166">
      <w:pPr>
        <w:rPr>
          <w:rFonts w:ascii="Times New Roman" w:hAnsi="Times New Roman" w:cs="Times New Roman"/>
        </w:rPr>
      </w:pPr>
    </w:p>
    <w:tbl>
      <w:tblPr>
        <w:tblStyle w:val="TableGrid"/>
        <w:tblW w:w="0" w:type="auto"/>
        <w:tblLook w:val="04A0" w:firstRow="1" w:lastRow="0" w:firstColumn="1" w:lastColumn="0" w:noHBand="0" w:noVBand="1"/>
      </w:tblPr>
      <w:tblGrid>
        <w:gridCol w:w="1870"/>
        <w:gridCol w:w="1870"/>
        <w:gridCol w:w="1870"/>
        <w:gridCol w:w="1870"/>
        <w:gridCol w:w="1870"/>
      </w:tblGrid>
      <w:tr w:rsidR="00F04D6D" w:rsidRPr="00F04D6D" w14:paraId="1E94264E" w14:textId="77777777">
        <w:tc>
          <w:tcPr>
            <w:tcW w:w="1870" w:type="dxa"/>
          </w:tcPr>
          <w:p w14:paraId="4C14472A"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Country</w:t>
            </w:r>
          </w:p>
        </w:tc>
        <w:tc>
          <w:tcPr>
            <w:tcW w:w="1870" w:type="dxa"/>
          </w:tcPr>
          <w:p w14:paraId="40FAFEC8"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Year</w:t>
            </w:r>
          </w:p>
        </w:tc>
        <w:tc>
          <w:tcPr>
            <w:tcW w:w="1870" w:type="dxa"/>
          </w:tcPr>
          <w:p w14:paraId="780D2767"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mean_ppp_day change (%)</w:t>
            </w:r>
          </w:p>
        </w:tc>
        <w:tc>
          <w:tcPr>
            <w:tcW w:w="1870" w:type="dxa"/>
          </w:tcPr>
          <w:p w14:paraId="2BAD9813"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Gini change (%)</w:t>
            </w:r>
          </w:p>
        </w:tc>
        <w:tc>
          <w:tcPr>
            <w:tcW w:w="1870" w:type="dxa"/>
          </w:tcPr>
          <w:p w14:paraId="3DAFDBE8"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welfare_type</w:t>
            </w:r>
          </w:p>
        </w:tc>
      </w:tr>
      <w:tr w:rsidR="00F04D6D" w:rsidRPr="00F04D6D" w14:paraId="71AF524A" w14:textId="77777777">
        <w:tc>
          <w:tcPr>
            <w:tcW w:w="1870" w:type="dxa"/>
          </w:tcPr>
          <w:p w14:paraId="348E3BB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MWI</w:t>
            </w:r>
          </w:p>
        </w:tc>
        <w:tc>
          <w:tcPr>
            <w:tcW w:w="1870" w:type="dxa"/>
          </w:tcPr>
          <w:p w14:paraId="4F9539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1997</w:t>
            </w:r>
          </w:p>
        </w:tc>
        <w:tc>
          <w:tcPr>
            <w:tcW w:w="1870" w:type="dxa"/>
          </w:tcPr>
          <w:p w14:paraId="2ABED2C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-37.9435</w:t>
            </w:r>
          </w:p>
        </w:tc>
        <w:tc>
          <w:tcPr>
            <w:tcW w:w="1870" w:type="dxa"/>
          </w:tcPr>
          <w:p w14:paraId="75A80F6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-31.8231</w:t>
            </w:r>
          </w:p>
        </w:tc>
        <w:tc>
          <w:tcPr>
            <w:tcW w:w="1870" w:type="dxa"/>
          </w:tcPr>
          <w:p w14:paraId="4B64B63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331F2377" w14:textId="77777777">
        <w:tc>
          <w:tcPr>
            <w:tcW w:w="1870" w:type="dxa"/>
          </w:tcPr>
          <w:p w14:paraId="6DF4D9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6555075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1997</w:t>
            </w:r>
          </w:p>
        </w:tc>
        <w:tc>
          <w:tcPr>
            <w:tcW w:w="1870" w:type="dxa"/>
          </w:tcPr>
          <w:p w14:paraId="0A08259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-14.3101</w:t>
            </w:r>
          </w:p>
        </w:tc>
        <w:tc>
          <w:tcPr>
            <w:tcW w:w="1870" w:type="dxa"/>
          </w:tcPr>
          <w:p w14:paraId="7596210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-11.0145</w:t>
            </w:r>
          </w:p>
        </w:tc>
        <w:tc>
          <w:tcPr>
            <w:tcW w:w="1870" w:type="dxa"/>
          </w:tcPr>
          <w:p w14:paraId="1B7D5B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534AC45" w14:textId="77777777">
        <w:tc>
          <w:tcPr>
            <w:tcW w:w="1870" w:type="dxa"/>
          </w:tcPr>
          <w:p w14:paraId="4CA0517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3D6215C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1994</w:t>
            </w:r>
          </w:p>
        </w:tc>
        <w:tc>
          <w:tcPr>
            <w:tcW w:w="1870" w:type="dxa"/>
          </w:tcPr>
          <w:p w14:paraId="76EA3B1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-13.6962</w:t>
            </w:r>
          </w:p>
        </w:tc>
        <w:tc>
          <w:tcPr>
            <w:tcW w:w="1870" w:type="dxa"/>
          </w:tcPr>
          <w:p w14:paraId="12E9223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-10.2905</w:t>
            </w:r>
          </w:p>
        </w:tc>
        <w:tc>
          <w:tcPr>
            <w:tcW w:w="1870" w:type="dxa"/>
          </w:tcPr>
          <w:p w14:paraId="14D186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0FB5A664" w14:textId="77777777">
        <w:tc>
          <w:tcPr>
            <w:tcW w:w="1870" w:type="dxa"/>
          </w:tcPr>
          <w:p w14:paraId="10C19F6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6F0DA93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1993</w:t>
            </w:r>
          </w:p>
        </w:tc>
        <w:tc>
          <w:tcPr>
            <w:tcW w:w="1870" w:type="dxa"/>
          </w:tcPr>
          <w:p w14:paraId="7A2222B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-13.3214</w:t>
            </w:r>
          </w:p>
        </w:tc>
        <w:tc>
          <w:tcPr>
            <w:tcW w:w="1870" w:type="dxa"/>
          </w:tcPr>
          <w:p w14:paraId="0A9A77B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-10.1697</w:t>
            </w:r>
          </w:p>
        </w:tc>
        <w:tc>
          <w:tcPr>
            <w:tcW w:w="1870" w:type="dxa"/>
          </w:tcPr>
          <w:p w14:paraId="62EF41A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7171EE7E" w14:textId="77777777">
        <w:tc>
          <w:tcPr>
            <w:tcW w:w="1870" w:type="dxa"/>
          </w:tcPr>
          <w:p w14:paraId="46BD093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MWI</w:t>
            </w:r>
          </w:p>
        </w:tc>
        <w:tc>
          <w:tcPr>
            <w:tcW w:w="1870" w:type="dxa"/>
          </w:tcPr>
          <w:p w14:paraId="5D1685D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2016</w:t>
            </w:r>
          </w:p>
        </w:tc>
        <w:tc>
          <w:tcPr>
            <w:tcW w:w="1870" w:type="dxa"/>
          </w:tcPr>
          <w:p w14:paraId="4419C8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-9.6541</w:t>
            </w:r>
          </w:p>
        </w:tc>
        <w:tc>
          <w:tcPr>
            <w:tcW w:w="1870" w:type="dxa"/>
          </w:tcPr>
          <w:p w14:paraId="2C40BF7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-13.2185</w:t>
            </w:r>
          </w:p>
        </w:tc>
        <w:tc>
          <w:tcPr>
            <w:tcW w:w="1870" w:type="dxa"/>
          </w:tcPr>
          <w:p w14:paraId="4AFD45F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27300BB8" w14:textId="77777777">
        <w:tc>
          <w:tcPr>
            <w:tcW w:w="1870" w:type="dxa"/>
          </w:tcPr>
          <w:p w14:paraId="3AD748D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lastRenderedPageBreak/>
              <w:t>SYC</w:t>
            </w:r>
          </w:p>
        </w:tc>
        <w:tc>
          <w:tcPr>
            <w:tcW w:w="1870" w:type="dxa"/>
          </w:tcPr>
          <w:p w14:paraId="70123D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2013</w:t>
            </w:r>
          </w:p>
        </w:tc>
        <w:tc>
          <w:tcPr>
            <w:tcW w:w="1870" w:type="dxa"/>
          </w:tcPr>
          <w:p w14:paraId="06D5842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-9.6404</w:t>
            </w:r>
          </w:p>
        </w:tc>
        <w:tc>
          <w:tcPr>
            <w:tcW w:w="1870" w:type="dxa"/>
          </w:tcPr>
          <w:p w14:paraId="483A646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-12.0917</w:t>
            </w:r>
          </w:p>
        </w:tc>
        <w:tc>
          <w:tcPr>
            <w:tcW w:w="1870" w:type="dxa"/>
          </w:tcPr>
          <w:p w14:paraId="032B177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28500E17" w14:textId="77777777">
        <w:tc>
          <w:tcPr>
            <w:tcW w:w="1870" w:type="dxa"/>
          </w:tcPr>
          <w:p w14:paraId="793E635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MDV</w:t>
            </w:r>
          </w:p>
        </w:tc>
        <w:tc>
          <w:tcPr>
            <w:tcW w:w="1870" w:type="dxa"/>
          </w:tcPr>
          <w:p w14:paraId="6976EF9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2002</w:t>
            </w:r>
          </w:p>
        </w:tc>
        <w:tc>
          <w:tcPr>
            <w:tcW w:w="1870" w:type="dxa"/>
          </w:tcPr>
          <w:p w14:paraId="12D2DAD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-8.8979</w:t>
            </w:r>
          </w:p>
        </w:tc>
        <w:tc>
          <w:tcPr>
            <w:tcW w:w="1870" w:type="dxa"/>
          </w:tcPr>
          <w:p w14:paraId="3E2303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-13.8446</w:t>
            </w:r>
          </w:p>
        </w:tc>
        <w:tc>
          <w:tcPr>
            <w:tcW w:w="1870" w:type="dxa"/>
          </w:tcPr>
          <w:p w14:paraId="605141A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60AAC443" w14:textId="77777777">
        <w:tc>
          <w:tcPr>
            <w:tcW w:w="1870" w:type="dxa"/>
          </w:tcPr>
          <w:p w14:paraId="2239563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NOR</w:t>
            </w:r>
          </w:p>
        </w:tc>
        <w:tc>
          <w:tcPr>
            <w:tcW w:w="1870" w:type="dxa"/>
          </w:tcPr>
          <w:p w14:paraId="0CACFE8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2005</w:t>
            </w:r>
          </w:p>
        </w:tc>
        <w:tc>
          <w:tcPr>
            <w:tcW w:w="1870" w:type="dxa"/>
          </w:tcPr>
          <w:p w14:paraId="63AD61A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-6.5096</w:t>
            </w:r>
          </w:p>
        </w:tc>
        <w:tc>
          <w:tcPr>
            <w:tcW w:w="1870" w:type="dxa"/>
          </w:tcPr>
          <w:p w14:paraId="0D87162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-15.1128</w:t>
            </w:r>
          </w:p>
        </w:tc>
        <w:tc>
          <w:tcPr>
            <w:tcW w:w="1870" w:type="dxa"/>
          </w:tcPr>
          <w:p w14:paraId="1268FC7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635C7D0" w14:textId="77777777">
        <w:tc>
          <w:tcPr>
            <w:tcW w:w="1870" w:type="dxa"/>
          </w:tcPr>
          <w:p w14:paraId="1238266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ETH</w:t>
            </w:r>
          </w:p>
        </w:tc>
        <w:tc>
          <w:tcPr>
            <w:tcW w:w="1870" w:type="dxa"/>
          </w:tcPr>
          <w:p w14:paraId="0F2695D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1995</w:t>
            </w:r>
          </w:p>
        </w:tc>
        <w:tc>
          <w:tcPr>
            <w:tcW w:w="1870" w:type="dxa"/>
          </w:tcPr>
          <w:p w14:paraId="564E163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-6.2831</w:t>
            </w:r>
          </w:p>
        </w:tc>
        <w:tc>
          <w:tcPr>
            <w:tcW w:w="1870" w:type="dxa"/>
          </w:tcPr>
          <w:p w14:paraId="0CB72B0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-8.3212</w:t>
            </w:r>
          </w:p>
        </w:tc>
        <w:tc>
          <w:tcPr>
            <w:tcW w:w="1870" w:type="dxa"/>
          </w:tcPr>
          <w:p w14:paraId="69FA665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5A4CB647" w14:textId="77777777">
        <w:tc>
          <w:tcPr>
            <w:tcW w:w="1870" w:type="dxa"/>
          </w:tcPr>
          <w:p w14:paraId="183F621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52A2B29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2002</w:t>
            </w:r>
          </w:p>
        </w:tc>
        <w:tc>
          <w:tcPr>
            <w:tcW w:w="1870" w:type="dxa"/>
          </w:tcPr>
          <w:p w14:paraId="46A956F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-5.7206</w:t>
            </w:r>
          </w:p>
        </w:tc>
        <w:tc>
          <w:tcPr>
            <w:tcW w:w="1870" w:type="dxa"/>
          </w:tcPr>
          <w:p w14:paraId="6979357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-4.5262</w:t>
            </w:r>
          </w:p>
        </w:tc>
        <w:tc>
          <w:tcPr>
            <w:tcW w:w="1870" w:type="dxa"/>
          </w:tcPr>
          <w:p w14:paraId="6A04EED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C785DDB" w14:textId="77777777">
        <w:tc>
          <w:tcPr>
            <w:tcW w:w="1870" w:type="dxa"/>
          </w:tcPr>
          <w:p w14:paraId="4BF9B6C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MDG</w:t>
            </w:r>
          </w:p>
        </w:tc>
        <w:tc>
          <w:tcPr>
            <w:tcW w:w="1870" w:type="dxa"/>
          </w:tcPr>
          <w:p w14:paraId="45E4F8B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1993</w:t>
            </w:r>
          </w:p>
        </w:tc>
        <w:tc>
          <w:tcPr>
            <w:tcW w:w="1870" w:type="dxa"/>
          </w:tcPr>
          <w:p w14:paraId="7C26157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-4.6672</w:t>
            </w:r>
          </w:p>
        </w:tc>
        <w:tc>
          <w:tcPr>
            <w:tcW w:w="1870" w:type="dxa"/>
          </w:tcPr>
          <w:p w14:paraId="5C133F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-5.9057</w:t>
            </w:r>
          </w:p>
        </w:tc>
        <w:tc>
          <w:tcPr>
            <w:tcW w:w="1870" w:type="dxa"/>
          </w:tcPr>
          <w:p w14:paraId="696B17A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11740E77" w14:textId="77777777">
        <w:tc>
          <w:tcPr>
            <w:tcW w:w="1870" w:type="dxa"/>
          </w:tcPr>
          <w:p w14:paraId="40B566C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MMR</w:t>
            </w:r>
          </w:p>
        </w:tc>
        <w:tc>
          <w:tcPr>
            <w:tcW w:w="1870" w:type="dxa"/>
          </w:tcPr>
          <w:p w14:paraId="0A34164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2015</w:t>
            </w:r>
          </w:p>
        </w:tc>
        <w:tc>
          <w:tcPr>
            <w:tcW w:w="1870" w:type="dxa"/>
          </w:tcPr>
          <w:p w14:paraId="0B46F6D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-4.5592</w:t>
            </w:r>
          </w:p>
        </w:tc>
        <w:tc>
          <w:tcPr>
            <w:tcW w:w="1870" w:type="dxa"/>
          </w:tcPr>
          <w:p w14:paraId="3C792C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-7.7558</w:t>
            </w:r>
          </w:p>
        </w:tc>
        <w:tc>
          <w:tcPr>
            <w:tcW w:w="1870" w:type="dxa"/>
          </w:tcPr>
          <w:p w14:paraId="0FB442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0778885B" w14:textId="77777777">
        <w:tc>
          <w:tcPr>
            <w:tcW w:w="1870" w:type="dxa"/>
          </w:tcPr>
          <w:p w14:paraId="2C5BAA1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NOR</w:t>
            </w:r>
          </w:p>
        </w:tc>
        <w:tc>
          <w:tcPr>
            <w:tcW w:w="1870" w:type="dxa"/>
          </w:tcPr>
          <w:p w14:paraId="539943C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39C9A95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-4.2655</w:t>
            </w:r>
          </w:p>
        </w:tc>
        <w:tc>
          <w:tcPr>
            <w:tcW w:w="1870" w:type="dxa"/>
          </w:tcPr>
          <w:p w14:paraId="08735BF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-10.1010</w:t>
            </w:r>
          </w:p>
        </w:tc>
        <w:tc>
          <w:tcPr>
            <w:tcW w:w="1870" w:type="dxa"/>
          </w:tcPr>
          <w:p w14:paraId="4C9B938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16FD2ABD" w14:textId="77777777">
        <w:tc>
          <w:tcPr>
            <w:tcW w:w="1870" w:type="dxa"/>
          </w:tcPr>
          <w:p w14:paraId="3613AF6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2C3CB99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2007</w:t>
            </w:r>
          </w:p>
        </w:tc>
        <w:tc>
          <w:tcPr>
            <w:tcW w:w="1870" w:type="dxa"/>
          </w:tcPr>
          <w:p w14:paraId="30A7BD8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-4.2235</w:t>
            </w:r>
          </w:p>
        </w:tc>
        <w:tc>
          <w:tcPr>
            <w:tcW w:w="1870" w:type="dxa"/>
          </w:tcPr>
          <w:p w14:paraId="2E1EB35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-3.9012</w:t>
            </w:r>
          </w:p>
        </w:tc>
        <w:tc>
          <w:tcPr>
            <w:tcW w:w="1870" w:type="dxa"/>
          </w:tcPr>
          <w:p w14:paraId="6AD20B0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55FE4E10" w14:textId="77777777">
        <w:tc>
          <w:tcPr>
            <w:tcW w:w="1870" w:type="dxa"/>
          </w:tcPr>
          <w:p w14:paraId="095D546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BFA</w:t>
            </w:r>
          </w:p>
        </w:tc>
        <w:tc>
          <w:tcPr>
            <w:tcW w:w="1870" w:type="dxa"/>
          </w:tcPr>
          <w:p w14:paraId="5C7CA32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1998</w:t>
            </w:r>
          </w:p>
        </w:tc>
        <w:tc>
          <w:tcPr>
            <w:tcW w:w="1870" w:type="dxa"/>
          </w:tcPr>
          <w:p w14:paraId="348CDD6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-4.0508</w:t>
            </w:r>
          </w:p>
        </w:tc>
        <w:tc>
          <w:tcPr>
            <w:tcW w:w="1870" w:type="dxa"/>
          </w:tcPr>
          <w:p w14:paraId="1B175D8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-4.2238</w:t>
            </w:r>
          </w:p>
        </w:tc>
        <w:tc>
          <w:tcPr>
            <w:tcW w:w="1870" w:type="dxa"/>
          </w:tcPr>
          <w:p w14:paraId="6A6C40C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0A1B8130" w14:textId="77777777">
        <w:tc>
          <w:tcPr>
            <w:tcW w:w="1870" w:type="dxa"/>
          </w:tcPr>
          <w:p w14:paraId="18059C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MOZ</w:t>
            </w:r>
          </w:p>
        </w:tc>
        <w:tc>
          <w:tcPr>
            <w:tcW w:w="1870" w:type="dxa"/>
          </w:tcPr>
          <w:p w14:paraId="2A64ACA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2014</w:t>
            </w:r>
          </w:p>
        </w:tc>
        <w:tc>
          <w:tcPr>
            <w:tcW w:w="1870" w:type="dxa"/>
          </w:tcPr>
          <w:p w14:paraId="7340E14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-3.8355</w:t>
            </w:r>
          </w:p>
        </w:tc>
        <w:tc>
          <w:tcPr>
            <w:tcW w:w="1870" w:type="dxa"/>
          </w:tcPr>
          <w:p w14:paraId="1B0F53B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-3.3936</w:t>
            </w:r>
          </w:p>
        </w:tc>
        <w:tc>
          <w:tcPr>
            <w:tcW w:w="1870" w:type="dxa"/>
          </w:tcPr>
          <w:p w14:paraId="360C1F5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4419646D" w14:textId="77777777">
        <w:tc>
          <w:tcPr>
            <w:tcW w:w="1870" w:type="dxa"/>
          </w:tcPr>
          <w:p w14:paraId="5C37B87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COM</w:t>
            </w:r>
          </w:p>
        </w:tc>
        <w:tc>
          <w:tcPr>
            <w:tcW w:w="1870" w:type="dxa"/>
          </w:tcPr>
          <w:p w14:paraId="60ACCFF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2004</w:t>
            </w:r>
          </w:p>
        </w:tc>
        <w:tc>
          <w:tcPr>
            <w:tcW w:w="1870" w:type="dxa"/>
          </w:tcPr>
          <w:p w14:paraId="60B3716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-3.7019</w:t>
            </w:r>
          </w:p>
        </w:tc>
        <w:tc>
          <w:tcPr>
            <w:tcW w:w="1870" w:type="dxa"/>
          </w:tcPr>
          <w:p w14:paraId="5F115B9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-3.0262</w:t>
            </w:r>
          </w:p>
        </w:tc>
        <w:tc>
          <w:tcPr>
            <w:tcW w:w="1870" w:type="dxa"/>
          </w:tcPr>
          <w:p w14:paraId="37F4C43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56761232" w14:textId="77777777">
        <w:tc>
          <w:tcPr>
            <w:tcW w:w="1870" w:type="dxa"/>
          </w:tcPr>
          <w:p w14:paraId="1D2E84A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BEL</w:t>
            </w:r>
          </w:p>
        </w:tc>
        <w:tc>
          <w:tcPr>
            <w:tcW w:w="1870" w:type="dxa"/>
          </w:tcPr>
          <w:p w14:paraId="1CA32F4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2005</w:t>
            </w:r>
          </w:p>
        </w:tc>
        <w:tc>
          <w:tcPr>
            <w:tcW w:w="1870" w:type="dxa"/>
          </w:tcPr>
          <w:p w14:paraId="3B5A0E1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-3.6156</w:t>
            </w:r>
          </w:p>
        </w:tc>
        <w:tc>
          <w:tcPr>
            <w:tcW w:w="1870" w:type="dxa"/>
          </w:tcPr>
          <w:p w14:paraId="08DA500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-8.5307</w:t>
            </w:r>
          </w:p>
        </w:tc>
        <w:tc>
          <w:tcPr>
            <w:tcW w:w="1870" w:type="dxa"/>
          </w:tcPr>
          <w:p w14:paraId="3A3D230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02BDA1A9" w14:textId="77777777">
        <w:tc>
          <w:tcPr>
            <w:tcW w:w="1870" w:type="dxa"/>
          </w:tcPr>
          <w:p w14:paraId="0AA4E0A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ECU</w:t>
            </w:r>
          </w:p>
        </w:tc>
        <w:tc>
          <w:tcPr>
            <w:tcW w:w="1870" w:type="dxa"/>
          </w:tcPr>
          <w:p w14:paraId="724B545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4EF04AA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-3.4100</w:t>
            </w:r>
          </w:p>
        </w:tc>
        <w:tc>
          <w:tcPr>
            <w:tcW w:w="1870" w:type="dxa"/>
          </w:tcPr>
          <w:p w14:paraId="736BCA0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-3.2319</w:t>
            </w:r>
          </w:p>
        </w:tc>
        <w:tc>
          <w:tcPr>
            <w:tcW w:w="1870" w:type="dxa"/>
          </w:tcPr>
          <w:p w14:paraId="0932F3B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7E1DDD23" w14:textId="77777777">
        <w:tc>
          <w:tcPr>
            <w:tcW w:w="1870" w:type="dxa"/>
          </w:tcPr>
          <w:p w14:paraId="3FEF778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60C8890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083D910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-3.2393</w:t>
            </w:r>
          </w:p>
        </w:tc>
        <w:tc>
          <w:tcPr>
            <w:tcW w:w="1870" w:type="dxa"/>
          </w:tcPr>
          <w:p w14:paraId="3CF0CDC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-2.9703</w:t>
            </w:r>
          </w:p>
        </w:tc>
        <w:tc>
          <w:tcPr>
            <w:tcW w:w="1870" w:type="dxa"/>
          </w:tcPr>
          <w:p w14:paraId="7D13DD4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31DC36C" w14:textId="77777777">
        <w:tc>
          <w:tcPr>
            <w:tcW w:w="1870" w:type="dxa"/>
          </w:tcPr>
          <w:p w14:paraId="5AB985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GEO</w:t>
            </w:r>
          </w:p>
        </w:tc>
        <w:tc>
          <w:tcPr>
            <w:tcW w:w="1870" w:type="dxa"/>
          </w:tcPr>
          <w:p w14:paraId="1A4F97B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1998</w:t>
            </w:r>
          </w:p>
        </w:tc>
        <w:tc>
          <w:tcPr>
            <w:tcW w:w="1870" w:type="dxa"/>
          </w:tcPr>
          <w:p w14:paraId="7A7D0E5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-3.1323</w:t>
            </w:r>
          </w:p>
        </w:tc>
        <w:tc>
          <w:tcPr>
            <w:tcW w:w="1870" w:type="dxa"/>
          </w:tcPr>
          <w:p w14:paraId="2A9B1F6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-4.6043</w:t>
            </w:r>
          </w:p>
        </w:tc>
        <w:tc>
          <w:tcPr>
            <w:tcW w:w="1870" w:type="dxa"/>
          </w:tcPr>
          <w:p w14:paraId="1C10948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bl>
    <w:p w14:paraId="101088A9" w14:textId="77777777" w:rsidR="000C4A9B" w:rsidRDefault="000C4A9B" w:rsidP="00087166">
      <w:pPr>
        <w:rPr>
          <w:rFonts w:ascii="Times New Roman" w:hAnsi="Times New Roman" w:cs="Times New Roman"/>
        </w:rPr>
      </w:pPr>
    </w:p>
    <w:p w14:paraId="64B2C4CA" w14:textId="04C4813D" w:rsidR="000C4A9B" w:rsidRPr="00B630F4" w:rsidRDefault="00A85EE7" w:rsidP="00087166">
      <w:pPr>
        <w:rPr>
          <w:rFonts w:ascii="Times New Roman" w:hAnsi="Times New Roman" w:cs="Times New Roman"/>
        </w:rPr>
      </w:pPr>
      <w:r>
        <w:rPr>
          <w:rFonts w:ascii="Times New Roman" w:hAnsi="Times New Roman" w:cs="Times New Roman"/>
        </w:rPr>
        <w:t>Consumption surveys: 14</w:t>
      </w:r>
      <w:r>
        <w:rPr>
          <w:rFonts w:ascii="Times New Roman" w:hAnsi="Times New Roman" w:cs="Times New Roman"/>
        </w:rPr>
        <w:br/>
        <w:t>Income surveys: 10</w:t>
      </w:r>
    </w:p>
    <w:p w14:paraId="39496F13" w14:textId="3F0253E3" w:rsidR="009C7A90" w:rsidRDefault="00F21492" w:rsidP="00B630F4">
      <w:pPr>
        <w:pStyle w:val="ListParagraph"/>
        <w:numPr>
          <w:ilvl w:val="0"/>
          <w:numId w:val="17"/>
        </w:numPr>
        <w:rPr>
          <w:rFonts w:ascii="Times New Roman" w:hAnsi="Times New Roman" w:cs="Times New Roman"/>
        </w:rPr>
      </w:pPr>
      <w:r>
        <w:rPr>
          <w:rFonts w:ascii="Times New Roman" w:hAnsi="Times New Roman" w:cs="Times New Roman"/>
        </w:rPr>
        <w:t>Calculate w</w:t>
      </w:r>
      <w:r w:rsidR="009C7A90" w:rsidRPr="009C7A90">
        <w:rPr>
          <w:rFonts w:ascii="Times New Roman" w:hAnsi="Times New Roman" w:cs="Times New Roman"/>
        </w:rPr>
        <w:t>ealth concentration by dividing sha</w:t>
      </w:r>
      <w:r w:rsidR="009C7A90">
        <w:rPr>
          <w:rFonts w:ascii="Times New Roman" w:hAnsi="Times New Roman" w:cs="Times New Roman"/>
        </w:rPr>
        <w:t>re/population</w:t>
      </w:r>
      <w:r>
        <w:rPr>
          <w:rFonts w:ascii="Times New Roman" w:hAnsi="Times New Roman" w:cs="Times New Roman"/>
        </w:rPr>
        <w:t>. Analyze</w:t>
      </w:r>
      <w:r w:rsidR="005671F2">
        <w:rPr>
          <w:rFonts w:ascii="Times New Roman" w:hAnsi="Times New Roman" w:cs="Times New Roman"/>
        </w:rPr>
        <w:t xml:space="preserve"> </w:t>
      </w:r>
      <w:r>
        <w:rPr>
          <w:rFonts w:ascii="Times New Roman" w:hAnsi="Times New Roman" w:cs="Times New Roman"/>
        </w:rPr>
        <w:t>c</w:t>
      </w:r>
      <w:r w:rsidR="005671F2" w:rsidRPr="005671F2">
        <w:rPr>
          <w:rFonts w:ascii="Times New Roman" w:hAnsi="Times New Roman" w:cs="Times New Roman"/>
        </w:rPr>
        <w:t>oncentration at different levels... pick 1 percent and cut it .1 percent, .5 percent and see what income of this groups have and compare across countries</w:t>
      </w:r>
    </w:p>
    <w:p w14:paraId="4040C35F" w14:textId="59BAE31C" w:rsidR="009A7547" w:rsidRPr="00B34903" w:rsidRDefault="005671F2" w:rsidP="00B34903">
      <w:pPr>
        <w:pStyle w:val="ListParagraph"/>
        <w:numPr>
          <w:ilvl w:val="0"/>
          <w:numId w:val="17"/>
        </w:numPr>
        <w:rPr>
          <w:rFonts w:ascii="Times New Roman" w:hAnsi="Times New Roman" w:cs="Times New Roman"/>
        </w:rPr>
      </w:pPr>
      <w:r w:rsidRPr="009A7547">
        <w:rPr>
          <w:rFonts w:ascii="Times New Roman" w:hAnsi="Times New Roman" w:cs="Times New Roman"/>
        </w:rPr>
        <w:t xml:space="preserve">Try </w:t>
      </w:r>
      <w:r w:rsidR="007A72A5" w:rsidRPr="009A7547">
        <w:rPr>
          <w:rFonts w:ascii="Times New Roman" w:hAnsi="Times New Roman" w:cs="Times New Roman"/>
        </w:rPr>
        <w:t>Outdetect stata</w:t>
      </w:r>
      <w:r w:rsidR="009A7547" w:rsidRPr="009A7547">
        <w:rPr>
          <w:rFonts w:ascii="Times New Roman" w:hAnsi="Times New Roman" w:cs="Times New Roman"/>
        </w:rPr>
        <w:t>:</w:t>
      </w:r>
      <w:r w:rsidR="00B34903">
        <w:rPr>
          <w:rFonts w:ascii="Times New Roman" w:hAnsi="Times New Roman" w:cs="Times New Roman"/>
        </w:rPr>
        <w:t xml:space="preserve"> </w:t>
      </w:r>
      <w:hyperlink r:id="rId21" w:history="1">
        <w:r w:rsidR="00EB6D63" w:rsidRPr="002B4823">
          <w:rPr>
            <w:rStyle w:val="Hyperlink"/>
            <w:rFonts w:ascii="Times New Roman" w:hAnsi="Times New Roman" w:cs="Times New Roman"/>
          </w:rPr>
          <w:t>https://openknowledge.worldbank.org/server/api/core/bitstreams/a8021d9e-bdcd-5371-b00c-589e10b5c0ec/content</w:t>
        </w:r>
      </w:hyperlink>
    </w:p>
    <w:p w14:paraId="5A96F129" w14:textId="65CEC63E" w:rsidR="006F263B" w:rsidRDefault="00EB6D63" w:rsidP="00EB6D63">
      <w:pPr>
        <w:tabs>
          <w:tab w:val="left" w:pos="4142"/>
        </w:tabs>
        <w:rPr>
          <w:rFonts w:ascii="Times New Roman" w:hAnsi="Times New Roman" w:cs="Times New Roman"/>
        </w:rPr>
      </w:pPr>
      <w:r>
        <w:rPr>
          <w:rFonts w:ascii="Times New Roman" w:hAnsi="Times New Roman" w:cs="Times New Roman"/>
        </w:rPr>
        <w:tab/>
      </w:r>
      <w:r w:rsidRPr="00EB6D63">
        <w:rPr>
          <w:rFonts w:ascii="Times New Roman" w:hAnsi="Times New Roman" w:cs="Times New Roman"/>
        </w:rPr>
        <w:drawing>
          <wp:inline distT="0" distB="0" distL="0" distR="0" wp14:anchorId="0573F0AB" wp14:editId="77220CCB">
            <wp:extent cx="5943600" cy="2756535"/>
            <wp:effectExtent l="0" t="0" r="0" b="5715"/>
            <wp:docPr id="205366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67300" name=""/>
                    <pic:cNvPicPr/>
                  </pic:nvPicPr>
                  <pic:blipFill>
                    <a:blip r:embed="rId22"/>
                    <a:stretch>
                      <a:fillRect/>
                    </a:stretch>
                  </pic:blipFill>
                  <pic:spPr>
                    <a:xfrm>
                      <a:off x="0" y="0"/>
                      <a:ext cx="5943600" cy="2756535"/>
                    </a:xfrm>
                    <a:prstGeom prst="rect">
                      <a:avLst/>
                    </a:prstGeom>
                  </pic:spPr>
                </pic:pic>
              </a:graphicData>
            </a:graphic>
          </wp:inline>
        </w:drawing>
      </w:r>
    </w:p>
    <w:p w14:paraId="24A340E8" w14:textId="77777777" w:rsidR="006F263B" w:rsidRPr="006F263B" w:rsidRDefault="006F263B" w:rsidP="006F263B">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886"/>
        <w:gridCol w:w="582"/>
        <w:gridCol w:w="910"/>
        <w:gridCol w:w="1148"/>
        <w:gridCol w:w="797"/>
        <w:gridCol w:w="850"/>
        <w:gridCol w:w="1006"/>
        <w:gridCol w:w="827"/>
        <w:gridCol w:w="821"/>
        <w:gridCol w:w="772"/>
        <w:gridCol w:w="761"/>
      </w:tblGrid>
      <w:tr w:rsidR="00A92B31" w:rsidRPr="00B34903" w14:paraId="56B3A19B" w14:textId="77777777">
        <w:trPr>
          <w:tblHeade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FEB3DC"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Country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46C919"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Year</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9DBD8B"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Survey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7D41E8"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Welfare type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5634E6"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Valid records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850AA"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Records flagged</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7B865D"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Threshold (PPP/day)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E7A53"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Welfare share flagged (%)</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E078224"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original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1187D91"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capped</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395D906"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change (%)</w:t>
            </w:r>
          </w:p>
        </w:tc>
      </w:tr>
      <w:tr w:rsidR="00A92B31" w:rsidRPr="00B34903" w14:paraId="605B4BCA"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4B9CD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3CC9C4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9518A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IHS-I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DFA0F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F564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10,693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E029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862D0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7B2F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49.30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B3C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0.658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BAB69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0.397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FA88B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-39.58</w:t>
            </w:r>
          </w:p>
        </w:tc>
      </w:tr>
      <w:tr w:rsidR="00A92B31" w:rsidRPr="00B34903" w14:paraId="5BF8D6B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9775B8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FF1E0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030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CF4FD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370F4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9,679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51C9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A42C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41.89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8ED7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FCB044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A71443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0.576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6537D4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-9.06</w:t>
            </w:r>
          </w:p>
        </w:tc>
      </w:tr>
      <w:tr w:rsidR="00A92B31" w:rsidRPr="00B34903" w14:paraId="5A2AA6D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521B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0326D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CF65CE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57C0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8EFD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A03D8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65C4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52.45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39EFF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B8888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59EDF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300C126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-19.17</w:t>
            </w:r>
          </w:p>
        </w:tc>
      </w:tr>
      <w:tr w:rsidR="00A92B31" w:rsidRPr="00B34903" w14:paraId="0CB08F9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4EC95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8EDC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F23A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F773C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21059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2,987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02E1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5550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FB02D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27.51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A805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FA6A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ACB84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-12.47</w:t>
            </w:r>
          </w:p>
        </w:tc>
      </w:tr>
      <w:tr w:rsidR="00A92B31" w:rsidRPr="00B34903" w14:paraId="2F710AF2"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C8280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583FD3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3967AC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F1F7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ADA1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72359C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3914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70.77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E26B1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33B83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2EBB8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5DCB74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-17.71</w:t>
            </w:r>
          </w:p>
        </w:tc>
      </w:tr>
      <w:tr w:rsidR="00A92B31" w:rsidRPr="00B34903" w14:paraId="6E76D26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BDB71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24AFC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789D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2F6AE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25CB6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9,649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F92F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983A4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52.00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E004F3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25.90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EC6AB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C6D7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B58886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-8.00</w:t>
            </w:r>
          </w:p>
        </w:tc>
      </w:tr>
      <w:tr w:rsidR="00A92B31" w:rsidRPr="00B34903" w14:paraId="0F2D4D2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72AF9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BFA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C6ABD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BB203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D082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2867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8,324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0E634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02C6B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8E88B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23.92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C1EAD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FFEC2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0.429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81315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-14.17</w:t>
            </w:r>
          </w:p>
        </w:tc>
      </w:tr>
      <w:tr w:rsidR="00A92B31" w:rsidRPr="00B34903" w14:paraId="4AA862F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F4E5A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1AD20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F8C77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07EC8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AC76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9056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4B44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4939B1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23.00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B2993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AC286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2978A7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-15.94</w:t>
            </w:r>
          </w:p>
        </w:tc>
      </w:tr>
      <w:tr w:rsidR="00A92B31" w:rsidRPr="00B34903" w14:paraId="0F5633E9"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E9156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0E7572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65BB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FA37D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3C95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407FB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244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710B2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C6291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243C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2102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0.462</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4D375A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-11.23</w:t>
            </w:r>
          </w:p>
        </w:tc>
      </w:tr>
      <w:tr w:rsidR="00A92B31" w:rsidRPr="00B34903" w14:paraId="2D67DA15"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121E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3292E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B6C9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IOF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C16BD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52FD8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32,454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D52F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1,378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99E2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16.29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93A26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9B8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AEA55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60949F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-12.02</w:t>
            </w:r>
          </w:p>
        </w:tc>
      </w:tr>
      <w:tr w:rsidR="00A92B31" w:rsidRPr="00B34903" w14:paraId="11B2615C"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261E7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ZAF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6A7B1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01EB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C25F7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D449F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19,224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257E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080B5B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66.12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C8B1C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21.36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59373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0.648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A953D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0.618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20129E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-4.50</w:t>
            </w:r>
          </w:p>
        </w:tc>
      </w:tr>
      <w:tr w:rsidR="00A92B31" w:rsidRPr="00B34903" w14:paraId="194C750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4DCE5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GNB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F23AE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CB3C9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ILAP-II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E12B7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4CC18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A84CD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798284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14.39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DD54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FCDCF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B4C79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2859D4F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-6.97</w:t>
            </w:r>
          </w:p>
        </w:tc>
      </w:tr>
      <w:tr w:rsidR="00A92B31" w:rsidRPr="00B34903" w14:paraId="290F0A5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32713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lastRenderedPageBreak/>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D7B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E1427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SLC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0DB1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A1590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1DFA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B4CD4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53.23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D8F170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20.34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731A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DAA0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D55A10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-11.08</w:t>
            </w:r>
          </w:p>
        </w:tc>
      </w:tr>
      <w:tr w:rsidR="00A92B31" w:rsidRPr="00B34903" w14:paraId="0233529B"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0D91E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SYC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A388B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C08BA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HBS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B96D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471E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CB1A55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2019C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93.69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88A8D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5926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0.468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53008B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0.378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ECBF9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-19.19</w:t>
            </w:r>
          </w:p>
        </w:tc>
      </w:tr>
      <w:tr w:rsidR="00A92B31" w:rsidRPr="00B34903" w14:paraId="29F0559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4A6A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SWZ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9295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29CB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A6338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781C7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3,666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E94DF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611D0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A2773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C4809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0.531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8664F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0.493</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0DB58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-7.22</w:t>
            </w:r>
          </w:p>
        </w:tc>
      </w:tr>
      <w:tr w:rsidR="00A92B31" w:rsidRPr="00B34903" w14:paraId="07061AF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70A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BF692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30C70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4FCED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BF58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6,419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ACBE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618C7E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FB8C37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2FF6C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11A6FB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0.435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E3C369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-10.45</w:t>
            </w:r>
          </w:p>
        </w:tc>
      </w:tr>
      <w:tr w:rsidR="00A92B31" w:rsidRPr="00B34903" w14:paraId="72F6CF4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462C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ETH</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1BC8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F4F8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HICES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EE7E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81585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11,524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265A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794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9.26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C69B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19.43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49818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FBF38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0.367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BBA00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-17.62</w:t>
            </w:r>
          </w:p>
        </w:tc>
      </w:tr>
      <w:tr w:rsidR="00A92B31" w:rsidRPr="00B34903" w14:paraId="67821C3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7BEE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2FB3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1B1EC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78A26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C280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14,301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597AA9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418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78693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13.20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68BD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3B51A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B993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0.419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95D333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-11.18</w:t>
            </w:r>
          </w:p>
        </w:tc>
      </w:tr>
      <w:tr w:rsidR="00A92B31" w:rsidRPr="00B34903" w14:paraId="4C3AC240"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8171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E7525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4E544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IHS-IV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419F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65AB7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12,445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70DD8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EFBC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28950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AC6E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DD41B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0.366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82EF35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-18.17</w:t>
            </w:r>
          </w:p>
        </w:tc>
      </w:tr>
      <w:tr w:rsidR="00A92B31" w:rsidRPr="00B34903" w14:paraId="098898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3AE31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2610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1DAA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0D455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A78F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8,697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70864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2DD5D0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47286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E5636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23A0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9C72F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-11.80</w:t>
            </w:r>
          </w:p>
        </w:tc>
      </w:tr>
      <w:tr w:rsidR="00A92B31" w:rsidRPr="00B34903" w14:paraId="6585EF2D"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5460A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0C02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BFB5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ECASEB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99748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191B5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6,894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39C0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AC11E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24.33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637ACC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C0A5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54657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2C689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-8.43</w:t>
            </w:r>
          </w:p>
        </w:tc>
      </w:tr>
      <w:tr w:rsidR="00A92B31" w:rsidRPr="00B34903" w14:paraId="3FA38A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35778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CHL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382CC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1A65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CASEN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B584F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BBF0C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29,349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900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159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84.21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803CA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7A3CA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92F58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6DE32F8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-6.79</w:t>
            </w:r>
          </w:p>
        </w:tc>
      </w:tr>
      <w:tr w:rsidR="00A92B31" w:rsidRPr="00B34903" w14:paraId="19E4ECD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0A706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ECU</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86C31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F6E82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4FA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764F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DE63F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AE1E8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74.25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D5D71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A87F9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F33AA9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0.537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C23F1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-8.19</w:t>
            </w:r>
          </w:p>
        </w:tc>
      </w:tr>
      <w:tr w:rsidR="00A92B31" w:rsidRPr="00B34903" w14:paraId="17E2E7B6" w14:textId="77777777">
        <w:trPr>
          <w:tblCellSpacing w:w="15" w:type="dxa"/>
        </w:trPr>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E5E42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COL</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13B5E7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5DA49EC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ENH</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F6C091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EA4AF2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6,982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4EDFA30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47D870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72.90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EB0EDD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17.09</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4A0CE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0.553</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1818776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0.514</w:t>
            </w:r>
          </w:p>
        </w:tc>
        <w:tc>
          <w:tcPr>
            <w:tcW w:w="0" w:type="auto"/>
            <w:tcBorders>
              <w:top w:val="nil"/>
              <w:left w:val="nil"/>
              <w:bottom w:val="nil"/>
              <w:right w:val="nil"/>
            </w:tcBorders>
            <w:tcMar>
              <w:top w:w="60" w:type="dxa"/>
              <w:left w:w="90" w:type="dxa"/>
              <w:bottom w:w="60" w:type="dxa"/>
              <w:right w:w="90" w:type="dxa"/>
            </w:tcMar>
            <w:vAlign w:val="center"/>
            <w:hideMark/>
          </w:tcPr>
          <w:p w14:paraId="7DAAAE0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-7.21</w:t>
            </w:r>
          </w:p>
        </w:tc>
      </w:tr>
    </w:tbl>
    <w:p w14:paraId="557E239E" w14:textId="77777777" w:rsidR="00A92B31" w:rsidRPr="00A92B31" w:rsidRDefault="00A92B31" w:rsidP="00A92B31">
      <w:pPr>
        <w:rPr>
          <w:rFonts w:ascii="Times New Roman" w:hAnsi="Times New Roman" w:cs="Times New Roman"/>
        </w:rPr>
      </w:pPr>
    </w:p>
    <w:p w14:paraId="553F3794" w14:textId="5F0C493F" w:rsidR="00A20009"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t xml:space="preserve">Evaluate </w:t>
      </w:r>
      <w:r w:rsidR="009A7547" w:rsidRPr="009A7547">
        <w:rPr>
          <w:rFonts w:ascii="Times New Roman" w:hAnsi="Times New Roman" w:cs="Times New Roman"/>
        </w:rPr>
        <w:t>Seychelles</w:t>
      </w:r>
      <w:r w:rsidR="007A72A5" w:rsidRPr="009A7547">
        <w:rPr>
          <w:rFonts w:ascii="Times New Roman" w:hAnsi="Times New Roman" w:cs="Times New Roman"/>
        </w:rPr>
        <w:t xml:space="preserve"> </w:t>
      </w:r>
      <w:r>
        <w:rPr>
          <w:rFonts w:ascii="Times New Roman" w:hAnsi="Times New Roman" w:cs="Times New Roman"/>
        </w:rPr>
        <w:t>(extreme change in welfare mean)</w:t>
      </w:r>
    </w:p>
    <w:p w14:paraId="6A627998" w14:textId="47AC1DDD" w:rsidR="007A72A5"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lastRenderedPageBreak/>
        <w:t>Analyze h</w:t>
      </w:r>
      <w:r w:rsidR="007A72A5" w:rsidRPr="00A20009">
        <w:rPr>
          <w:rFonts w:ascii="Times New Roman" w:hAnsi="Times New Roman" w:cs="Times New Roman"/>
        </w:rPr>
        <w:t>ousehold characteristics (</w:t>
      </w:r>
      <w:r>
        <w:rPr>
          <w:rFonts w:ascii="Times New Roman" w:hAnsi="Times New Roman" w:cs="Times New Roman"/>
        </w:rPr>
        <w:t xml:space="preserve">see variables like what roof is made of, water access, education and anything that might be related to being rich). Run a </w:t>
      </w:r>
      <w:r w:rsidR="007A72A5" w:rsidRPr="00A20009">
        <w:rPr>
          <w:rFonts w:ascii="Times New Roman" w:hAnsi="Times New Roman" w:cs="Times New Roman"/>
        </w:rPr>
        <w:t xml:space="preserve">regression and see predicted income household income on all variables that make sense and predict income/consumption </w:t>
      </w:r>
      <w:r>
        <w:rPr>
          <w:rFonts w:ascii="Times New Roman" w:hAnsi="Times New Roman" w:cs="Times New Roman"/>
        </w:rPr>
        <w:t>for Malawi 1997.</w:t>
      </w:r>
    </w:p>
    <w:p w14:paraId="676714CB" w14:textId="22F55AE1" w:rsidR="00821A6A" w:rsidRPr="000B4DE6" w:rsidRDefault="000B4DE6" w:rsidP="000B4DE6">
      <w:pPr>
        <w:pStyle w:val="ListParagraph"/>
        <w:numPr>
          <w:ilvl w:val="0"/>
          <w:numId w:val="17"/>
        </w:numPr>
        <w:rPr>
          <w:rFonts w:ascii="Times New Roman" w:hAnsi="Times New Roman" w:cs="Times New Roman"/>
        </w:rPr>
      </w:pPr>
      <w:r>
        <w:rPr>
          <w:rFonts w:ascii="Times New Roman" w:hAnsi="Times New Roman" w:cs="Times New Roman"/>
        </w:rPr>
        <w:t xml:space="preserve">(Nishant) </w:t>
      </w:r>
      <w:r w:rsidRPr="000B4DE6">
        <w:rPr>
          <w:rFonts w:ascii="Times New Roman" w:hAnsi="Times New Roman" w:cs="Times New Roman"/>
        </w:rPr>
        <w:t xml:space="preserve">We could try to do this like we fit Pareto. For instance, remove the top x values. Fit the GB2 and see how far these fitted values are from the actual data. This could be another exercise to what Yuki suggested yesterday: find the fitted values of the top using household and demographic characteristics and see the difference from actual values. In short, I think we have at least three approaches to understand how extreme the outliers are: (a) Pareto, (b) GB2, and (c) regression.  </w:t>
      </w:r>
    </w:p>
    <w:p w14:paraId="741FB2D8" w14:textId="77777777" w:rsidR="007A72A5" w:rsidRDefault="007A72A5" w:rsidP="007E55AC">
      <w:pPr>
        <w:rPr>
          <w:rFonts w:ascii="Times New Roman" w:hAnsi="Times New Roman" w:cs="Times New Roman"/>
        </w:rPr>
      </w:pPr>
    </w:p>
    <w:p w14:paraId="0F007EA6" w14:textId="50E13C5E" w:rsidR="00ED1A88" w:rsidRDefault="00ED1A88" w:rsidP="00ED1A88">
      <w:pPr>
        <w:rPr>
          <w:rFonts w:ascii="Times New Roman" w:hAnsi="Times New Roman" w:cs="Times New Roman"/>
          <w:b/>
          <w:bCs/>
          <w:u w:val="single"/>
        </w:rPr>
      </w:pPr>
      <w:r w:rsidRPr="19987528">
        <w:rPr>
          <w:rFonts w:ascii="Times New Roman" w:hAnsi="Times New Roman" w:cs="Times New Roman"/>
          <w:b/>
          <w:bCs/>
        </w:rPr>
        <w:t>Updates</w:t>
      </w:r>
      <w:r>
        <w:rPr>
          <w:rFonts w:ascii="Times New Roman" w:hAnsi="Times New Roman" w:cs="Times New Roman"/>
          <w:b/>
          <w:bCs/>
        </w:rPr>
        <w:t xml:space="preserve">: </w:t>
      </w:r>
      <w:r>
        <w:rPr>
          <w:rFonts w:ascii="Times New Roman" w:hAnsi="Times New Roman" w:cs="Times New Roman"/>
          <w:b/>
          <w:bCs/>
          <w:u w:val="single"/>
        </w:rPr>
        <w:t>September</w:t>
      </w:r>
      <w:r w:rsidRPr="006A7426">
        <w:rPr>
          <w:rFonts w:ascii="Times New Roman" w:hAnsi="Times New Roman" w:cs="Times New Roman"/>
          <w:b/>
          <w:bCs/>
          <w:u w:val="single"/>
        </w:rPr>
        <w:t xml:space="preserve"> 1</w:t>
      </w:r>
      <w:r w:rsidR="006E7405">
        <w:rPr>
          <w:rFonts w:ascii="Times New Roman" w:hAnsi="Times New Roman" w:cs="Times New Roman"/>
          <w:b/>
          <w:bCs/>
          <w:u w:val="single"/>
        </w:rPr>
        <w:t>1</w:t>
      </w:r>
      <w:r w:rsidRPr="006A7426">
        <w:rPr>
          <w:rFonts w:ascii="Times New Roman" w:hAnsi="Times New Roman" w:cs="Times New Roman"/>
          <w:b/>
          <w:bCs/>
          <w:u w:val="single"/>
        </w:rPr>
        <w:t>, 2026</w:t>
      </w:r>
    </w:p>
    <w:p w14:paraId="0057B912" w14:textId="7D985629" w:rsidR="006E7405" w:rsidRDefault="006E7405" w:rsidP="00ED1A88">
      <w:pPr>
        <w:rPr>
          <w:rFonts w:ascii="Times New Roman" w:hAnsi="Times New Roman" w:cs="Times New Roman"/>
        </w:rPr>
      </w:pPr>
      <w:r>
        <w:rPr>
          <w:rFonts w:ascii="Times New Roman" w:hAnsi="Times New Roman" w:cs="Times New Roman"/>
        </w:rPr>
        <w:t>Idea for</w:t>
      </w:r>
      <w:r w:rsidR="00597CD2">
        <w:rPr>
          <w:rFonts w:ascii="Times New Roman" w:hAnsi="Times New Roman" w:cs="Times New Roman"/>
        </w:rPr>
        <w:t xml:space="preserve"> Wednesday’s presentation</w:t>
      </w:r>
      <w:r>
        <w:rPr>
          <w:rFonts w:ascii="Times New Roman" w:hAnsi="Times New Roman" w:cs="Times New Roman"/>
        </w:rPr>
        <w:t>:</w:t>
      </w:r>
    </w:p>
    <w:p w14:paraId="35C2CA46" w14:textId="77777777" w:rsidR="00597CD2" w:rsidRPr="00597CD2" w:rsidRDefault="00597CD2" w:rsidP="00597CD2">
      <w:pPr>
        <w:rPr>
          <w:rFonts w:ascii="Times New Roman" w:hAnsi="Times New Roman" w:cs="Times New Roman"/>
          <w:b/>
          <w:bCs/>
        </w:rPr>
      </w:pPr>
      <w:r w:rsidRPr="00597CD2">
        <w:rPr>
          <w:rFonts w:ascii="Times New Roman" w:hAnsi="Times New Roman" w:cs="Times New Roman"/>
          <w:b/>
          <w:bCs/>
        </w:rPr>
        <w:t>Project narrative: how to present it</w:t>
      </w:r>
    </w:p>
    <w:p w14:paraId="0CD6AA23" w14:textId="555F5B3E" w:rsidR="00597CD2" w:rsidRPr="00597CD2" w:rsidRDefault="00597CD2" w:rsidP="00597CD2">
      <w:pPr>
        <w:numPr>
          <w:ilvl w:val="0"/>
          <w:numId w:val="18"/>
        </w:numPr>
        <w:rPr>
          <w:rFonts w:ascii="Times New Roman" w:hAnsi="Times New Roman" w:cs="Times New Roman"/>
        </w:rPr>
      </w:pPr>
      <w:r w:rsidRPr="00597CD2">
        <w:rPr>
          <w:rFonts w:ascii="Times New Roman" w:hAnsi="Times New Roman" w:cs="Times New Roman"/>
          <w:b/>
          <w:bCs/>
        </w:rPr>
        <w:t xml:space="preserve">We started with a literature review to understand how different frameworks treat upper-tail values </w:t>
      </w:r>
      <w:r>
        <w:rPr>
          <w:rFonts w:ascii="Times New Roman" w:hAnsi="Times New Roman" w:cs="Times New Roman"/>
          <w:b/>
          <w:bCs/>
        </w:rPr>
        <w:t xml:space="preserve">- </w:t>
      </w:r>
      <w:r w:rsidRPr="00597CD2">
        <w:rPr>
          <w:rFonts w:ascii="Times New Roman" w:hAnsi="Times New Roman" w:cs="Times New Roman"/>
          <w:b/>
          <w:bCs/>
        </w:rPr>
        <w:t>LIS, CPS, EU-SILC, and WID.</w:t>
      </w:r>
      <w:r w:rsidRPr="00597CD2">
        <w:rPr>
          <w:rFonts w:ascii="Times New Roman" w:hAnsi="Times New Roman" w:cs="Times New Roman"/>
        </w:rPr>
        <w:br/>
        <w:t>Each has a different objective: LIS uses a transparent log-IQR rule; CPS is driven by disclosure avoidance, not statistical validity; EU-SILC (Van Kerm) compares trimming/winsorizing/Pareto approaches; WID goes the opposite direction, correcting for </w:t>
      </w:r>
      <w:r w:rsidRPr="00597CD2">
        <w:rPr>
          <w:rFonts w:ascii="Times New Roman" w:hAnsi="Times New Roman" w:cs="Times New Roman"/>
          <w:i/>
          <w:iCs/>
        </w:rPr>
        <w:t>underrepresentation</w:t>
      </w:r>
      <w:r w:rsidRPr="00597CD2">
        <w:rPr>
          <w:rFonts w:ascii="Times New Roman" w:hAnsi="Times New Roman" w:cs="Times New Roman"/>
        </w:rPr>
        <w:t> of the rich by blending survey and tax data.</w:t>
      </w:r>
    </w:p>
    <w:p w14:paraId="2249B7DD" w14:textId="23C2273C" w:rsidR="00597CD2" w:rsidRPr="00597CD2" w:rsidRDefault="00597CD2" w:rsidP="00597CD2">
      <w:pPr>
        <w:numPr>
          <w:ilvl w:val="0"/>
          <w:numId w:val="18"/>
        </w:numPr>
        <w:rPr>
          <w:rFonts w:ascii="Times New Roman" w:hAnsi="Times New Roman" w:cs="Times New Roman"/>
        </w:rPr>
      </w:pPr>
      <w:r w:rsidRPr="00597CD2">
        <w:rPr>
          <w:rFonts w:ascii="Times New Roman" w:hAnsi="Times New Roman" w:cs="Times New Roman"/>
          <w:b/>
          <w:bCs/>
        </w:rPr>
        <w:t xml:space="preserve">We applied the LIS rule to all 1,825 surveys and found 24 cases where a </w:t>
      </w:r>
      <w:r>
        <w:rPr>
          <w:rFonts w:ascii="Times New Roman" w:hAnsi="Times New Roman" w:cs="Times New Roman"/>
          <w:b/>
          <w:bCs/>
        </w:rPr>
        <w:t>small</w:t>
      </w:r>
      <w:r w:rsidRPr="00597CD2">
        <w:rPr>
          <w:rFonts w:ascii="Times New Roman" w:hAnsi="Times New Roman" w:cs="Times New Roman"/>
          <w:b/>
          <w:bCs/>
        </w:rPr>
        <w:t xml:space="preserve"> share of the population accounts for a disproportionately large share of total welfare.</w:t>
      </w:r>
      <w:r w:rsidRPr="00597CD2">
        <w:rPr>
          <w:rFonts w:ascii="Times New Roman" w:hAnsi="Times New Roman" w:cs="Times New Roman"/>
        </w:rPr>
        <w:br/>
        <w:t>Threshold: </w:t>
      </w:r>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ln</m:t>
        </m:r>
        <m:r>
          <w:rPr>
            <w:rFonts w:ascii="Cambria Math" w:hAnsi="Cambria Math" w:cs="Times New Roman"/>
          </w:rPr>
          <m:t>⁡y)+3×IQR(</m:t>
        </m:r>
        <m:r>
          <m:rPr>
            <m:sty m:val="p"/>
          </m:rPr>
          <w:rPr>
            <w:rFonts w:ascii="Cambria Math" w:hAnsi="Cambria Math" w:cs="Times New Roman"/>
          </w:rPr>
          <m:t>ln</m:t>
        </m:r>
        <m:r>
          <w:rPr>
            <w:rFonts w:ascii="Cambria Math" w:hAnsi="Cambria Math" w:cs="Times New Roman"/>
          </w:rPr>
          <m:t>⁡y)]</m:t>
        </m:r>
      </m:oMath>
      <w:r w:rsidRPr="00597CD2">
        <w:rPr>
          <w:rFonts w:ascii="Times New Roman" w:hAnsi="Times New Roman" w:cs="Times New Roman"/>
        </w:rPr>
        <w:t>. In all 24 flagged surveys, less than 0.5% of the population sits above the ceiling, yet in several cases (led by Malawi 1997) that group holds over 40% of total measured welfare.</w:t>
      </w:r>
      <w:r w:rsidR="00B437AB">
        <w:rPr>
          <w:rFonts w:ascii="Times New Roman" w:hAnsi="Times New Roman" w:cs="Times New Roman"/>
        </w:rPr>
        <w:t xml:space="preserve"> Criteria: </w:t>
      </w:r>
      <w:r w:rsidR="00B437AB" w:rsidRPr="00B437AB">
        <w:rPr>
          <w:rFonts w:ascii="Times New Roman" w:hAnsi="Times New Roman" w:cs="Times New Roman"/>
        </w:rPr>
        <w:t xml:space="preserve">surveys where the population above the ceiling holds ≥5% of total </w:t>
      </w:r>
      <w:r w:rsidR="00B437AB" w:rsidRPr="00B437AB">
        <w:rPr>
          <w:rFonts w:ascii="Times New Roman" w:hAnsi="Times New Roman" w:cs="Times New Roman"/>
        </w:rPr>
        <w:t>welfare.</w:t>
      </w:r>
    </w:p>
    <w:p w14:paraId="509B6648" w14:textId="0BE83DA4" w:rsidR="00276736" w:rsidRPr="00276736" w:rsidRDefault="00597CD2" w:rsidP="00276736">
      <w:pPr>
        <w:numPr>
          <w:ilvl w:val="0"/>
          <w:numId w:val="18"/>
        </w:numPr>
        <w:rPr>
          <w:rFonts w:ascii="Times New Roman" w:hAnsi="Times New Roman" w:cs="Times New Roman"/>
        </w:rPr>
      </w:pPr>
      <w:r w:rsidRPr="00597CD2">
        <w:rPr>
          <w:rFonts w:ascii="Times New Roman" w:hAnsi="Times New Roman" w:cs="Times New Roman"/>
          <w:b/>
          <w:bCs/>
        </w:rPr>
        <w:t>To make sure this wasn't just an artifact of the LIS rule, we applied a second, independent method — Stata's outdetect procedure, reimplemented in Python</w:t>
      </w:r>
      <w:r w:rsidR="00276736">
        <w:rPr>
          <w:rFonts w:ascii="Times New Roman" w:hAnsi="Times New Roman" w:cs="Times New Roman"/>
          <w:b/>
          <w:bCs/>
        </w:rPr>
        <w:t xml:space="preserve">. </w:t>
      </w:r>
      <w:r w:rsidR="00276736">
        <w:rPr>
          <w:rFonts w:ascii="Times New Roman" w:hAnsi="Times New Roman" w:cs="Times New Roman"/>
        </w:rPr>
        <w:t>O</w:t>
      </w:r>
      <w:r w:rsidRPr="00597CD2">
        <w:rPr>
          <w:rFonts w:ascii="Times New Roman" w:hAnsi="Times New Roman" w:cs="Times New Roman"/>
        </w:rPr>
        <w:t>utdetect uses an unweighted median + S-estimator (a robust scale estimator), which is methodologically distinct from LIS's log-IQR approach</w:t>
      </w:r>
      <w:r w:rsidR="00276736">
        <w:rPr>
          <w:rFonts w:ascii="Times New Roman" w:hAnsi="Times New Roman" w:cs="Times New Roman"/>
        </w:rPr>
        <w:t xml:space="preserve">. </w:t>
      </w:r>
      <w:r w:rsidR="00276736" w:rsidRPr="00276736">
        <w:rPr>
          <w:rFonts w:ascii="Times New Roman" w:hAnsi="Times New Roman" w:cs="Times New Roman"/>
        </w:rPr>
        <w:t>W</w:t>
      </w:r>
      <w:r w:rsidR="00276736" w:rsidRPr="00276736">
        <w:rPr>
          <w:rFonts w:ascii="Times New Roman" w:hAnsi="Times New Roman" w:cs="Times New Roman"/>
        </w:rPr>
        <w:t>e applied the same 5% welfare-share criterion to the observations flagged by the Python implementation of</w:t>
      </w:r>
      <w:r w:rsidR="00276736" w:rsidRPr="00276736">
        <w:rPr>
          <w:rFonts w:ascii="Times New Roman" w:hAnsi="Times New Roman" w:cs="Times New Roman"/>
        </w:rPr>
        <w:t xml:space="preserve"> </w:t>
      </w:r>
      <w:r w:rsidR="00276736" w:rsidRPr="00276736">
        <w:rPr>
          <w:rFonts w:ascii="Times New Roman" w:hAnsi="Times New Roman" w:cs="Times New Roman"/>
        </w:rPr>
        <w:t>Stata’s outdetect procedure. Using its recommended robust z-score threshold of 3, outdetect identified 398 surveys where flagged observations accounted for at least 5% of total welfare. All 24 surveys identified by LIS were included in this group, together with 374 additional surveys.</w:t>
      </w:r>
      <w:r w:rsidR="00276736" w:rsidRPr="00276736">
        <w:rPr>
          <w:rFonts w:ascii="Times New Roman" w:hAnsi="Times New Roman" w:cs="Times New Roman"/>
        </w:rPr>
        <w:t xml:space="preserve"> </w:t>
      </w:r>
      <w:r w:rsidR="00276736" w:rsidRPr="00276736">
        <w:rPr>
          <w:rFonts w:ascii="Times New Roman" w:hAnsi="Times New Roman" w:cs="Times New Roman"/>
        </w:rPr>
        <w:t>As an alternative criterion, we used a 1% population-share threshold. This is an empirical reference</w:t>
      </w:r>
      <w:r w:rsidR="00882D8C">
        <w:rPr>
          <w:rFonts w:ascii="Times New Roman" w:hAnsi="Times New Roman" w:cs="Times New Roman"/>
        </w:rPr>
        <w:t xml:space="preserve"> point</w:t>
      </w:r>
      <w:r w:rsidR="00276736" w:rsidRPr="00276736">
        <w:rPr>
          <w:rFonts w:ascii="Times New Roman" w:hAnsi="Times New Roman" w:cs="Times New Roman"/>
        </w:rPr>
        <w:t xml:space="preserve"> based on the outdetect documentation, not an official survey-level cutoff. Under this criterion, 143 surveys were flagged, including 5 </w:t>
      </w:r>
      <w:r w:rsidR="00276736" w:rsidRPr="00276736">
        <w:rPr>
          <w:rFonts w:ascii="Times New Roman" w:hAnsi="Times New Roman" w:cs="Times New Roman"/>
        </w:rPr>
        <w:lastRenderedPageBreak/>
        <w:t xml:space="preserve">of the 24 LIS surveys: </w:t>
      </w:r>
      <w:r w:rsidR="006E6608" w:rsidRPr="006E6608">
        <w:rPr>
          <w:rFonts w:ascii="Times New Roman" w:hAnsi="Times New Roman" w:cs="Times New Roman"/>
        </w:rPr>
        <w:t>Comoros 2004, Malawi 1997, Rwanda 2000, Rwanda 2005, and Rwanda 2013</w:t>
      </w:r>
      <w:r w:rsidR="00276736" w:rsidRPr="00276736">
        <w:rPr>
          <w:rFonts w:ascii="Times New Roman" w:hAnsi="Times New Roman" w:cs="Times New Roman"/>
        </w:rPr>
        <w:t>.</w:t>
      </w:r>
    </w:p>
    <w:p w14:paraId="6E41D73D" w14:textId="77777777" w:rsidR="00305007" w:rsidRPr="00305007" w:rsidRDefault="00305007" w:rsidP="00305007">
      <w:pPr>
        <w:pStyle w:val="ListParagraph"/>
        <w:numPr>
          <w:ilvl w:val="0"/>
          <w:numId w:val="18"/>
        </w:numPr>
        <w:rPr>
          <w:rFonts w:ascii="Times New Roman" w:hAnsi="Times New Roman" w:cs="Times New Roman"/>
        </w:rPr>
      </w:pPr>
      <w:r w:rsidRPr="00305007">
        <w:rPr>
          <w:rFonts w:ascii="Times New Roman" w:hAnsi="Times New Roman" w:cs="Times New Roman"/>
          <w:b/>
          <w:bCs/>
        </w:rPr>
        <w:t xml:space="preserve">We then fitted Pareto distributions to the upper tails of the most extreme cases. </w:t>
      </w:r>
      <w:r w:rsidRPr="00305007">
        <w:rPr>
          <w:rFonts w:ascii="Times New Roman" w:hAnsi="Times New Roman" w:cs="Times New Roman"/>
        </w:rPr>
        <w:t>The analysis showed substantial deviations between the largest observed values and the fitted Pareto pattern, providing additional evidence that these observations were not simply large values from an otherwise regular tail.</w:t>
      </w:r>
    </w:p>
    <w:p w14:paraId="6359EC0B" w14:textId="77777777" w:rsidR="00235A8A" w:rsidRDefault="001A1A34" w:rsidP="00235A8A">
      <w:pPr>
        <w:numPr>
          <w:ilvl w:val="0"/>
          <w:numId w:val="18"/>
        </w:numPr>
        <w:rPr>
          <w:rFonts w:ascii="Times New Roman" w:hAnsi="Times New Roman" w:cs="Times New Roman"/>
          <w:b/>
          <w:bCs/>
        </w:rPr>
      </w:pPr>
      <w:r w:rsidRPr="001A1A34">
        <w:rPr>
          <w:rFonts w:ascii="Times New Roman" w:hAnsi="Times New Roman" w:cs="Times New Roman"/>
          <w:b/>
          <w:bCs/>
        </w:rPr>
        <w:t>We used Malawi 1997 as a deep-dive case study to show how the headline indicators respond to different treatments of extreme welfare values, using the same GMD source throughout.</w:t>
      </w:r>
      <w:r>
        <w:rPr>
          <w:rFonts w:ascii="Times New Roman" w:hAnsi="Times New Roman" w:cs="Times New Roman"/>
          <w:b/>
          <w:bCs/>
        </w:rPr>
        <w:t xml:space="preserve"> </w:t>
      </w:r>
      <w:r w:rsidRPr="001A1A34">
        <w:rPr>
          <w:rFonts w:ascii="Times New Roman" w:hAnsi="Times New Roman" w:cs="Times New Roman"/>
        </w:rPr>
        <w:t>Under the LIS correction, 59 records, representing 0.43% of the population, account for 41.6% of total welfare. Capping these observations reduces the mean by 38%, the Gini by 32%, the MLD by 59%, and Atkinson(2) by 33%. The outdetect correction, which caps 225 observations, produces larger reductions: 42% in the mean, 37% in the Gini, 65% in the MLD, and 39% in Atkinson(2). As a simpler sensitivity check, removing only the two most extreme observations reduces the mean by 34%, the Gini by 27%, the MLD by 52%, and Atkinson(2) by 28%. This shows that extreme observations substantially affect inequality and mean estimates, while poverty estimates remain comparatively stable.</w:t>
      </w:r>
    </w:p>
    <w:p w14:paraId="17F68C44" w14:textId="5F087ABF" w:rsidR="00235A8A" w:rsidRPr="00235A8A" w:rsidRDefault="00235A8A" w:rsidP="00235A8A">
      <w:pPr>
        <w:numPr>
          <w:ilvl w:val="0"/>
          <w:numId w:val="18"/>
        </w:numPr>
        <w:rPr>
          <w:rFonts w:ascii="Times New Roman" w:hAnsi="Times New Roman" w:cs="Times New Roman"/>
          <w:b/>
          <w:bCs/>
        </w:rPr>
      </w:pPr>
      <w:r w:rsidRPr="00235A8A">
        <w:rPr>
          <w:rFonts w:ascii="Times New Roman" w:hAnsi="Times New Roman" w:cs="Times New Roman"/>
          <w:b/>
          <w:bCs/>
        </w:rPr>
        <w:t>As next steps, we propose two additional analyses focused on Malawi 1997. First, we will assess whether the extreme welfare observations are statistically plausible under a GB2 distribution. Second, we will examine whether they can be explained by observable household characteristics using regression analysis, or whether substantial unexplained deviations remain after accounting for those characteristics.</w:t>
      </w:r>
    </w:p>
    <w:p w14:paraId="0385CCF0" w14:textId="77777777" w:rsidR="00597CD2" w:rsidRDefault="00597CD2" w:rsidP="00597CD2">
      <w:pPr>
        <w:numPr>
          <w:ilvl w:val="1"/>
          <w:numId w:val="18"/>
        </w:numPr>
        <w:rPr>
          <w:rFonts w:ascii="Times New Roman" w:hAnsi="Times New Roman" w:cs="Times New Roman"/>
        </w:rPr>
      </w:pPr>
      <w:r w:rsidRPr="00597CD2">
        <w:rPr>
          <w:rFonts w:ascii="Times New Roman" w:hAnsi="Times New Roman" w:cs="Times New Roman"/>
          <w:b/>
          <w:bCs/>
        </w:rPr>
        <w:t>GB2</w:t>
      </w:r>
      <w:r w:rsidRPr="00597CD2">
        <w:rPr>
          <w:rFonts w:ascii="Times New Roman" w:hAnsi="Times New Roman" w:cs="Times New Roman"/>
        </w:rPr>
        <w:t>: fit a Generalized Beta of the Second Kind excluding the top-x values, then check how far the actual observed values fall from the fitted distribution.</w:t>
      </w:r>
    </w:p>
    <w:p w14:paraId="188BC251" w14:textId="77777777" w:rsidR="0098721D" w:rsidRPr="0098721D" w:rsidRDefault="0098721D" w:rsidP="0098721D">
      <w:pPr>
        <w:rPr>
          <w:rFonts w:ascii="Times New Roman" w:hAnsi="Times New Roman" w:cs="Times New Roman"/>
        </w:rPr>
      </w:pPr>
      <w:r w:rsidRPr="0098721D">
        <w:rPr>
          <w:rFonts w:ascii="Times New Roman" w:hAnsi="Times New Roman" w:cs="Times New Roman"/>
        </w:rPr>
        <w:t>A GB2 distribution was fitted to the positive welfare values from the Malawi 1997 country dataset using weighted maximum likelihood and 2021 PPP-adjusted welfare measures. The analysis included the full sample and additional specifications that excluded the largest 1, 2, 5, 10, and 20 observations. All models converged, but the estimated shape parameters changed as extreme observations were removed, indicating that the upper tail has a significant influence on the fitted distribution. In the full-sample model, the second-largest observation had an empirical survival probability approximately 166 times larger than the probability predicted by the GB2 distribution. These results suggest that the highest welfare observations are unusually extreme relative to a smooth GB2 tail. However, the analysis is diagnostic and does not establish that these observations are erroneous; they may reflect genuine heterogeneity, measurement issues, or other features of the survey data.</w:t>
      </w:r>
    </w:p>
    <w:p w14:paraId="2D160AD6" w14:textId="77777777" w:rsidR="0098721D" w:rsidRPr="00597CD2" w:rsidRDefault="0098721D" w:rsidP="0098721D">
      <w:pPr>
        <w:rPr>
          <w:rFonts w:ascii="Times New Roman" w:hAnsi="Times New Roman" w:cs="Times New Roman"/>
        </w:rPr>
      </w:pPr>
    </w:p>
    <w:p w14:paraId="3F13B6DB" w14:textId="77777777" w:rsidR="00597CD2" w:rsidRDefault="00597CD2" w:rsidP="00597CD2">
      <w:pPr>
        <w:numPr>
          <w:ilvl w:val="1"/>
          <w:numId w:val="18"/>
        </w:numPr>
        <w:rPr>
          <w:rFonts w:ascii="Times New Roman" w:hAnsi="Times New Roman" w:cs="Times New Roman"/>
        </w:rPr>
      </w:pPr>
      <w:r w:rsidRPr="00597CD2">
        <w:rPr>
          <w:rFonts w:ascii="Times New Roman" w:hAnsi="Times New Roman" w:cs="Times New Roman"/>
          <w:b/>
          <w:bCs/>
        </w:rPr>
        <w:lastRenderedPageBreak/>
        <w:t>Regression</w:t>
      </w:r>
      <w:r w:rsidRPr="00597CD2">
        <w:rPr>
          <w:rFonts w:ascii="Times New Roman" w:hAnsi="Times New Roman" w:cs="Times New Roman"/>
        </w:rPr>
        <w:t>: predict welfare/consumption from household characteristics (roof material, water access, education, etc.) and compare fitted vs. actual values to flag households whose reported welfare looks inconsistent with their observed characteristics.</w:t>
      </w:r>
    </w:p>
    <w:p w14:paraId="2FF77015" w14:textId="77777777" w:rsidR="0032609D" w:rsidRPr="0032609D" w:rsidRDefault="0032609D" w:rsidP="0032609D">
      <w:pPr>
        <w:rPr>
          <w:rFonts w:ascii="Times New Roman" w:hAnsi="Times New Roman" w:cs="Times New Roman"/>
        </w:rPr>
      </w:pPr>
      <w:r w:rsidRPr="0032609D">
        <w:rPr>
          <w:rFonts w:ascii="Times New Roman" w:hAnsi="Times New Roman" w:cs="Times New Roman"/>
        </w:rPr>
        <w:t>A weighted regression model was used to predict household welfare in Malawi 1997 based on the available characteristics in the survey: urban or rural location, household size, and subnational area. To obtain unbiased comparisons, five-fold cross-fitting was applied, meaning each household was predicted using a model estimated without that household. Households were flagged when the difference between observed and predicted log welfare exceeded three weighted standard deviations. The model explained approximately 39% of the variation in log welfare and flagged 118 households, representing about 1.1% of the sample weight. Most flagged households reported welfare substantially higher than predicted, although these flags indicate unusual observations for further review rather than confirmed errors.</w:t>
      </w:r>
    </w:p>
    <w:p w14:paraId="721DF86C" w14:textId="7FD12D24" w:rsidR="006E7405" w:rsidRPr="00960A58" w:rsidRDefault="000A05D1" w:rsidP="00ED1A88">
      <w:pPr>
        <w:rPr>
          <w:rFonts w:ascii="Times New Roman" w:hAnsi="Times New Roman" w:cs="Times New Roman"/>
          <w:lang w:val="es-CL"/>
        </w:rPr>
      </w:pPr>
      <w:r w:rsidRPr="000A05D1">
        <w:rPr>
          <w:rFonts w:ascii="Times New Roman" w:hAnsi="Times New Roman" w:cs="Times New Roman"/>
          <w:lang w:val="es-CL"/>
        </w:rPr>
        <w:drawing>
          <wp:inline distT="0" distB="0" distL="0" distR="0" wp14:anchorId="16BDC208" wp14:editId="0A4BE65B">
            <wp:extent cx="5943600" cy="481965"/>
            <wp:effectExtent l="0" t="0" r="0" b="0"/>
            <wp:docPr id="180502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29976" name=""/>
                    <pic:cNvPicPr/>
                  </pic:nvPicPr>
                  <pic:blipFill>
                    <a:blip r:embed="rId23"/>
                    <a:stretch>
                      <a:fillRect/>
                    </a:stretch>
                  </pic:blipFill>
                  <pic:spPr>
                    <a:xfrm>
                      <a:off x="0" y="0"/>
                      <a:ext cx="5943600" cy="481965"/>
                    </a:xfrm>
                    <a:prstGeom prst="rect">
                      <a:avLst/>
                    </a:prstGeom>
                  </pic:spPr>
                </pic:pic>
              </a:graphicData>
            </a:graphic>
          </wp:inline>
        </w:drawing>
      </w:r>
    </w:p>
    <w:p w14:paraId="6D0E6D9E" w14:textId="748A2D62" w:rsidR="19987528" w:rsidRPr="00960A58" w:rsidRDefault="19987528" w:rsidP="19987528">
      <w:pPr>
        <w:rPr>
          <w:rFonts w:ascii="Times New Roman" w:hAnsi="Times New Roman" w:cs="Times New Roman"/>
          <w:lang w:val="es-CL"/>
        </w:rPr>
      </w:pPr>
    </w:p>
    <w:p w14:paraId="7FFFB99E" w14:textId="77777777" w:rsidR="00980A20" w:rsidRPr="00960A58" w:rsidRDefault="00980A20" w:rsidP="19987528">
      <w:pPr>
        <w:rPr>
          <w:rFonts w:ascii="Times New Roman" w:hAnsi="Times New Roman" w:cs="Times New Roman"/>
          <w:lang w:val="es-CL"/>
        </w:rPr>
      </w:pPr>
    </w:p>
    <w:p w14:paraId="39099C25" w14:textId="77777777" w:rsidR="00980A20" w:rsidRPr="00960A58" w:rsidRDefault="00980A20" w:rsidP="19987528">
      <w:pPr>
        <w:rPr>
          <w:rFonts w:ascii="Times New Roman" w:hAnsi="Times New Roman" w:cs="Times New Roman"/>
          <w:lang w:val="es-CL"/>
        </w:rPr>
      </w:pPr>
    </w:p>
    <w:p w14:paraId="6F5975E3" w14:textId="560C7F72" w:rsidR="00980A20" w:rsidRPr="00960A58" w:rsidRDefault="00980A20">
      <w:pPr>
        <w:rPr>
          <w:rFonts w:ascii="Times New Roman" w:hAnsi="Times New Roman" w:cs="Times New Roman"/>
          <w:lang w:val="es-CL"/>
        </w:rPr>
      </w:pPr>
      <w:r w:rsidRPr="00960A58">
        <w:rPr>
          <w:rFonts w:ascii="Times New Roman" w:hAnsi="Times New Roman" w:cs="Times New Roman"/>
          <w:lang w:val="es-CL"/>
        </w:rPr>
        <w:br w:type="page"/>
      </w:r>
    </w:p>
    <w:p w14:paraId="38822D87" w14:textId="77777777" w:rsidR="00980A20" w:rsidRPr="00960A58" w:rsidRDefault="00980A20" w:rsidP="19987528">
      <w:pPr>
        <w:rPr>
          <w:rFonts w:ascii="Times New Roman" w:hAnsi="Times New Roman" w:cs="Times New Roman"/>
          <w:lang w:val="es-CL"/>
        </w:rPr>
      </w:pPr>
    </w:p>
    <w:sectPr w:rsidR="00980A20" w:rsidRPr="00960A58">
      <w:footerReference w:type="even" r:id="rId24"/>
      <w:footerReference w:type="default" r:id="rId25"/>
      <w:footerReference w:type="first" r:id="rId2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shant Yonzan" w:date="2026-09-03T09:24:00Z" w:initials="NY">
    <w:p w14:paraId="340C173F" w14:textId="200A9318" w:rsidR="00000000" w:rsidRDefault="00000000">
      <w:pPr>
        <w:pStyle w:val="CommentText"/>
      </w:pPr>
      <w:r>
        <w:rPr>
          <w:rStyle w:val="CommentReference"/>
        </w:rPr>
        <w:annotationRef/>
      </w:r>
      <w:r w:rsidRPr="0908EECA">
        <w:t>Thanks a lot for putting this together, Daniela! Looks great!</w:t>
      </w:r>
    </w:p>
  </w:comment>
  <w:comment w:id="1" w:author="Nishant Yonzan" w:date="2026-09-03T09:26:00Z" w:initials="NY">
    <w:p w14:paraId="23672C41" w14:textId="0371B9DF" w:rsidR="00000000" w:rsidRDefault="00000000">
      <w:pPr>
        <w:pStyle w:val="CommentText"/>
      </w:pPr>
      <w:r>
        <w:rPr>
          <w:rStyle w:val="CommentReference"/>
        </w:rPr>
        <w:annotationRef/>
      </w:r>
      <w:r w:rsidRPr="69A57A05">
        <w:t>Let's also add outlier detection using the outdetect program from Vecchi/Manchini. Let's see which cases are always problematic. It seems we know some surveys in Malawi and Belize have issues compared to typical surveys.</w:t>
      </w:r>
    </w:p>
  </w:comment>
  <w:comment w:id="2" w:author="Nishant Yonzan" w:date="2026-09-03T09:13:00Z" w:initials="NY">
    <w:p w14:paraId="24006DDC" w14:textId="6D58E2F6" w:rsidR="00A23D96" w:rsidRDefault="00A23D96">
      <w:pPr>
        <w:pStyle w:val="CommentText"/>
      </w:pPr>
      <w:r>
        <w:rPr>
          <w:rStyle w:val="CommentReference"/>
        </w:rPr>
        <w:annotationRef/>
      </w:r>
      <w:r w:rsidRPr="7B149DA1">
        <w:t>Let's also add the type of welfare (income or consumption used). A priori I would expect more income values to be over this threshold than consumption.</w:t>
      </w:r>
    </w:p>
  </w:comment>
  <w:comment w:id="3" w:author="Daniela Avayu Zaliasnik" w:date="2026-08-19T09:24:00Z" w:initials="DZ">
    <w:p w14:paraId="4C97AEAD" w14:textId="03907275" w:rsidR="00540222" w:rsidRDefault="005A7996">
      <w:pPr>
        <w:pStyle w:val="CommentText"/>
      </w:pPr>
      <w:r>
        <w:rPr>
          <w:rStyle w:val="CommentReference"/>
        </w:rPr>
        <w:annotationRef/>
      </w:r>
      <w:r w:rsidRPr="1AA58ABD">
        <w:t>A small alpha value means the distribution is heavy-tailed, which indicates a high concentration of extremely large values and a greater degree of inequality, where a tiny percentage of observations accounts for the vast majority of the total.</w:t>
      </w:r>
    </w:p>
  </w:comment>
  <w:comment w:id="4" w:author="Daniela Avayu Zaliasnik" w:date="2026-08-19T07:05:00Z" w:initials="DZ">
    <w:p w14:paraId="343F6EFD" w14:textId="35F32BFE" w:rsidR="00540222" w:rsidRDefault="005A7996">
      <w:pPr>
        <w:pStyle w:val="CommentText"/>
      </w:pPr>
      <w:r>
        <w:rPr>
          <w:rStyle w:val="CommentReference"/>
        </w:rPr>
        <w:annotationRef/>
      </w:r>
      <w:r w:rsidRPr="5E377184">
        <w:t>A statistical measure of economic inequality. It equals the difference between the logarithm of the mean of a distribution and the mean of the logarithms of the values. An MLD of zero means perfect equality, with higher positive numbers showing greater inequality</w:t>
      </w:r>
    </w:p>
  </w:comment>
  <w:comment w:id="5" w:author="Nishant Yonzan" w:date="2026-09-03T09:22:00Z" w:initials="NY">
    <w:p w14:paraId="3986C731" w14:textId="60A90A13" w:rsidR="00000000" w:rsidRDefault="00000000">
      <w:pPr>
        <w:pStyle w:val="CommentText"/>
      </w:pPr>
      <w:r>
        <w:rPr>
          <w:rStyle w:val="CommentReference"/>
        </w:rPr>
        <w:annotationRef/>
      </w:r>
      <w:r w:rsidRPr="3ACDE968">
        <w:t xml:space="preserve">We could try to do this like we fit Pareto. For instance, remove the top x values. Fit the GB2 and see how far these fitted values are from the actual data. This could be another exercise to what Yuki suggested yesterday: find the fitted values of the top using household and demographic characteristics and see the difference from actual values. </w:t>
      </w:r>
    </w:p>
    <w:p w14:paraId="6D59D9F7" w14:textId="7218AAB7" w:rsidR="00000000" w:rsidRDefault="00000000">
      <w:pPr>
        <w:pStyle w:val="CommentText"/>
      </w:pPr>
    </w:p>
    <w:p w14:paraId="7F992D3A" w14:textId="6EF884A7" w:rsidR="00000000" w:rsidRDefault="00000000">
      <w:pPr>
        <w:pStyle w:val="CommentText"/>
      </w:pPr>
      <w:r w:rsidRPr="376FE78F">
        <w:t xml:space="preserve">In short, I think we have at least three approaches to understand how extreme the outliers are: (a) Pareto, (b) GB2, and (c) regression.  </w:t>
      </w:r>
    </w:p>
  </w:comment>
  <w:comment w:id="6" w:author="Daniela Avayu Zaliasnik" w:date="2026-08-19T06:54:00Z" w:initials="DA">
    <w:p w14:paraId="37C0D7E9" w14:textId="77777777" w:rsidR="00AE1EBF" w:rsidRDefault="00AE1EBF" w:rsidP="00AE1EBF">
      <w:pPr>
        <w:pStyle w:val="CommentText"/>
      </w:pPr>
      <w:r>
        <w:rPr>
          <w:rStyle w:val="CommentReference"/>
        </w:rPr>
        <w:annotationRef/>
      </w:r>
      <w:r>
        <w:t xml:space="preserve">The </w:t>
      </w:r>
      <w:r>
        <w:rPr>
          <w:b/>
          <w:bCs/>
        </w:rPr>
        <w:t>Generalized Beta of the Second Kind (GB2)</w:t>
      </w:r>
      <w:r>
        <w:t xml:space="preserve"> is a flexible mathematical distribution used to represent the full distribution of income or welfare.</w:t>
      </w:r>
    </w:p>
    <w:p w14:paraId="7C27E83F" w14:textId="77777777" w:rsidR="00AE1EBF" w:rsidRDefault="00AE1EBF" w:rsidP="00AE1EBF">
      <w:pPr>
        <w:pStyle w:val="CommentText"/>
      </w:pPr>
      <w:r>
        <w:t>It is useful because it can reproduce common features of income data:</w:t>
      </w:r>
    </w:p>
    <w:p w14:paraId="2205BA97" w14:textId="77777777" w:rsidR="00AE1EBF" w:rsidRDefault="00AE1EBF" w:rsidP="00AE1EBF">
      <w:pPr>
        <w:pStyle w:val="CommentText"/>
        <w:numPr>
          <w:ilvl w:val="0"/>
          <w:numId w:val="14"/>
        </w:numPr>
      </w:pPr>
      <w:r>
        <w:t>many people with low or middle welfare;</w:t>
      </w:r>
    </w:p>
    <w:p w14:paraId="50D3F684" w14:textId="77777777" w:rsidR="00AE1EBF" w:rsidRDefault="00AE1EBF" w:rsidP="00AE1EBF">
      <w:pPr>
        <w:pStyle w:val="CommentText"/>
        <w:numPr>
          <w:ilvl w:val="0"/>
          <w:numId w:val="14"/>
        </w:numPr>
      </w:pPr>
      <w:r>
        <w:t>a right-skewed distribution;</w:t>
      </w:r>
    </w:p>
    <w:p w14:paraId="6EA5009D" w14:textId="77777777" w:rsidR="00AE1EBF" w:rsidRDefault="00AE1EBF" w:rsidP="00AE1EBF">
      <w:pPr>
        <w:pStyle w:val="CommentText"/>
        <w:numPr>
          <w:ilvl w:val="0"/>
          <w:numId w:val="14"/>
        </w:numPr>
      </w:pPr>
      <w:r>
        <w:t>a long upper tail with very high values.</w:t>
      </w:r>
    </w:p>
    <w:p w14:paraId="635781DD" w14:textId="77777777" w:rsidR="00AE1EBF" w:rsidRDefault="00AE1EBF" w:rsidP="00AE1EBF">
      <w:pPr>
        <w:pStyle w:val="CommentText"/>
      </w:pPr>
      <w:r>
        <w:t>In Jenkins et al., values above a known top-code are hidden—for example, the data might report every income above $200,000 simply as “$200,000+.” They fit a GB2 distribution to the information that remains available, then use that fitted distribution to generate plausible values above the threshold for those censored observations.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0C173F" w15:done="0"/>
  <w15:commentEx w15:paraId="23672C41" w15:done="0"/>
  <w15:commentEx w15:paraId="24006DDC" w15:done="0"/>
  <w15:commentEx w15:paraId="4C97AEAD" w15:done="0"/>
  <w15:commentEx w15:paraId="343F6EFD" w15:done="0"/>
  <w15:commentEx w15:paraId="7F992D3A" w15:done="0"/>
  <w15:commentEx w15:paraId="635781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0022A8" w16cex:dateUtc="2026-09-03T13:24:00Z"/>
  <w16cex:commentExtensible w16cex:durableId="0469ABF5" w16cex:dateUtc="2026-09-03T13:26:00Z"/>
  <w16cex:commentExtensible w16cex:durableId="7C4A58A7" w16cex:dateUtc="2026-09-03T13:13:00Z">
    <w16cex:extLst>
      <w16:ext w16:uri="{CE6994B0-6A32-4C9F-8C6B-6E91EDA988CE}">
        <cr:reactions xmlns:cr="http://schemas.microsoft.com/office/comments/2020/reactions">
          <cr:reaction reactionType="1">
            <cr:reactionInfo dateUtc="2026-09-11T16:55:12Z">
              <cr:user userId="S::davayuzaliasnik@worldbank.org::9c27548f-6c4b-4161-bdb9-08ba1fd3ef5b" userProvider="AD" userName="Daniela Avayu Zaliasnik"/>
            </cr:reactionInfo>
          </cr:reaction>
        </cr:reactions>
      </w16:ext>
    </w16cex:extLst>
  </w16cex:commentExtensible>
  <w16cex:commentExtensible w16cex:durableId="3677B870" w16cex:dateUtc="2026-08-19T14:24:00Z"/>
  <w16cex:commentExtensible w16cex:durableId="33982C06" w16cex:dateUtc="2026-08-19T12:05:00Z"/>
  <w16cex:commentExtensible w16cex:durableId="194A6285" w16cex:dateUtc="2026-09-03T13:22:00Z"/>
  <w16cex:commentExtensible w16cex:durableId="7F7FC430" w16cex:dateUtc="2026-08-19T1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0C173F" w16cid:durableId="4A0022A8"/>
  <w16cid:commentId w16cid:paraId="23672C41" w16cid:durableId="0469ABF5"/>
  <w16cid:commentId w16cid:paraId="24006DDC" w16cid:durableId="7C4A58A7"/>
  <w16cid:commentId w16cid:paraId="4C97AEAD" w16cid:durableId="3677B870"/>
  <w16cid:commentId w16cid:paraId="343F6EFD" w16cid:durableId="33982C06"/>
  <w16cid:commentId w16cid:paraId="7F992D3A" w16cid:durableId="194A6285"/>
  <w16cid:commentId w16cid:paraId="635781DD" w16cid:durableId="7F7FC4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0DDBA" w14:textId="77777777" w:rsidR="00E15427" w:rsidRDefault="00E15427" w:rsidP="0082127B">
      <w:pPr>
        <w:spacing w:after="0" w:line="240" w:lineRule="auto"/>
      </w:pPr>
      <w:r>
        <w:separator/>
      </w:r>
    </w:p>
  </w:endnote>
  <w:endnote w:type="continuationSeparator" w:id="0">
    <w:p w14:paraId="23482072" w14:textId="77777777" w:rsidR="00E15427" w:rsidRDefault="00E15427" w:rsidP="00821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AAD1" w14:textId="6A168698" w:rsidR="0082127B" w:rsidRDefault="0082127B">
    <w:pPr>
      <w:pStyle w:val="Footer"/>
    </w:pPr>
    <w:r>
      <w:rPr>
        <w:noProof/>
      </w:rPr>
      <mc:AlternateContent>
        <mc:Choice Requires="wps">
          <w:drawing>
            <wp:anchor distT="0" distB="0" distL="0" distR="0" simplePos="0" relativeHeight="251658241" behindDoc="0" locked="0" layoutInCell="1" allowOverlap="1" wp14:anchorId="7D365B45" wp14:editId="7CEB86C9">
              <wp:simplePos x="635" y="635"/>
              <wp:positionH relativeFrom="page">
                <wp:align>right</wp:align>
              </wp:positionH>
              <wp:positionV relativeFrom="page">
                <wp:align>bottom</wp:align>
              </wp:positionV>
              <wp:extent cx="1170305" cy="370205"/>
              <wp:effectExtent l="0" t="0" r="0" b="0"/>
              <wp:wrapNone/>
              <wp:docPr id="150778174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D365B45" id="_x0000_t202" coordsize="21600,21600" o:spt="202" path="m,l,21600r21600,l21600,xe">
              <v:stroke joinstyle="miter"/>
              <v:path gradientshapeok="t" o:connecttype="rect"/>
            </v:shapetype>
            <v:shape id="Text Box 2" o:spid="_x0000_s1026" type="#_x0000_t202" alt="Official Use Only" style="position:absolute;margin-left:40.95pt;margin-top:0;width:92.15pt;height:29.1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04065" w14:textId="4F53CAFA" w:rsidR="0082127B" w:rsidRDefault="0082127B">
    <w:pPr>
      <w:pStyle w:val="Footer"/>
    </w:pPr>
    <w:r>
      <w:rPr>
        <w:noProof/>
      </w:rPr>
      <mc:AlternateContent>
        <mc:Choice Requires="wps">
          <w:drawing>
            <wp:anchor distT="0" distB="0" distL="0" distR="0" simplePos="0" relativeHeight="251658242" behindDoc="0" locked="0" layoutInCell="1" allowOverlap="1" wp14:anchorId="5C9EAFF6" wp14:editId="5D7078EE">
              <wp:simplePos x="914400" y="9415463"/>
              <wp:positionH relativeFrom="page">
                <wp:align>right</wp:align>
              </wp:positionH>
              <wp:positionV relativeFrom="page">
                <wp:align>bottom</wp:align>
              </wp:positionV>
              <wp:extent cx="1170305" cy="370205"/>
              <wp:effectExtent l="0" t="0" r="0" b="0"/>
              <wp:wrapNone/>
              <wp:docPr id="5825776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C9EAFF6" id="_x0000_t202" coordsize="21600,21600" o:spt="202" path="m,l,21600r21600,l21600,xe">
              <v:stroke joinstyle="miter"/>
              <v:path gradientshapeok="t" o:connecttype="rect"/>
            </v:shapetype>
            <v:shape id="Text Box 3" o:spid="_x0000_s1027" type="#_x0000_t202" alt="Official Use Only" style="position:absolute;margin-left:40.95pt;margin-top:0;width:92.15pt;height:29.1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4B82" w14:textId="14A675DC" w:rsidR="0082127B" w:rsidRDefault="0082127B">
    <w:pPr>
      <w:pStyle w:val="Footer"/>
    </w:pPr>
    <w:r>
      <w:rPr>
        <w:noProof/>
      </w:rPr>
      <mc:AlternateContent>
        <mc:Choice Requires="wps">
          <w:drawing>
            <wp:anchor distT="0" distB="0" distL="0" distR="0" simplePos="0" relativeHeight="251658240" behindDoc="0" locked="0" layoutInCell="1" allowOverlap="1" wp14:anchorId="51042B0C" wp14:editId="15BE60D8">
              <wp:simplePos x="635" y="635"/>
              <wp:positionH relativeFrom="page">
                <wp:align>right</wp:align>
              </wp:positionH>
              <wp:positionV relativeFrom="page">
                <wp:align>bottom</wp:align>
              </wp:positionV>
              <wp:extent cx="1170305" cy="370205"/>
              <wp:effectExtent l="0" t="0" r="0" b="0"/>
              <wp:wrapNone/>
              <wp:docPr id="43221737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1042B0C" id="_x0000_t202" coordsize="21600,21600" o:spt="202" path="m,l,21600r21600,l21600,xe">
              <v:stroke joinstyle="miter"/>
              <v:path gradientshapeok="t" o:connecttype="rect"/>
            </v:shapetype>
            <v:shape id="Text Box 1"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A07D5" w14:textId="77777777" w:rsidR="00E15427" w:rsidRDefault="00E15427" w:rsidP="0082127B">
      <w:pPr>
        <w:spacing w:after="0" w:line="240" w:lineRule="auto"/>
      </w:pPr>
      <w:r>
        <w:separator/>
      </w:r>
    </w:p>
  </w:footnote>
  <w:footnote w:type="continuationSeparator" w:id="0">
    <w:p w14:paraId="71566404" w14:textId="77777777" w:rsidR="00E15427" w:rsidRDefault="00E15427" w:rsidP="00821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B1"/>
    <w:multiLevelType w:val="multilevel"/>
    <w:tmpl w:val="1BB69C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9175D5B"/>
    <w:multiLevelType w:val="multilevel"/>
    <w:tmpl w:val="530A278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E811CF3"/>
    <w:multiLevelType w:val="multilevel"/>
    <w:tmpl w:val="B0EC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A70B3D"/>
    <w:multiLevelType w:val="hybridMultilevel"/>
    <w:tmpl w:val="F816F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D15D35"/>
    <w:multiLevelType w:val="multilevel"/>
    <w:tmpl w:val="27C0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B26A3"/>
    <w:multiLevelType w:val="hybridMultilevel"/>
    <w:tmpl w:val="01E4EF48"/>
    <w:lvl w:ilvl="0" w:tplc="653AE254">
      <w:start w:val="1"/>
      <w:numFmt w:val="bullet"/>
      <w:lvlText w:val=""/>
      <w:lvlJc w:val="left"/>
      <w:pPr>
        <w:ind w:left="1080" w:hanging="360"/>
      </w:pPr>
      <w:rPr>
        <w:rFonts w:ascii="Symbol" w:hAnsi="Symbol"/>
      </w:rPr>
    </w:lvl>
    <w:lvl w:ilvl="1" w:tplc="75F0D3F8">
      <w:start w:val="1"/>
      <w:numFmt w:val="bullet"/>
      <w:lvlText w:val=""/>
      <w:lvlJc w:val="left"/>
      <w:pPr>
        <w:ind w:left="1080" w:hanging="360"/>
      </w:pPr>
      <w:rPr>
        <w:rFonts w:ascii="Symbol" w:hAnsi="Symbol"/>
      </w:rPr>
    </w:lvl>
    <w:lvl w:ilvl="2" w:tplc="678E3314">
      <w:start w:val="1"/>
      <w:numFmt w:val="bullet"/>
      <w:lvlText w:val=""/>
      <w:lvlJc w:val="left"/>
      <w:pPr>
        <w:ind w:left="1080" w:hanging="360"/>
      </w:pPr>
      <w:rPr>
        <w:rFonts w:ascii="Symbol" w:hAnsi="Symbol"/>
      </w:rPr>
    </w:lvl>
    <w:lvl w:ilvl="3" w:tplc="13AE5478">
      <w:start w:val="1"/>
      <w:numFmt w:val="bullet"/>
      <w:lvlText w:val=""/>
      <w:lvlJc w:val="left"/>
      <w:pPr>
        <w:ind w:left="1080" w:hanging="360"/>
      </w:pPr>
      <w:rPr>
        <w:rFonts w:ascii="Symbol" w:hAnsi="Symbol"/>
      </w:rPr>
    </w:lvl>
    <w:lvl w:ilvl="4" w:tplc="D8469920">
      <w:start w:val="1"/>
      <w:numFmt w:val="bullet"/>
      <w:lvlText w:val=""/>
      <w:lvlJc w:val="left"/>
      <w:pPr>
        <w:ind w:left="1080" w:hanging="360"/>
      </w:pPr>
      <w:rPr>
        <w:rFonts w:ascii="Symbol" w:hAnsi="Symbol"/>
      </w:rPr>
    </w:lvl>
    <w:lvl w:ilvl="5" w:tplc="E4C05D70">
      <w:start w:val="1"/>
      <w:numFmt w:val="bullet"/>
      <w:lvlText w:val=""/>
      <w:lvlJc w:val="left"/>
      <w:pPr>
        <w:ind w:left="1080" w:hanging="360"/>
      </w:pPr>
      <w:rPr>
        <w:rFonts w:ascii="Symbol" w:hAnsi="Symbol"/>
      </w:rPr>
    </w:lvl>
    <w:lvl w:ilvl="6" w:tplc="FA9CE5EC">
      <w:start w:val="1"/>
      <w:numFmt w:val="bullet"/>
      <w:lvlText w:val=""/>
      <w:lvlJc w:val="left"/>
      <w:pPr>
        <w:ind w:left="1080" w:hanging="360"/>
      </w:pPr>
      <w:rPr>
        <w:rFonts w:ascii="Symbol" w:hAnsi="Symbol"/>
      </w:rPr>
    </w:lvl>
    <w:lvl w:ilvl="7" w:tplc="4718ED60">
      <w:start w:val="1"/>
      <w:numFmt w:val="bullet"/>
      <w:lvlText w:val=""/>
      <w:lvlJc w:val="left"/>
      <w:pPr>
        <w:ind w:left="1080" w:hanging="360"/>
      </w:pPr>
      <w:rPr>
        <w:rFonts w:ascii="Symbol" w:hAnsi="Symbol"/>
      </w:rPr>
    </w:lvl>
    <w:lvl w:ilvl="8" w:tplc="0F14CE9C">
      <w:start w:val="1"/>
      <w:numFmt w:val="bullet"/>
      <w:lvlText w:val=""/>
      <w:lvlJc w:val="left"/>
      <w:pPr>
        <w:ind w:left="1080" w:hanging="360"/>
      </w:pPr>
      <w:rPr>
        <w:rFonts w:ascii="Symbol" w:hAnsi="Symbol"/>
      </w:rPr>
    </w:lvl>
  </w:abstractNum>
  <w:abstractNum w:abstractNumId="6" w15:restartNumberingAfterBreak="0">
    <w:nsid w:val="3B55692E"/>
    <w:multiLevelType w:val="hybridMultilevel"/>
    <w:tmpl w:val="FE5810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0062BDD"/>
    <w:multiLevelType w:val="multilevel"/>
    <w:tmpl w:val="FD7AC1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E829F8"/>
    <w:multiLevelType w:val="hybridMultilevel"/>
    <w:tmpl w:val="8716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2C5033"/>
    <w:multiLevelType w:val="multilevel"/>
    <w:tmpl w:val="1B2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DB6A7B"/>
    <w:multiLevelType w:val="multilevel"/>
    <w:tmpl w:val="A8901174"/>
    <w:lvl w:ilvl="0">
      <w:start w:val="1"/>
      <w:numFmt w:val="lowerLetter"/>
      <w:lvlText w:val="%1)"/>
      <w:lvlJc w:val="left"/>
      <w:pPr>
        <w:tabs>
          <w:tab w:val="num" w:pos="720"/>
        </w:tabs>
        <w:ind w:left="720" w:hanging="360"/>
      </w:pPr>
      <w:rPr>
        <w:rFonts w:asciiTheme="minorHAnsi" w:eastAsiaTheme="minorHAnsi" w:hAnsiTheme="minorHAnsi" w:cstheme="minorBidi"/>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5CC89E23"/>
    <w:multiLevelType w:val="hybridMultilevel"/>
    <w:tmpl w:val="1A069BCA"/>
    <w:lvl w:ilvl="0" w:tplc="10968D3E">
      <w:start w:val="1"/>
      <w:numFmt w:val="decimal"/>
      <w:lvlText w:val="%1."/>
      <w:lvlJc w:val="left"/>
      <w:pPr>
        <w:ind w:left="720" w:hanging="360"/>
      </w:pPr>
    </w:lvl>
    <w:lvl w:ilvl="1" w:tplc="2A929754">
      <w:start w:val="1"/>
      <w:numFmt w:val="lowerLetter"/>
      <w:lvlText w:val="%2."/>
      <w:lvlJc w:val="left"/>
      <w:pPr>
        <w:ind w:left="1440" w:hanging="360"/>
      </w:pPr>
    </w:lvl>
    <w:lvl w:ilvl="2" w:tplc="E11ED38C">
      <w:start w:val="1"/>
      <w:numFmt w:val="lowerRoman"/>
      <w:lvlText w:val="%3."/>
      <w:lvlJc w:val="right"/>
      <w:pPr>
        <w:ind w:left="2160" w:hanging="180"/>
      </w:pPr>
    </w:lvl>
    <w:lvl w:ilvl="3" w:tplc="2BCEE006">
      <w:start w:val="1"/>
      <w:numFmt w:val="decimal"/>
      <w:lvlText w:val="%4."/>
      <w:lvlJc w:val="left"/>
      <w:pPr>
        <w:ind w:left="2880" w:hanging="360"/>
      </w:pPr>
    </w:lvl>
    <w:lvl w:ilvl="4" w:tplc="01B621B0">
      <w:start w:val="1"/>
      <w:numFmt w:val="lowerLetter"/>
      <w:lvlText w:val="%5."/>
      <w:lvlJc w:val="left"/>
      <w:pPr>
        <w:ind w:left="3600" w:hanging="360"/>
      </w:pPr>
    </w:lvl>
    <w:lvl w:ilvl="5" w:tplc="DC9852DA">
      <w:start w:val="1"/>
      <w:numFmt w:val="lowerRoman"/>
      <w:lvlText w:val="%6."/>
      <w:lvlJc w:val="right"/>
      <w:pPr>
        <w:ind w:left="4320" w:hanging="180"/>
      </w:pPr>
    </w:lvl>
    <w:lvl w:ilvl="6" w:tplc="CAF80C80">
      <w:start w:val="1"/>
      <w:numFmt w:val="decimal"/>
      <w:lvlText w:val="%7."/>
      <w:lvlJc w:val="left"/>
      <w:pPr>
        <w:ind w:left="5040" w:hanging="360"/>
      </w:pPr>
    </w:lvl>
    <w:lvl w:ilvl="7" w:tplc="D44285F6">
      <w:start w:val="1"/>
      <w:numFmt w:val="lowerLetter"/>
      <w:lvlText w:val="%8."/>
      <w:lvlJc w:val="left"/>
      <w:pPr>
        <w:ind w:left="5760" w:hanging="360"/>
      </w:pPr>
    </w:lvl>
    <w:lvl w:ilvl="8" w:tplc="AB2C53B2">
      <w:start w:val="1"/>
      <w:numFmt w:val="lowerRoman"/>
      <w:lvlText w:val="%9."/>
      <w:lvlJc w:val="right"/>
      <w:pPr>
        <w:ind w:left="6480" w:hanging="180"/>
      </w:pPr>
    </w:lvl>
  </w:abstractNum>
  <w:abstractNum w:abstractNumId="12" w15:restartNumberingAfterBreak="0">
    <w:nsid w:val="632B4690"/>
    <w:multiLevelType w:val="multilevel"/>
    <w:tmpl w:val="68D4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954146"/>
    <w:multiLevelType w:val="hybridMultilevel"/>
    <w:tmpl w:val="9460A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A10CB7"/>
    <w:multiLevelType w:val="multilevel"/>
    <w:tmpl w:val="F9A25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748B5426"/>
    <w:multiLevelType w:val="hybridMultilevel"/>
    <w:tmpl w:val="00922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E757D"/>
    <w:multiLevelType w:val="multilevel"/>
    <w:tmpl w:val="0D82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C993FD2"/>
    <w:multiLevelType w:val="multilevel"/>
    <w:tmpl w:val="3F587A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7695760">
    <w:abstractNumId w:val="11"/>
  </w:num>
  <w:num w:numId="2" w16cid:durableId="2007055876">
    <w:abstractNumId w:val="12"/>
  </w:num>
  <w:num w:numId="3" w16cid:durableId="1695764955">
    <w:abstractNumId w:val="10"/>
  </w:num>
  <w:num w:numId="4" w16cid:durableId="754862650">
    <w:abstractNumId w:val="1"/>
  </w:num>
  <w:num w:numId="5" w16cid:durableId="171184208">
    <w:abstractNumId w:val="7"/>
  </w:num>
  <w:num w:numId="6" w16cid:durableId="1870799083">
    <w:abstractNumId w:val="16"/>
  </w:num>
  <w:num w:numId="7" w16cid:durableId="662129361">
    <w:abstractNumId w:val="0"/>
  </w:num>
  <w:num w:numId="8" w16cid:durableId="1882326359">
    <w:abstractNumId w:val="14"/>
  </w:num>
  <w:num w:numId="9" w16cid:durableId="1959405447">
    <w:abstractNumId w:val="2"/>
  </w:num>
  <w:num w:numId="10" w16cid:durableId="472066191">
    <w:abstractNumId w:val="6"/>
  </w:num>
  <w:num w:numId="11" w16cid:durableId="745881372">
    <w:abstractNumId w:val="9"/>
  </w:num>
  <w:num w:numId="12" w16cid:durableId="1684822851">
    <w:abstractNumId w:val="13"/>
  </w:num>
  <w:num w:numId="13" w16cid:durableId="159276195">
    <w:abstractNumId w:val="4"/>
  </w:num>
  <w:num w:numId="14" w16cid:durableId="1679497698">
    <w:abstractNumId w:val="5"/>
  </w:num>
  <w:num w:numId="15" w16cid:durableId="1685401187">
    <w:abstractNumId w:val="8"/>
  </w:num>
  <w:num w:numId="16" w16cid:durableId="1751123540">
    <w:abstractNumId w:val="15"/>
  </w:num>
  <w:num w:numId="17" w16cid:durableId="1858502340">
    <w:abstractNumId w:val="3"/>
  </w:num>
  <w:num w:numId="18" w16cid:durableId="133086551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shant Yonzan">
    <w15:presenceInfo w15:providerId="AD" w15:userId="S::nyonzan@worldbank.org::3bdbdd72-ed93-479d-9dd5-433cc0b4cc1c"/>
  </w15:person>
  <w15:person w15:author="Daniela Avayu Zaliasnik">
    <w15:presenceInfo w15:providerId="AD" w15:userId="S::davayuzaliasnik@worldbank.org::9c27548f-6c4b-4161-bdb9-08ba1fd3ef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17"/>
    <w:rsid w:val="00016516"/>
    <w:rsid w:val="00027F2C"/>
    <w:rsid w:val="00037E45"/>
    <w:rsid w:val="00040386"/>
    <w:rsid w:val="00047BA6"/>
    <w:rsid w:val="000545E4"/>
    <w:rsid w:val="000562D0"/>
    <w:rsid w:val="00087166"/>
    <w:rsid w:val="000A05D1"/>
    <w:rsid w:val="000B4DE6"/>
    <w:rsid w:val="000C4293"/>
    <w:rsid w:val="000C4A9B"/>
    <w:rsid w:val="000C5131"/>
    <w:rsid w:val="000E0584"/>
    <w:rsid w:val="000E5D16"/>
    <w:rsid w:val="0015306A"/>
    <w:rsid w:val="001671A2"/>
    <w:rsid w:val="00172ACD"/>
    <w:rsid w:val="001772B0"/>
    <w:rsid w:val="00180E24"/>
    <w:rsid w:val="00190D92"/>
    <w:rsid w:val="001A1A34"/>
    <w:rsid w:val="001A1AF6"/>
    <w:rsid w:val="001C2061"/>
    <w:rsid w:val="001D1D49"/>
    <w:rsid w:val="001F21BD"/>
    <w:rsid w:val="001F61FD"/>
    <w:rsid w:val="00201F62"/>
    <w:rsid w:val="00206D58"/>
    <w:rsid w:val="00233896"/>
    <w:rsid w:val="00235997"/>
    <w:rsid w:val="00235A8A"/>
    <w:rsid w:val="00235CDC"/>
    <w:rsid w:val="00243E6B"/>
    <w:rsid w:val="00276736"/>
    <w:rsid w:val="0029361C"/>
    <w:rsid w:val="002A5C5A"/>
    <w:rsid w:val="002B2624"/>
    <w:rsid w:val="002B44B6"/>
    <w:rsid w:val="002C43DE"/>
    <w:rsid w:val="002C590A"/>
    <w:rsid w:val="002D11A0"/>
    <w:rsid w:val="00305007"/>
    <w:rsid w:val="003103C7"/>
    <w:rsid w:val="00316291"/>
    <w:rsid w:val="0031D0AA"/>
    <w:rsid w:val="0032609D"/>
    <w:rsid w:val="00332E6E"/>
    <w:rsid w:val="00334E4D"/>
    <w:rsid w:val="0034439E"/>
    <w:rsid w:val="003B7807"/>
    <w:rsid w:val="003C0F00"/>
    <w:rsid w:val="003D1666"/>
    <w:rsid w:val="003D1D0F"/>
    <w:rsid w:val="00426C55"/>
    <w:rsid w:val="004372D9"/>
    <w:rsid w:val="004533A5"/>
    <w:rsid w:val="00460E0E"/>
    <w:rsid w:val="0046140B"/>
    <w:rsid w:val="00461557"/>
    <w:rsid w:val="004616D8"/>
    <w:rsid w:val="00483D44"/>
    <w:rsid w:val="00484656"/>
    <w:rsid w:val="004B5F16"/>
    <w:rsid w:val="004F4974"/>
    <w:rsid w:val="00501286"/>
    <w:rsid w:val="005246B7"/>
    <w:rsid w:val="005253A8"/>
    <w:rsid w:val="00525D5C"/>
    <w:rsid w:val="00540222"/>
    <w:rsid w:val="00540929"/>
    <w:rsid w:val="005474C5"/>
    <w:rsid w:val="005578CA"/>
    <w:rsid w:val="005671F2"/>
    <w:rsid w:val="00573289"/>
    <w:rsid w:val="005831C8"/>
    <w:rsid w:val="005875CD"/>
    <w:rsid w:val="00587C8E"/>
    <w:rsid w:val="005933E4"/>
    <w:rsid w:val="0059438E"/>
    <w:rsid w:val="00597CD2"/>
    <w:rsid w:val="005A56F5"/>
    <w:rsid w:val="005A7996"/>
    <w:rsid w:val="005B7851"/>
    <w:rsid w:val="005C393F"/>
    <w:rsid w:val="005E6700"/>
    <w:rsid w:val="005F5D22"/>
    <w:rsid w:val="006144F6"/>
    <w:rsid w:val="00621090"/>
    <w:rsid w:val="006611B3"/>
    <w:rsid w:val="00670A1D"/>
    <w:rsid w:val="00674C49"/>
    <w:rsid w:val="00675C42"/>
    <w:rsid w:val="0068146F"/>
    <w:rsid w:val="00693F5A"/>
    <w:rsid w:val="006A7426"/>
    <w:rsid w:val="006D2F76"/>
    <w:rsid w:val="006E46C3"/>
    <w:rsid w:val="006E6608"/>
    <w:rsid w:val="006E7405"/>
    <w:rsid w:val="006F263B"/>
    <w:rsid w:val="00705A65"/>
    <w:rsid w:val="007178F1"/>
    <w:rsid w:val="0072050D"/>
    <w:rsid w:val="007242B3"/>
    <w:rsid w:val="007267FF"/>
    <w:rsid w:val="00730998"/>
    <w:rsid w:val="00731395"/>
    <w:rsid w:val="00747400"/>
    <w:rsid w:val="00765659"/>
    <w:rsid w:val="00766B57"/>
    <w:rsid w:val="007A1DBF"/>
    <w:rsid w:val="007A72A5"/>
    <w:rsid w:val="007B5EF2"/>
    <w:rsid w:val="007B70BD"/>
    <w:rsid w:val="007D532F"/>
    <w:rsid w:val="007D6B10"/>
    <w:rsid w:val="007E0018"/>
    <w:rsid w:val="007E55AC"/>
    <w:rsid w:val="007F23DA"/>
    <w:rsid w:val="0082127B"/>
    <w:rsid w:val="00821A6A"/>
    <w:rsid w:val="00821BDD"/>
    <w:rsid w:val="008574BE"/>
    <w:rsid w:val="008635C0"/>
    <w:rsid w:val="00882D8C"/>
    <w:rsid w:val="008A4684"/>
    <w:rsid w:val="008B4B25"/>
    <w:rsid w:val="008D137F"/>
    <w:rsid w:val="008D15EE"/>
    <w:rsid w:val="008F5770"/>
    <w:rsid w:val="00923221"/>
    <w:rsid w:val="0093556C"/>
    <w:rsid w:val="009510F5"/>
    <w:rsid w:val="00952EA9"/>
    <w:rsid w:val="00960A58"/>
    <w:rsid w:val="00972B7A"/>
    <w:rsid w:val="00980A20"/>
    <w:rsid w:val="00984C0F"/>
    <w:rsid w:val="0098721D"/>
    <w:rsid w:val="00992C5F"/>
    <w:rsid w:val="009A740B"/>
    <w:rsid w:val="009A7547"/>
    <w:rsid w:val="009B13A7"/>
    <w:rsid w:val="009B4BB0"/>
    <w:rsid w:val="009C3000"/>
    <w:rsid w:val="009C4BC6"/>
    <w:rsid w:val="009C7A90"/>
    <w:rsid w:val="009D5159"/>
    <w:rsid w:val="009D6ECC"/>
    <w:rsid w:val="009E6266"/>
    <w:rsid w:val="00A00873"/>
    <w:rsid w:val="00A0574C"/>
    <w:rsid w:val="00A11369"/>
    <w:rsid w:val="00A20009"/>
    <w:rsid w:val="00A23D96"/>
    <w:rsid w:val="00A27F26"/>
    <w:rsid w:val="00A43611"/>
    <w:rsid w:val="00A44AE6"/>
    <w:rsid w:val="00A522DB"/>
    <w:rsid w:val="00A62E1D"/>
    <w:rsid w:val="00A64173"/>
    <w:rsid w:val="00A85EE7"/>
    <w:rsid w:val="00A9049C"/>
    <w:rsid w:val="00A92B31"/>
    <w:rsid w:val="00A969F3"/>
    <w:rsid w:val="00AD1273"/>
    <w:rsid w:val="00AE1EBF"/>
    <w:rsid w:val="00AE44B4"/>
    <w:rsid w:val="00B0395D"/>
    <w:rsid w:val="00B04B77"/>
    <w:rsid w:val="00B0743E"/>
    <w:rsid w:val="00B07791"/>
    <w:rsid w:val="00B34903"/>
    <w:rsid w:val="00B35999"/>
    <w:rsid w:val="00B36953"/>
    <w:rsid w:val="00B434D0"/>
    <w:rsid w:val="00B437AB"/>
    <w:rsid w:val="00B504D4"/>
    <w:rsid w:val="00B630F4"/>
    <w:rsid w:val="00B749CD"/>
    <w:rsid w:val="00BB4E54"/>
    <w:rsid w:val="00BD3B91"/>
    <w:rsid w:val="00BE0E98"/>
    <w:rsid w:val="00C074F4"/>
    <w:rsid w:val="00C22A2C"/>
    <w:rsid w:val="00C42CC2"/>
    <w:rsid w:val="00C77959"/>
    <w:rsid w:val="00C837D3"/>
    <w:rsid w:val="00C931DF"/>
    <w:rsid w:val="00CA50F1"/>
    <w:rsid w:val="00CB0FDE"/>
    <w:rsid w:val="00CC20C0"/>
    <w:rsid w:val="00CE7C1C"/>
    <w:rsid w:val="00CF0042"/>
    <w:rsid w:val="00D338D0"/>
    <w:rsid w:val="00D366D6"/>
    <w:rsid w:val="00D5702A"/>
    <w:rsid w:val="00D653C8"/>
    <w:rsid w:val="00D71559"/>
    <w:rsid w:val="00D921A3"/>
    <w:rsid w:val="00DA08D7"/>
    <w:rsid w:val="00DA42BC"/>
    <w:rsid w:val="00DE721A"/>
    <w:rsid w:val="00E0060C"/>
    <w:rsid w:val="00E038CA"/>
    <w:rsid w:val="00E15427"/>
    <w:rsid w:val="00E33FC0"/>
    <w:rsid w:val="00E97FD3"/>
    <w:rsid w:val="00EB3955"/>
    <w:rsid w:val="00EB6D63"/>
    <w:rsid w:val="00EC11D4"/>
    <w:rsid w:val="00EC34ED"/>
    <w:rsid w:val="00ED1A88"/>
    <w:rsid w:val="00F0442D"/>
    <w:rsid w:val="00F04D6D"/>
    <w:rsid w:val="00F17D32"/>
    <w:rsid w:val="00F21492"/>
    <w:rsid w:val="00F25BC4"/>
    <w:rsid w:val="00F44A4A"/>
    <w:rsid w:val="00F82D17"/>
    <w:rsid w:val="00F852F4"/>
    <w:rsid w:val="00FA1F3A"/>
    <w:rsid w:val="00FB1DBB"/>
    <w:rsid w:val="00FD0574"/>
    <w:rsid w:val="00FD4CAD"/>
    <w:rsid w:val="00FF0DEA"/>
    <w:rsid w:val="00FF46F6"/>
    <w:rsid w:val="01805288"/>
    <w:rsid w:val="05B04A73"/>
    <w:rsid w:val="05EDC7B9"/>
    <w:rsid w:val="0A7B1F8F"/>
    <w:rsid w:val="0DEBFA94"/>
    <w:rsid w:val="0E4D1763"/>
    <w:rsid w:val="166E6B61"/>
    <w:rsid w:val="19987528"/>
    <w:rsid w:val="1CCA3EDC"/>
    <w:rsid w:val="1E12F32A"/>
    <w:rsid w:val="1F1AB13E"/>
    <w:rsid w:val="2102C840"/>
    <w:rsid w:val="211D8BEA"/>
    <w:rsid w:val="251EC4D5"/>
    <w:rsid w:val="2942F37D"/>
    <w:rsid w:val="2973EF90"/>
    <w:rsid w:val="2DF58D61"/>
    <w:rsid w:val="32104BAA"/>
    <w:rsid w:val="33ACEA20"/>
    <w:rsid w:val="37757DBB"/>
    <w:rsid w:val="427C7962"/>
    <w:rsid w:val="4581E9D3"/>
    <w:rsid w:val="49954D9F"/>
    <w:rsid w:val="4E1827FF"/>
    <w:rsid w:val="53D86757"/>
    <w:rsid w:val="53EF1DCA"/>
    <w:rsid w:val="5FB32A5A"/>
    <w:rsid w:val="61C71AE1"/>
    <w:rsid w:val="639C3E34"/>
    <w:rsid w:val="66742BD9"/>
    <w:rsid w:val="67B583F4"/>
    <w:rsid w:val="6EB88FF0"/>
    <w:rsid w:val="74199E94"/>
    <w:rsid w:val="76261046"/>
    <w:rsid w:val="7DE481F1"/>
    <w:rsid w:val="7DEE5222"/>
    <w:rsid w:val="7F0E23A7"/>
    <w:rsid w:val="7F751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AFD2D"/>
  <w15:chartTrackingRefBased/>
  <w15:docId w15:val="{DD23D7A0-843F-445D-86D9-8EFD540E2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A88"/>
  </w:style>
  <w:style w:type="paragraph" w:styleId="Heading1">
    <w:name w:val="heading 1"/>
    <w:basedOn w:val="Normal"/>
    <w:next w:val="Normal"/>
    <w:link w:val="Heading1Char"/>
    <w:uiPriority w:val="9"/>
    <w:qFormat/>
    <w:rsid w:val="00F82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D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D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D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D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D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D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D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D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D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D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D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D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D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D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D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D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D17"/>
    <w:rPr>
      <w:rFonts w:eastAsiaTheme="majorEastAsia" w:cstheme="majorBidi"/>
      <w:color w:val="272727" w:themeColor="text1" w:themeTint="D8"/>
    </w:rPr>
  </w:style>
  <w:style w:type="paragraph" w:styleId="Title">
    <w:name w:val="Title"/>
    <w:basedOn w:val="Normal"/>
    <w:next w:val="Normal"/>
    <w:link w:val="TitleChar"/>
    <w:uiPriority w:val="10"/>
    <w:qFormat/>
    <w:rsid w:val="00F82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D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D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D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D17"/>
    <w:pPr>
      <w:spacing w:before="160"/>
      <w:jc w:val="center"/>
    </w:pPr>
    <w:rPr>
      <w:i/>
      <w:iCs/>
      <w:color w:val="404040" w:themeColor="text1" w:themeTint="BF"/>
    </w:rPr>
  </w:style>
  <w:style w:type="character" w:customStyle="1" w:styleId="QuoteChar">
    <w:name w:val="Quote Char"/>
    <w:basedOn w:val="DefaultParagraphFont"/>
    <w:link w:val="Quote"/>
    <w:uiPriority w:val="29"/>
    <w:rsid w:val="00F82D17"/>
    <w:rPr>
      <w:i/>
      <w:iCs/>
      <w:color w:val="404040" w:themeColor="text1" w:themeTint="BF"/>
    </w:rPr>
  </w:style>
  <w:style w:type="paragraph" w:styleId="ListParagraph">
    <w:name w:val="List Paragraph"/>
    <w:basedOn w:val="Normal"/>
    <w:uiPriority w:val="34"/>
    <w:qFormat/>
    <w:rsid w:val="00F82D17"/>
    <w:pPr>
      <w:ind w:left="720"/>
      <w:contextualSpacing/>
    </w:pPr>
  </w:style>
  <w:style w:type="character" w:styleId="IntenseEmphasis">
    <w:name w:val="Intense Emphasis"/>
    <w:basedOn w:val="DefaultParagraphFont"/>
    <w:uiPriority w:val="21"/>
    <w:qFormat/>
    <w:rsid w:val="00F82D17"/>
    <w:rPr>
      <w:i/>
      <w:iCs/>
      <w:color w:val="0F4761" w:themeColor="accent1" w:themeShade="BF"/>
    </w:rPr>
  </w:style>
  <w:style w:type="paragraph" w:styleId="IntenseQuote">
    <w:name w:val="Intense Quote"/>
    <w:basedOn w:val="Normal"/>
    <w:next w:val="Normal"/>
    <w:link w:val="IntenseQuoteChar"/>
    <w:uiPriority w:val="30"/>
    <w:qFormat/>
    <w:rsid w:val="00F82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D17"/>
    <w:rPr>
      <w:i/>
      <w:iCs/>
      <w:color w:val="0F4761" w:themeColor="accent1" w:themeShade="BF"/>
    </w:rPr>
  </w:style>
  <w:style w:type="character" w:styleId="IntenseReference">
    <w:name w:val="Intense Reference"/>
    <w:basedOn w:val="DefaultParagraphFont"/>
    <w:uiPriority w:val="32"/>
    <w:qFormat/>
    <w:rsid w:val="00F82D17"/>
    <w:rPr>
      <w:b/>
      <w:bCs/>
      <w:smallCaps/>
      <w:color w:val="0F4761" w:themeColor="accent1" w:themeShade="BF"/>
      <w:spacing w:val="5"/>
    </w:rPr>
  </w:style>
  <w:style w:type="paragraph" w:styleId="Footer">
    <w:name w:val="footer"/>
    <w:basedOn w:val="Normal"/>
    <w:link w:val="FooterChar"/>
    <w:uiPriority w:val="99"/>
    <w:unhideWhenUsed/>
    <w:rsid w:val="008212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27B"/>
  </w:style>
  <w:style w:type="character" w:styleId="Hyperlink">
    <w:name w:val="Hyperlink"/>
    <w:basedOn w:val="DefaultParagraphFont"/>
    <w:uiPriority w:val="99"/>
    <w:unhideWhenUsed/>
    <w:rsid w:val="005F5D22"/>
    <w:rPr>
      <w:color w:val="467886" w:themeColor="hyperlink"/>
      <w:u w:val="single"/>
    </w:rPr>
  </w:style>
  <w:style w:type="character" w:styleId="UnresolvedMention">
    <w:name w:val="Unresolved Mention"/>
    <w:basedOn w:val="DefaultParagraphFont"/>
    <w:uiPriority w:val="99"/>
    <w:semiHidden/>
    <w:unhideWhenUsed/>
    <w:rsid w:val="005F5D22"/>
    <w:rPr>
      <w:color w:val="605E5C"/>
      <w:shd w:val="clear" w:color="auto" w:fill="E1DFDD"/>
    </w:rPr>
  </w:style>
  <w:style w:type="table" w:styleId="TableGrid">
    <w:name w:val="Table Grid"/>
    <w:basedOn w:val="TableNormal"/>
    <w:uiPriority w:val="39"/>
    <w:rsid w:val="003C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0E24"/>
    <w:rPr>
      <w:color w:val="666666"/>
    </w:rPr>
  </w:style>
  <w:style w:type="character" w:styleId="FollowedHyperlink">
    <w:name w:val="FollowedHyperlink"/>
    <w:basedOn w:val="DefaultParagraphFont"/>
    <w:uiPriority w:val="99"/>
    <w:semiHidden/>
    <w:unhideWhenUsed/>
    <w:rsid w:val="00E33FC0"/>
    <w:rPr>
      <w:color w:val="96607D" w:themeColor="followedHyperlink"/>
      <w:u w:val="single"/>
    </w:rPr>
  </w:style>
  <w:style w:type="character" w:styleId="CommentReference">
    <w:name w:val="annotation reference"/>
    <w:basedOn w:val="DefaultParagraphFont"/>
    <w:uiPriority w:val="99"/>
    <w:semiHidden/>
    <w:unhideWhenUsed/>
    <w:rsid w:val="00AE1EBF"/>
    <w:rPr>
      <w:sz w:val="16"/>
      <w:szCs w:val="16"/>
    </w:rPr>
  </w:style>
  <w:style w:type="paragraph" w:styleId="CommentText">
    <w:name w:val="annotation text"/>
    <w:basedOn w:val="Normal"/>
    <w:link w:val="CommentTextChar"/>
    <w:uiPriority w:val="99"/>
    <w:unhideWhenUsed/>
    <w:rsid w:val="00AE1EBF"/>
    <w:pPr>
      <w:spacing w:line="240" w:lineRule="auto"/>
    </w:pPr>
    <w:rPr>
      <w:sz w:val="20"/>
      <w:szCs w:val="20"/>
    </w:rPr>
  </w:style>
  <w:style w:type="character" w:customStyle="1" w:styleId="CommentTextChar">
    <w:name w:val="Comment Text Char"/>
    <w:basedOn w:val="DefaultParagraphFont"/>
    <w:link w:val="CommentText"/>
    <w:uiPriority w:val="99"/>
    <w:rsid w:val="00AE1EBF"/>
    <w:rPr>
      <w:sz w:val="20"/>
      <w:szCs w:val="20"/>
    </w:rPr>
  </w:style>
  <w:style w:type="paragraph" w:styleId="CommentSubject">
    <w:name w:val="annotation subject"/>
    <w:basedOn w:val="CommentText"/>
    <w:next w:val="CommentText"/>
    <w:link w:val="CommentSubjectChar"/>
    <w:uiPriority w:val="99"/>
    <w:semiHidden/>
    <w:unhideWhenUsed/>
    <w:rsid w:val="00AE1EBF"/>
    <w:rPr>
      <w:b/>
      <w:bCs/>
    </w:rPr>
  </w:style>
  <w:style w:type="character" w:customStyle="1" w:styleId="CommentSubjectChar">
    <w:name w:val="Comment Subject Char"/>
    <w:basedOn w:val="CommentTextChar"/>
    <w:link w:val="CommentSubject"/>
    <w:uiPriority w:val="99"/>
    <w:semiHidden/>
    <w:rsid w:val="00AE1EBF"/>
    <w:rPr>
      <w:b/>
      <w:bCs/>
      <w:sz w:val="20"/>
      <w:szCs w:val="20"/>
    </w:rPr>
  </w:style>
  <w:style w:type="paragraph" w:styleId="Header">
    <w:name w:val="header"/>
    <w:basedOn w:val="Normal"/>
    <w:link w:val="HeaderChar"/>
    <w:uiPriority w:val="99"/>
    <w:unhideWhenUsed/>
    <w:rsid w:val="00674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cps.ipums.org/cps/topcodes_tables.shtml" TargetMode="External"/><Relationship Id="rId18" Type="http://schemas.openxmlformats.org/officeDocument/2006/relationships/hyperlink" Target="https://wid.world/document/distributional-national-accounts-dina-guidelines-2025-methods-and-concepts-used-in-the-world-inequality-database/"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yperlink" Target="https://openknowledge.worldbank.org/server/api/core/bitstreams/a8021d9e-bdcd-5371-b00c-589e10b5c0ec/content"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yperlink" Target="https://liser.elsevierpure.com/ws/portalfiles/portal/11788644/Working%20Paper%20n_2007-01"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www.census.gov/programs-surveys/cps/technical-documentation/methodology/topcoding-of-usual-hourly-earnings.html" TargetMode="Externa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lisdatacenter.org/wps/techwps/9.pdf" TargetMode="External"/><Relationship Id="rId23" Type="http://schemas.openxmlformats.org/officeDocument/2006/relationships/image" Target="media/image6.png"/><Relationship Id="rId28"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3.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jstor.org/stable/pdf/23013393.pdf" TargetMode="External"/><Relationship Id="rId22" Type="http://schemas.openxmlformats.org/officeDocument/2006/relationships/image" Target="media/image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4575</TotalTime>
  <Pages>21</Pages>
  <Words>4468</Words>
  <Characters>25472</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29881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Avayu Zaliasnik</dc:creator>
  <cp:keywords/>
  <dc:description/>
  <cp:lastModifiedBy>Daniela Avayu Zaliasnik</cp:lastModifiedBy>
  <cp:revision>199</cp:revision>
  <dcterms:created xsi:type="dcterms:W3CDTF">2026-06-15T17:32:00Z</dcterms:created>
  <dcterms:modified xsi:type="dcterms:W3CDTF">2026-09-12T19:00:00Z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19c31d23,59deec70,22b96e10</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2026-06-15T15:46:09Z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3410daf8-a659-48d3-9717-a7281538598d</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