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AIOps Guardian Pro</w:t>
      </w:r>
    </w:p>
    <w:p>
      <w:pPr>
        <w:jc w:val="center"/>
      </w:pPr>
      <w:r>
        <w:rPr>
          <w:b/>
          <w:color w:val="286090"/>
          <w:sz w:val="30"/>
        </w:rPr>
        <w:t>SRE Incident Intelligence, Governed Remediation, and Operational Learning</w:t>
      </w:r>
    </w:p>
    <w:p>
      <w:pPr>
        <w:jc w:val="center"/>
      </w:pPr>
      <w:r>
        <w:rPr>
          <w:i/>
        </w:rPr>
        <w:t>Confluence-ready product and end-user guide</w:t>
        <w:br/>
        <w:t>Version 1.0 | 22 September 2026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80760" cy="4306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d-to-end-product-architectur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4306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Figure 1. End-to-end product architecture.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D9EAF7"/>
          </w:tcPr>
          <w:p>
            <w:r>
              <w:rPr>
                <w:b/>
              </w:rPr>
              <w:t>One-line value proposition</w:t>
              <w:br/>
            </w:r>
            <w:r>
              <w:t>AIOps Guardian turns operational signals into explainable, evidence-backed, and governed SRE actions.</w:t>
            </w:r>
          </w:p>
        </w:tc>
      </w:tr>
    </w:tbl>
    <w:p/>
    <w:p>
      <w:pPr>
        <w:pStyle w:val="Heading1"/>
      </w:pPr>
      <w:r>
        <w:t>1. Executive Summary</w:t>
      </w:r>
    </w:p>
    <w:p>
      <w:r>
        <w:t>AIOps Guardian Pro is an SRE control plane for detecting, investigating, explaining, and safely remediating production issues. It combines a React operations console, FastAPI services, a LangGraph orchestrator, specialized diagnostic agents, live observability integrations, deterministic guardrails, human approvals, MCP tool execution, verification, and an operational audit trail.</w:t>
      </w:r>
    </w:p>
    <w:p>
      <w:r>
        <w:t>An end user does not need to understand Kubernetes, Prometheus, tracing, MCP, or agent orchestration. They can ask a question such as: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D9EAF7"/>
          </w:tcPr>
          <w:p>
            <w:r>
              <w:rPr>
                <w:b/>
              </w:rPr>
              <w:t>Example user question</w:t>
              <w:br/>
            </w:r>
            <w:r>
              <w:t>Why is checkout-api failing after today's production deployment?</w:t>
            </w:r>
          </w:p>
        </w:tc>
      </w:tr>
    </w:tbl>
    <w:p/>
    <w:p>
      <w:r>
        <w:t>Guardian collects evidence, correlates signals, explains the likely cause, proposes a practical response, and pauses risky production actions until an authorized approver decides.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1872"/>
            <w:vAlign w:val="center"/>
            <w:shd w:fill="17365D"/>
          </w:tcPr>
          <w:p>
            <w:r/>
            <w:r>
              <w:rPr>
                <w:b/>
                <w:color w:val="FFFFFF"/>
              </w:rPr>
              <w:t>Capability</w:t>
            </w:r>
          </w:p>
        </w:tc>
        <w:tc>
          <w:tcPr>
            <w:tcW w:type="dxa" w:w="7632"/>
            <w:vAlign w:val="center"/>
            <w:shd w:fill="17365D"/>
          </w:tcPr>
          <w:p>
            <w:r/>
            <w:r>
              <w:rPr>
                <w:b/>
                <w:color w:val="FFFFFF"/>
              </w:rPr>
              <w:t>What the user gets</w:t>
            </w:r>
          </w:p>
        </w:tc>
      </w:tr>
      <w:tr>
        <w:tc>
          <w:tcPr>
            <w:tcW w:type="dxa" w:w="1872"/>
            <w:vAlign w:val="center"/>
            <w:shd w:fill="EAF2F8"/>
          </w:tcPr>
          <w:p>
            <w:r/>
            <w:r>
              <w:rPr>
                <w:b w:val="0"/>
              </w:rPr>
              <w:t>Investigate</w:t>
            </w:r>
          </w:p>
        </w:tc>
        <w:tc>
          <w:tcPr>
            <w:tcW w:type="dxa" w:w="7632"/>
            <w:vAlign w:val="center"/>
            <w:shd w:fill="EAF2F8"/>
          </w:tcPr>
          <w:p>
            <w:r/>
            <w:r>
              <w:rPr>
                <w:b w:val="0"/>
              </w:rPr>
              <w:t>Plain-language incident analysis with evidence and confidence.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b w:val="0"/>
              </w:rPr>
              <w:t>Observe</w:t>
            </w:r>
          </w:p>
        </w:tc>
        <w:tc>
          <w:tcPr>
            <w:tcW w:type="dxa" w:w="7632"/>
            <w:vAlign w:val="center"/>
          </w:tcPr>
          <w:p>
            <w:r/>
            <w:r>
              <w:rPr>
                <w:b w:val="0"/>
              </w:rPr>
              <w:t>Metrics, logs, Kubernetes health, deployment context, and telemetry quality.</w:t>
            </w:r>
          </w:p>
        </w:tc>
      </w:tr>
      <w:tr>
        <w:tc>
          <w:tcPr>
            <w:tcW w:type="dxa" w:w="1872"/>
            <w:vAlign w:val="center"/>
            <w:shd w:fill="EAF2F8"/>
          </w:tcPr>
          <w:p>
            <w:r/>
            <w:r>
              <w:rPr>
                <w:b w:val="0"/>
              </w:rPr>
              <w:t>Decide</w:t>
            </w:r>
          </w:p>
        </w:tc>
        <w:tc>
          <w:tcPr>
            <w:tcW w:type="dxa" w:w="7632"/>
            <w:vAlign w:val="center"/>
            <w:shd w:fill="EAF2F8"/>
          </w:tcPr>
          <w:p>
            <w:r/>
            <w:r>
              <w:rPr>
                <w:b w:val="0"/>
              </w:rPr>
              <w:t>Recommended containment and remediation with policy reasoning.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b w:val="0"/>
              </w:rPr>
              <w:t>Control</w:t>
            </w:r>
          </w:p>
        </w:tc>
        <w:tc>
          <w:tcPr>
            <w:tcW w:type="dxa" w:w="7632"/>
            <w:vAlign w:val="center"/>
          </w:tcPr>
          <w:p>
            <w:r/>
            <w:r>
              <w:rPr>
                <w:b w:val="0"/>
              </w:rPr>
              <w:t>Human approval for risky actions and single-use approval decisions.</w:t>
            </w:r>
          </w:p>
        </w:tc>
      </w:tr>
      <w:tr>
        <w:tc>
          <w:tcPr>
            <w:tcW w:type="dxa" w:w="1872"/>
            <w:vAlign w:val="center"/>
            <w:shd w:fill="EAF2F8"/>
          </w:tcPr>
          <w:p>
            <w:r/>
            <w:r>
              <w:rPr>
                <w:b w:val="0"/>
              </w:rPr>
              <w:t>Learn</w:t>
            </w:r>
          </w:p>
        </w:tc>
        <w:tc>
          <w:tcPr>
            <w:tcW w:type="dxa" w:w="7632"/>
            <w:vAlign w:val="center"/>
            <w:shd w:fill="EAF2F8"/>
          </w:tcPr>
          <w:p>
            <w:r/>
            <w:r>
              <w:rPr>
                <w:b w:val="0"/>
              </w:rPr>
              <w:t>Persisted incidents, audit events, reports, and historical comparisons.</w:t>
            </w:r>
          </w:p>
        </w:tc>
      </w:tr>
    </w:tbl>
    <w:p/>
    <w:p>
      <w:pPr>
        <w:pStyle w:val="Heading1"/>
      </w:pPr>
      <w:r>
        <w:t>2. Product Scope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304"/>
            <w:vAlign w:val="center"/>
            <w:shd w:fill="17365D"/>
          </w:tcPr>
          <w:p>
            <w:r/>
            <w:r>
              <w:rPr>
                <w:b/>
                <w:color w:val="FFFFFF"/>
              </w:rPr>
              <w:t>Area</w:t>
            </w:r>
          </w:p>
        </w:tc>
        <w:tc>
          <w:tcPr>
            <w:tcW w:type="dxa" w:w="7200"/>
            <w:vAlign w:val="center"/>
            <w:shd w:fill="17365D"/>
          </w:tcPr>
          <w:p>
            <w:r/>
            <w:r>
              <w:rPr>
                <w:b/>
                <w:color w:val="FFFFFF"/>
              </w:rPr>
              <w:t>Included behavior</w:t>
            </w:r>
          </w:p>
        </w:tc>
      </w:tr>
      <w:tr>
        <w:tc>
          <w:tcPr>
            <w:tcW w:type="dxa" w:w="2304"/>
            <w:vAlign w:val="center"/>
            <w:shd w:fill="EAF2F8"/>
          </w:tcPr>
          <w:p>
            <w:r/>
            <w:r>
              <w:rPr>
                <w:b w:val="0"/>
              </w:rPr>
              <w:t>Incident intelligence</w:t>
            </w:r>
          </w:p>
        </w:tc>
        <w:tc>
          <w:tcPr>
            <w:tcW w:type="dxa" w:w="7200"/>
            <w:vAlign w:val="center"/>
            <w:shd w:fill="EAF2F8"/>
          </w:tcPr>
          <w:p>
            <w:r/>
            <w:r>
              <w:rPr>
                <w:b w:val="0"/>
              </w:rPr>
              <w:t>Correlates metrics, logs, Kubernetes events, pipeline changes, runbooks, and incident history.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b w:val="0"/>
              </w:rPr>
              <w:t>Release intelligence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</w:rPr>
              <w:t>Identifies risky releases, missing evidence, configuration regressions, and promotion concerns.</w:t>
            </w:r>
          </w:p>
        </w:tc>
      </w:tr>
      <w:tr>
        <w:tc>
          <w:tcPr>
            <w:tcW w:type="dxa" w:w="2304"/>
            <w:vAlign w:val="center"/>
            <w:shd w:fill="EAF2F8"/>
          </w:tcPr>
          <w:p>
            <w:r/>
            <w:r>
              <w:rPr>
                <w:b w:val="0"/>
              </w:rPr>
              <w:t>SRE guidance</w:t>
            </w:r>
          </w:p>
        </w:tc>
        <w:tc>
          <w:tcPr>
            <w:tcW w:type="dxa" w:w="7200"/>
            <w:vAlign w:val="center"/>
            <w:shd w:fill="EAF2F8"/>
          </w:tcPr>
          <w:p>
            <w:r/>
            <w:r>
              <w:rPr>
                <w:b w:val="0"/>
              </w:rPr>
              <w:t>Produces advanced metrics, PromQL examples, containment steps, remediation steps, and verification criteria.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b w:val="0"/>
              </w:rPr>
              <w:t>Governance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</w:rPr>
              <w:t>Separates read-only analysis from controlled actions and records the decision trail.</w:t>
            </w:r>
          </w:p>
        </w:tc>
      </w:tr>
      <w:tr>
        <w:tc>
          <w:tcPr>
            <w:tcW w:type="dxa" w:w="2304"/>
            <w:vAlign w:val="center"/>
            <w:shd w:fill="EAF2F8"/>
          </w:tcPr>
          <w:p>
            <w:r/>
            <w:r>
              <w:rPr>
                <w:b w:val="0"/>
              </w:rPr>
              <w:t>Integrations</w:t>
            </w:r>
          </w:p>
        </w:tc>
        <w:tc>
          <w:tcPr>
            <w:tcW w:type="dxa" w:w="7200"/>
            <w:vAlign w:val="center"/>
            <w:shd w:fill="EAF2F8"/>
          </w:tcPr>
          <w:p>
            <w:r/>
            <w:r>
              <w:rPr>
                <w:b w:val="0"/>
              </w:rPr>
              <w:t>Supports live Prometheus and Loki connections with validated URLs and environment-backed credentials.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b w:val="0"/>
              </w:rPr>
              <w:t>Deployment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</w:rPr>
              <w:t>Runs locally on kind Kubernetes and is structured for GKE/GCP deployment.</w:t>
            </w:r>
          </w:p>
        </w:tc>
      </w:tr>
    </w:tbl>
    <w:p/>
    <w:p>
      <w:pPr>
        <w:pStyle w:val="Heading1"/>
      </w:pPr>
      <w:r>
        <w:t>3. End-User Experience</w:t>
      </w:r>
    </w:p>
    <w:p>
      <w:pPr>
        <w:pStyle w:val="Heading2"/>
      </w:pPr>
      <w:r>
        <w:t>Primary workflow</w:t>
      </w:r>
    </w:p>
    <w:p>
      <w:pPr>
        <w:pStyle w:val="ListNumber"/>
      </w:pPr>
      <w:r>
        <w:t>Open the Dashboard to see current incident, approval, release-risk, and platform-health signals.</w:t>
      </w:r>
    </w:p>
    <w:p>
      <w:pPr>
        <w:pStyle w:val="ListNumber"/>
      </w:pPr>
      <w:r>
        <w:t>Open Ask Guardian and describe the problem in natural language.</w:t>
      </w:r>
    </w:p>
    <w:p>
      <w:pPr>
        <w:pStyle w:val="ListNumber"/>
      </w:pPr>
      <w:r>
        <w:t>Review the root cause, confidence, evidence sources, agent trace, metrics, and recommended action.</w:t>
      </w:r>
    </w:p>
    <w:p>
      <w:pPr>
        <w:pStyle w:val="ListNumber"/>
      </w:pPr>
      <w:r>
        <w:t>Follow the SRE action plan: contain, remediate, and verify.</w:t>
      </w:r>
    </w:p>
    <w:p>
      <w:pPr>
        <w:pStyle w:val="ListNumber"/>
      </w:pPr>
      <w:r>
        <w:t>If the action is high risk, review it in Approvals and approve or reject it.</w:t>
      </w:r>
    </w:p>
    <w:p>
      <w:pPr>
        <w:pStyle w:val="ListNumber"/>
      </w:pPr>
      <w:r>
        <w:t>Use Investigations and Reports to review history, telemetry quality, and recovery evidence.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1872"/>
            <w:vAlign w:val="center"/>
            <w:shd w:fill="17365D"/>
          </w:tcPr>
          <w:p>
            <w:r/>
            <w:r>
              <w:rPr>
                <w:b/>
                <w:color w:val="FFFFFF"/>
              </w:rPr>
              <w:t>Screen</w:t>
            </w:r>
          </w:p>
        </w:tc>
        <w:tc>
          <w:tcPr>
            <w:tcW w:type="dxa" w:w="3168"/>
            <w:vAlign w:val="center"/>
            <w:shd w:fill="17365D"/>
          </w:tcPr>
          <w:p>
            <w:r/>
            <w:r>
              <w:rPr>
                <w:b/>
                <w:color w:val="FFFFFF"/>
              </w:rPr>
              <w:t>Purpose</w:t>
            </w:r>
          </w:p>
        </w:tc>
        <w:tc>
          <w:tcPr>
            <w:tcW w:type="dxa" w:w="4464"/>
            <w:vAlign w:val="center"/>
            <w:shd w:fill="17365D"/>
          </w:tcPr>
          <w:p>
            <w:r/>
            <w:r>
              <w:rPr>
                <w:b/>
                <w:color w:val="FFFFFF"/>
              </w:rPr>
              <w:t>Typical user action</w:t>
            </w:r>
          </w:p>
        </w:tc>
      </w:tr>
      <w:tr>
        <w:tc>
          <w:tcPr>
            <w:tcW w:type="dxa" w:w="1872"/>
            <w:vAlign w:val="center"/>
            <w:shd w:fill="EAF2F8"/>
          </w:tcPr>
          <w:p>
            <w:r/>
            <w:r>
              <w:rPr>
                <w:b w:val="0"/>
              </w:rPr>
              <w:t>Dashboard</w:t>
            </w:r>
          </w:p>
        </w:tc>
        <w:tc>
          <w:tcPr>
            <w:tcW w:type="dxa" w:w="3168"/>
            <w:vAlign w:val="center"/>
            <w:shd w:fill="EAF2F8"/>
          </w:tcPr>
          <w:p>
            <w:r/>
            <w:r>
              <w:rPr>
                <w:b w:val="0"/>
              </w:rPr>
              <w:t>Operational overview</w:t>
            </w:r>
          </w:p>
        </w:tc>
        <w:tc>
          <w:tcPr>
            <w:tcW w:type="dxa" w:w="4464"/>
            <w:vAlign w:val="center"/>
            <w:shd w:fill="EAF2F8"/>
          </w:tcPr>
          <w:p>
            <w:r/>
            <w:r>
              <w:rPr>
                <w:b w:val="0"/>
              </w:rPr>
              <w:t>Identify what needs attention first.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b w:val="0"/>
              </w:rPr>
              <w:t>Ask Guardian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b w:val="0"/>
              </w:rPr>
              <w:t>Investigation and release-risk analysis</w:t>
            </w:r>
          </w:p>
        </w:tc>
        <w:tc>
          <w:tcPr>
            <w:tcW w:type="dxa" w:w="4464"/>
            <w:vAlign w:val="center"/>
          </w:tcPr>
          <w:p>
            <w:r/>
            <w:r>
              <w:rPr>
                <w:b w:val="0"/>
              </w:rPr>
              <w:t>Ask a question and review the evidence-backed response.</w:t>
            </w:r>
          </w:p>
        </w:tc>
      </w:tr>
      <w:tr>
        <w:tc>
          <w:tcPr>
            <w:tcW w:type="dxa" w:w="1872"/>
            <w:vAlign w:val="center"/>
            <w:shd w:fill="EAF2F8"/>
          </w:tcPr>
          <w:p>
            <w:r/>
            <w:r>
              <w:rPr>
                <w:b w:val="0"/>
              </w:rPr>
              <w:t>Live Reports</w:t>
            </w:r>
          </w:p>
        </w:tc>
        <w:tc>
          <w:tcPr>
            <w:tcW w:type="dxa" w:w="3168"/>
            <w:vAlign w:val="center"/>
            <w:shd w:fill="EAF2F8"/>
          </w:tcPr>
          <w:p>
            <w:r/>
            <w:r>
              <w:rPr>
                <w:b w:val="0"/>
              </w:rPr>
              <w:t>Telemetry trends and data quality</w:t>
            </w:r>
          </w:p>
        </w:tc>
        <w:tc>
          <w:tcPr>
            <w:tcW w:type="dxa" w:w="4464"/>
            <w:vAlign w:val="center"/>
            <w:shd w:fill="EAF2F8"/>
          </w:tcPr>
          <w:p>
            <w:r/>
            <w:r>
              <w:rPr>
                <w:b w:val="0"/>
              </w:rPr>
              <w:t>Inspect request rate, errors, latency, burn rate, restarts, and logs.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b w:val="0"/>
              </w:rPr>
              <w:t>Simulator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b w:val="0"/>
              </w:rPr>
              <w:t>Training and demo data</w:t>
            </w:r>
          </w:p>
        </w:tc>
        <w:tc>
          <w:tcPr>
            <w:tcW w:type="dxa" w:w="4464"/>
            <w:vAlign w:val="center"/>
          </w:tcPr>
          <w:p>
            <w:r/>
            <w:r>
              <w:rPr>
                <w:b w:val="0"/>
              </w:rPr>
              <w:t>Generate deterministic incidents and exercise approvals.</w:t>
            </w:r>
          </w:p>
        </w:tc>
      </w:tr>
      <w:tr>
        <w:tc>
          <w:tcPr>
            <w:tcW w:type="dxa" w:w="1872"/>
            <w:vAlign w:val="center"/>
            <w:shd w:fill="EAF2F8"/>
          </w:tcPr>
          <w:p>
            <w:r/>
            <w:r>
              <w:rPr>
                <w:b w:val="0"/>
              </w:rPr>
              <w:t>Investigations</w:t>
            </w:r>
          </w:p>
        </w:tc>
        <w:tc>
          <w:tcPr>
            <w:tcW w:type="dxa" w:w="3168"/>
            <w:vAlign w:val="center"/>
            <w:shd w:fill="EAF2F8"/>
          </w:tcPr>
          <w:p>
            <w:r/>
            <w:r>
              <w:rPr>
                <w:b w:val="0"/>
              </w:rPr>
              <w:t>Incident history</w:t>
            </w:r>
          </w:p>
        </w:tc>
        <w:tc>
          <w:tcPr>
            <w:tcW w:type="dxa" w:w="4464"/>
            <w:vAlign w:val="center"/>
            <w:shd w:fill="EAF2F8"/>
          </w:tcPr>
          <w:p>
            <w:r/>
            <w:r>
              <w:rPr>
                <w:b w:val="0"/>
              </w:rPr>
              <w:t>Review prior investigations and root causes.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b w:val="0"/>
              </w:rPr>
              <w:t>Pipelines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b w:val="0"/>
              </w:rPr>
              <w:t>Release intelligence</w:t>
            </w:r>
          </w:p>
        </w:tc>
        <w:tc>
          <w:tcPr>
            <w:tcW w:type="dxa" w:w="4464"/>
            <w:vAlign w:val="center"/>
          </w:tcPr>
          <w:p>
            <w:r/>
            <w:r>
              <w:rPr>
                <w:b w:val="0"/>
              </w:rPr>
              <w:t>Compare pipeline status, version, and risk.</w:t>
            </w:r>
          </w:p>
        </w:tc>
      </w:tr>
      <w:tr>
        <w:tc>
          <w:tcPr>
            <w:tcW w:type="dxa" w:w="1872"/>
            <w:vAlign w:val="center"/>
            <w:shd w:fill="EAF2F8"/>
          </w:tcPr>
          <w:p>
            <w:r/>
            <w:r>
              <w:rPr>
                <w:b w:val="0"/>
              </w:rPr>
              <w:t>Approvals</w:t>
            </w:r>
          </w:p>
        </w:tc>
        <w:tc>
          <w:tcPr>
            <w:tcW w:type="dxa" w:w="3168"/>
            <w:vAlign w:val="center"/>
            <w:shd w:fill="EAF2F8"/>
          </w:tcPr>
          <w:p>
            <w:r/>
            <w:r>
              <w:rPr>
                <w:b w:val="0"/>
              </w:rPr>
              <w:t>Human-in-the-loop control</w:t>
            </w:r>
          </w:p>
        </w:tc>
        <w:tc>
          <w:tcPr>
            <w:tcW w:type="dxa" w:w="4464"/>
            <w:vAlign w:val="center"/>
            <w:shd w:fill="EAF2F8"/>
          </w:tcPr>
          <w:p>
            <w:r/>
            <w:r>
              <w:rPr>
                <w:b w:val="0"/>
              </w:rPr>
              <w:t>Approve or reject pending production actions.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b w:val="0"/>
              </w:rPr>
              <w:t>Integrations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b w:val="0"/>
              </w:rPr>
              <w:t>Data-source management</w:t>
            </w:r>
          </w:p>
        </w:tc>
        <w:tc>
          <w:tcPr>
            <w:tcW w:type="dxa" w:w="4464"/>
            <w:vAlign w:val="center"/>
          </w:tcPr>
          <w:p>
            <w:r/>
            <w:r>
              <w:rPr>
                <w:b w:val="0"/>
              </w:rPr>
              <w:t>Test, save, and activate Prometheus/Loki sources.</w:t>
            </w:r>
          </w:p>
        </w:tc>
      </w:tr>
      <w:tr>
        <w:tc>
          <w:tcPr>
            <w:tcW w:type="dxa" w:w="1872"/>
            <w:vAlign w:val="center"/>
            <w:shd w:fill="EAF2F8"/>
          </w:tcPr>
          <w:p>
            <w:r/>
            <w:r>
              <w:rPr>
                <w:b w:val="0"/>
              </w:rPr>
              <w:t>Architecture</w:t>
            </w:r>
          </w:p>
        </w:tc>
        <w:tc>
          <w:tcPr>
            <w:tcW w:type="dxa" w:w="3168"/>
            <w:vAlign w:val="center"/>
            <w:shd w:fill="EAF2F8"/>
          </w:tcPr>
          <w:p>
            <w:r/>
            <w:r>
              <w:rPr>
                <w:b w:val="0"/>
              </w:rPr>
              <w:t>Platform explanation</w:t>
            </w:r>
          </w:p>
        </w:tc>
        <w:tc>
          <w:tcPr>
            <w:tcW w:type="dxa" w:w="4464"/>
            <w:vAlign w:val="center"/>
            <w:shd w:fill="EAF2F8"/>
          </w:tcPr>
          <w:p>
            <w:r/>
            <w:r>
              <w:rPr>
                <w:b w:val="0"/>
              </w:rPr>
              <w:t>Explain how agents, MCP, guardrails, and observability fit together.</w:t>
            </w:r>
          </w:p>
        </w:tc>
      </w:tr>
    </w:tbl>
    <w:p/>
    <w:p>
      <w:pPr>
        <w:pStyle w:val="Heading1"/>
      </w:pPr>
      <w:r>
        <w:t>4. Incident Investigation Example</w:t>
      </w:r>
    </w:p>
    <w:p>
      <w:r>
        <w:t>The reference scenario is an unsafe checkout-api release that changes the container memory limit from 1Gi to 128Mi.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304"/>
            <w:vAlign w:val="center"/>
            <w:shd w:fill="17365D"/>
          </w:tcPr>
          <w:p>
            <w:r/>
            <w:r>
              <w:rPr>
                <w:b/>
                <w:color w:val="FFFFFF"/>
              </w:rPr>
              <w:t>Signal</w:t>
            </w:r>
          </w:p>
        </w:tc>
        <w:tc>
          <w:tcPr>
            <w:tcW w:type="dxa" w:w="1440"/>
            <w:vAlign w:val="center"/>
            <w:shd w:fill="17365D"/>
          </w:tcPr>
          <w:p>
            <w:r/>
            <w:r>
              <w:rPr>
                <w:b/>
                <w:color w:val="FFFFFF"/>
              </w:rPr>
              <w:t>Before</w:t>
            </w:r>
          </w:p>
        </w:tc>
        <w:tc>
          <w:tcPr>
            <w:tcW w:type="dxa" w:w="1440"/>
            <w:vAlign w:val="center"/>
            <w:shd w:fill="17365D"/>
          </w:tcPr>
          <w:p>
            <w:r/>
            <w:r>
              <w:rPr>
                <w:b/>
                <w:color w:val="FFFFFF"/>
              </w:rPr>
              <w:t>After</w:t>
            </w:r>
          </w:p>
        </w:tc>
        <w:tc>
          <w:tcPr>
            <w:tcW w:type="dxa" w:w="4320"/>
            <w:vAlign w:val="center"/>
            <w:shd w:fill="17365D"/>
          </w:tcPr>
          <w:p>
            <w:r/>
            <w:r>
              <w:rPr>
                <w:b/>
                <w:color w:val="FFFFFF"/>
              </w:rPr>
              <w:t>Interpretation</w:t>
            </w:r>
          </w:p>
        </w:tc>
      </w:tr>
      <w:tr>
        <w:tc>
          <w:tcPr>
            <w:tcW w:type="dxa" w:w="2304"/>
            <w:vAlign w:val="center"/>
            <w:shd w:fill="EAF2F8"/>
          </w:tcPr>
          <w:p>
            <w:r/>
            <w:r>
              <w:rPr>
                <w:b w:val="0"/>
              </w:rPr>
              <w:t>HTTP 5xx rate</w:t>
            </w:r>
          </w:p>
        </w:tc>
        <w:tc>
          <w:tcPr>
            <w:tcW w:type="dxa" w:w="1440"/>
            <w:vAlign w:val="center"/>
            <w:shd w:fill="EAF2F8"/>
          </w:tcPr>
          <w:p>
            <w:r/>
            <w:r>
              <w:rPr>
                <w:b w:val="0"/>
              </w:rPr>
              <w:t>0.2%</w:t>
            </w:r>
          </w:p>
        </w:tc>
        <w:tc>
          <w:tcPr>
            <w:tcW w:type="dxa" w:w="1440"/>
            <w:vAlign w:val="center"/>
            <w:shd w:fill="EAF2F8"/>
          </w:tcPr>
          <w:p>
            <w:r/>
            <w:r>
              <w:rPr>
                <w:b w:val="0"/>
              </w:rPr>
              <w:t>6.8%</w:t>
            </w:r>
          </w:p>
        </w:tc>
        <w:tc>
          <w:tcPr>
            <w:tcW w:type="dxa" w:w="4320"/>
            <w:vAlign w:val="center"/>
            <w:shd w:fill="EAF2F8"/>
          </w:tcPr>
          <w:p>
            <w:r/>
            <w:r>
              <w:rPr>
                <w:b w:val="0"/>
              </w:rPr>
              <w:t>Customer-visible failures.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b w:val="0"/>
              </w:rPr>
              <w:t>p95 latency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</w:rPr>
              <w:t>180 ms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</w:rPr>
              <w:t>690 ms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</w:rPr>
              <w:t>Severe performance degradation.</w:t>
            </w:r>
          </w:p>
        </w:tc>
      </w:tr>
      <w:tr>
        <w:tc>
          <w:tcPr>
            <w:tcW w:type="dxa" w:w="2304"/>
            <w:vAlign w:val="center"/>
            <w:shd w:fill="EAF2F8"/>
          </w:tcPr>
          <w:p>
            <w:r/>
            <w:r>
              <w:rPr>
                <w:b w:val="0"/>
              </w:rPr>
              <w:t>Pod restarts</w:t>
            </w:r>
          </w:p>
        </w:tc>
        <w:tc>
          <w:tcPr>
            <w:tcW w:type="dxa" w:w="1440"/>
            <w:vAlign w:val="center"/>
            <w:shd w:fill="EAF2F8"/>
          </w:tcPr>
          <w:p>
            <w:r/>
            <w:r>
              <w:rPr>
                <w:b w:val="0"/>
              </w:rPr>
              <w:t>0</w:t>
            </w:r>
          </w:p>
        </w:tc>
        <w:tc>
          <w:tcPr>
            <w:tcW w:type="dxa" w:w="1440"/>
            <w:vAlign w:val="center"/>
            <w:shd w:fill="EAF2F8"/>
          </w:tcPr>
          <w:p>
            <w:r/>
            <w:r>
              <w:rPr>
                <w:b w:val="0"/>
              </w:rPr>
              <w:t>9</w:t>
            </w:r>
          </w:p>
        </w:tc>
        <w:tc>
          <w:tcPr>
            <w:tcW w:type="dxa" w:w="4320"/>
            <w:vAlign w:val="center"/>
            <w:shd w:fill="EAF2F8"/>
          </w:tcPr>
          <w:p>
            <w:r/>
            <w:r>
              <w:rPr>
                <w:b w:val="0"/>
              </w:rPr>
              <w:t>Runtime instability.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b w:val="0"/>
              </w:rPr>
              <w:t>Error-budget burn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</w:rPr>
              <w:t>1x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</w:rPr>
              <w:t>34x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</w:rPr>
              <w:t>SLO risk is accelerating.</w:t>
            </w:r>
          </w:p>
        </w:tc>
      </w:tr>
      <w:tr>
        <w:tc>
          <w:tcPr>
            <w:tcW w:type="dxa" w:w="2304"/>
            <w:vAlign w:val="center"/>
            <w:shd w:fill="EAF2F8"/>
          </w:tcPr>
          <w:p>
            <w:r/>
            <w:r>
              <w:rPr>
                <w:b w:val="0"/>
              </w:rPr>
              <w:t>Termination reason</w:t>
            </w:r>
          </w:p>
        </w:tc>
        <w:tc>
          <w:tcPr>
            <w:tcW w:type="dxa" w:w="1440"/>
            <w:vAlign w:val="center"/>
            <w:shd w:fill="EAF2F8"/>
          </w:tcPr>
          <w:p>
            <w:r/>
            <w:r>
              <w:rPr>
                <w:b w:val="0"/>
              </w:rPr>
              <w:t>Healthy</w:t>
            </w:r>
          </w:p>
        </w:tc>
        <w:tc>
          <w:tcPr>
            <w:tcW w:type="dxa" w:w="1440"/>
            <w:vAlign w:val="center"/>
            <w:shd w:fill="EAF2F8"/>
          </w:tcPr>
          <w:p>
            <w:r/>
            <w:r>
              <w:rPr>
                <w:b w:val="0"/>
              </w:rPr>
              <w:t>OOMKilled</w:t>
            </w:r>
          </w:p>
        </w:tc>
        <w:tc>
          <w:tcPr>
            <w:tcW w:type="dxa" w:w="4320"/>
            <w:vAlign w:val="center"/>
            <w:shd w:fill="EAF2F8"/>
          </w:tcPr>
          <w:p>
            <w:r/>
            <w:r>
              <w:rPr>
                <w:b w:val="0"/>
              </w:rPr>
              <w:t>Memory limit is below demand.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CE4D6"/>
          </w:tcPr>
          <w:p>
            <w:r>
              <w:rPr>
                <w:b/>
              </w:rPr>
              <w:t>Example conclusion</w:t>
              <w:br/>
            </w:r>
            <w:r>
              <w:t>The latest deployment reduced the memory limit below application demand, causing OOMKilled terminations, pod restarts, HTTP 5xx errors, and latency degradation.</w:t>
            </w:r>
          </w:p>
        </w:tc>
      </w:tr>
    </w:tbl>
    <w:p/>
    <w:p>
      <w:pPr>
        <w:pStyle w:val="Heading2"/>
      </w:pPr>
      <w:r>
        <w:t>Recommended operating response</w:t>
      </w:r>
    </w:p>
    <w:p>
      <w:pPr>
        <w:pStyle w:val="ListNumber"/>
      </w:pPr>
      <w:r>
        <w:t>Contain: pause promotion and route traffic to the last known-good version.</w:t>
      </w:r>
    </w:p>
    <w:p>
      <w:pPr>
        <w:pStyle w:val="ListNumber"/>
      </w:pPr>
      <w:r>
        <w:t>Remediate: restore the validated memory limit or roll back to v1.9.0.</w:t>
      </w:r>
    </w:p>
    <w:p>
      <w:pPr>
        <w:pStyle w:val="ListNumber"/>
      </w:pPr>
      <w:r>
        <w:t>Verify: require stable 5xx, p95 latency, restart, and error-budget metrics for 15 minutes.</w:t>
      </w:r>
    </w:p>
    <w:p>
      <w:pPr>
        <w:pStyle w:val="Heading1"/>
      </w:pPr>
      <w:r>
        <w:t>5. Architecture and Control Boundaries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80760" cy="360643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d-to-end-enterprise-architectur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6064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Figure 2. Enterprise architecture and integration boundaries.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448"/>
            <w:vAlign w:val="center"/>
            <w:shd w:fill="17365D"/>
          </w:tcPr>
          <w:p>
            <w:r/>
            <w:r>
              <w:rPr>
                <w:b/>
                <w:color w:val="FFFFFF"/>
              </w:rPr>
              <w:t>Component</w:t>
            </w:r>
          </w:p>
        </w:tc>
        <w:tc>
          <w:tcPr>
            <w:tcW w:type="dxa" w:w="7056"/>
            <w:vAlign w:val="center"/>
            <w:shd w:fill="17365D"/>
          </w:tcPr>
          <w:p>
            <w:r/>
            <w:r>
              <w:rPr>
                <w:b/>
                <w:color w:val="FFFFFF"/>
              </w:rPr>
              <w:t>Responsibility</w:t>
            </w:r>
          </w:p>
        </w:tc>
      </w:tr>
      <w:tr>
        <w:tc>
          <w:tcPr>
            <w:tcW w:type="dxa" w:w="2448"/>
            <w:vAlign w:val="center"/>
            <w:shd w:fill="EAF2F8"/>
          </w:tcPr>
          <w:p>
            <w:r/>
            <w:r>
              <w:rPr>
                <w:b w:val="0"/>
              </w:rPr>
              <w:t>React/Vite UI</w:t>
            </w:r>
          </w:p>
        </w:tc>
        <w:tc>
          <w:tcPr>
            <w:tcW w:type="dxa" w:w="7056"/>
            <w:vAlign w:val="center"/>
            <w:shd w:fill="EAF2F8"/>
          </w:tcPr>
          <w:p>
            <w:r/>
            <w:r>
              <w:rPr>
                <w:b w:val="0"/>
              </w:rPr>
              <w:t>User workflow, investigation results, reports, simulator, and approvals.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b w:val="0"/>
              </w:rPr>
              <w:t>FastAPI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</w:rPr>
              <w:t>API boundary, authentication, persistence orchestration, and route-level authorization.</w:t>
            </w:r>
          </w:p>
        </w:tc>
      </w:tr>
      <w:tr>
        <w:tc>
          <w:tcPr>
            <w:tcW w:type="dxa" w:w="2448"/>
            <w:vAlign w:val="center"/>
            <w:shd w:fill="EAF2F8"/>
          </w:tcPr>
          <w:p>
            <w:r/>
            <w:r>
              <w:rPr>
                <w:b w:val="0"/>
              </w:rPr>
              <w:t>LangGraph orchestrator</w:t>
            </w:r>
          </w:p>
        </w:tc>
        <w:tc>
          <w:tcPr>
            <w:tcW w:type="dxa" w:w="7056"/>
            <w:vAlign w:val="center"/>
            <w:shd w:fill="EAF2F8"/>
          </w:tcPr>
          <w:p>
            <w:r/>
            <w:r>
              <w:rPr>
                <w:b w:val="0"/>
              </w:rPr>
              <w:t>Intent, plan, shared state, agent routing, validation, guardrails, and completion.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b w:val="0"/>
              </w:rPr>
              <w:t>Specialized agents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</w:rPr>
              <w:t>Pipeline, Kubernetes, monitoring, change, RAG, history, RCA, release risk, and verification.</w:t>
            </w:r>
          </w:p>
        </w:tc>
      </w:tr>
      <w:tr>
        <w:tc>
          <w:tcPr>
            <w:tcW w:type="dxa" w:w="2448"/>
            <w:vAlign w:val="center"/>
            <w:shd w:fill="EAF2F8"/>
          </w:tcPr>
          <w:p>
            <w:r/>
            <w:r>
              <w:rPr>
                <w:b w:val="0"/>
              </w:rPr>
              <w:t>MCP tool plane</w:t>
            </w:r>
          </w:p>
        </w:tc>
        <w:tc>
          <w:tcPr>
            <w:tcW w:type="dxa" w:w="7056"/>
            <w:vAlign w:val="center"/>
            <w:shd w:fill="EAF2F8"/>
          </w:tcPr>
          <w:p>
            <w:r/>
            <w:r>
              <w:rPr>
                <w:b w:val="0"/>
              </w:rPr>
              <w:t>Governed access to Kubernetes, CI/CD, metrics, logs, traces, notifications, and actions.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b w:val="0"/>
              </w:rPr>
              <w:t>Guardrails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</w:rPr>
              <w:t>Deterministically allow, block, or require approval for operational actions.</w:t>
            </w:r>
          </w:p>
        </w:tc>
      </w:tr>
      <w:tr>
        <w:tc>
          <w:tcPr>
            <w:tcW w:type="dxa" w:w="2448"/>
            <w:vAlign w:val="center"/>
            <w:shd w:fill="EAF2F8"/>
          </w:tcPr>
          <w:p>
            <w:r/>
            <w:r>
              <w:rPr>
                <w:b w:val="0"/>
              </w:rPr>
              <w:t>PostgreSQL and FAISS</w:t>
            </w:r>
          </w:p>
        </w:tc>
        <w:tc>
          <w:tcPr>
            <w:tcW w:type="dxa" w:w="7056"/>
            <w:vAlign w:val="center"/>
            <w:shd w:fill="EAF2F8"/>
          </w:tcPr>
          <w:p>
            <w:r/>
            <w:r>
              <w:rPr>
                <w:b w:val="0"/>
              </w:rPr>
              <w:t>Structured audit/incident memory and operational knowledge retrieval.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b w:val="0"/>
              </w:rPr>
              <w:t>OpenTelemetry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</w:rPr>
              <w:t>Trace agent execution, tool calls, approvals, remediation, and verification.</w:t>
            </w:r>
          </w:p>
        </w:tc>
      </w:tr>
    </w:tbl>
    <w:p/>
    <w:p>
      <w:pPr>
        <w:pStyle w:val="Heading3"/>
      </w:pPr>
      <w:r>
        <w:t>Editable architecture diagram</w:t>
      </w:r>
    </w:p>
    <w:p>
      <w:r>
        <w:rPr>
          <w:i/>
        </w:rPr>
        <w:t>Mermaid source (paste into Confluence Mermaid macro)</w:t>
      </w:r>
    </w:p>
    <w:p>
      <w:pPr>
        <w:pStyle w:val="CodeBlock"/>
      </w:pPr>
      <w:r>
        <w:t>flowchart TD</w:t>
        <w:br/>
        <w:t xml:space="preserve">  U[User / Alert / Pipeline Event] --&gt; UI[React Operations UI]</w:t>
        <w:br/>
        <w:t xml:space="preserve">  UI --&gt; API[FastAPI API]</w:t>
        <w:br/>
        <w:t xml:space="preserve">  API --&gt; O[LangGraph Orchestrator]</w:t>
        <w:br/>
        <w:t xml:space="preserve">  O --&gt; A[Specialized Agents]</w:t>
        <w:br/>
        <w:t xml:space="preserve">  A --&gt; E[Evidence Correlation and RCA]</w:t>
        <w:br/>
        <w:t xml:space="preserve">  E --&gt; V[Validation and Adaptive Routing]</w:t>
        <w:br/>
        <w:t xml:space="preserve">  V --&gt; G[Guardrail Policy]</w:t>
        <w:br/>
        <w:t xml:space="preserve">  G --&gt;|Allow| M[Action MCP]</w:t>
        <w:br/>
        <w:t xml:space="preserve">  G --&gt;|Require approval| H[Human Approval]</w:t>
        <w:br/>
        <w:t xml:space="preserve">  H --&gt; M</w:t>
        <w:br/>
        <w:t xml:space="preserve">  M --&gt; X[Verification]</w:t>
        <w:br/>
        <w:t xml:space="preserve">  X --&gt; DB[(PostgreSQL Audit and Incident Memory)]</w:t>
        <w:br/>
        <w:t xml:space="preserve">  A --&gt; OBS[Prometheus / Loki / Tempo / OTel]</w:t>
        <w:br/>
        <w:t xml:space="preserve">  A --&gt; RAG[FAISS and Runbooks]</w:t>
      </w:r>
    </w:p>
    <w:p>
      <w:pPr>
        <w:pStyle w:val="Heading1"/>
      </w:pPr>
      <w:r>
        <w:t>6. Safety, Identity, and Authorization</w:t>
      </w:r>
    </w:p>
    <w:p>
      <w:r>
        <w:t>Guardian separates evidence collection from action execution. Read-only investigation can be performed by a viewer. Production actions require an approver role, and approval decisions are single-use to prevent replay.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016"/>
            <w:vAlign w:val="center"/>
            <w:shd w:fill="17365D"/>
          </w:tcPr>
          <w:p>
            <w:r/>
            <w:r>
              <w:rPr>
                <w:b/>
                <w:color w:val="FFFFFF"/>
              </w:rPr>
              <w:t>Role</w:t>
            </w:r>
          </w:p>
        </w:tc>
        <w:tc>
          <w:tcPr>
            <w:tcW w:type="dxa" w:w="7488"/>
            <w:vAlign w:val="center"/>
            <w:shd w:fill="17365D"/>
          </w:tcPr>
          <w:p>
            <w:r/>
            <w:r>
              <w:rPr>
                <w:b/>
                <w:color w:val="FFFFFF"/>
              </w:rPr>
              <w:t>Allowed behavior</w:t>
            </w:r>
          </w:p>
        </w:tc>
      </w:tr>
      <w:tr>
        <w:tc>
          <w:tcPr>
            <w:tcW w:type="dxa" w:w="2016"/>
            <w:vAlign w:val="center"/>
            <w:shd w:fill="EAF2F8"/>
          </w:tcPr>
          <w:p>
            <w:r/>
            <w:r>
              <w:rPr>
                <w:b w:val="0"/>
              </w:rPr>
              <w:t>Viewer</w:t>
            </w:r>
          </w:p>
        </w:tc>
        <w:tc>
          <w:tcPr>
            <w:tcW w:type="dxa" w:w="7488"/>
            <w:vAlign w:val="center"/>
            <w:shd w:fill="EAF2F8"/>
          </w:tcPr>
          <w:p>
            <w:r/>
            <w:r>
              <w:rPr>
                <w:b w:val="0"/>
              </w:rPr>
              <w:t>Read dashboards, reports, investigations, pipeline data, integrations, and run conversations.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</w:rPr>
              <w:t>Approver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b w:val="0"/>
              </w:rPr>
              <w:t>Everything a viewer can do, plus approve/reject actions, activate integrations, add integrations, and send operational notifications.</w:t>
            </w:r>
          </w:p>
        </w:tc>
      </w:tr>
      <w:tr>
        <w:tc>
          <w:tcPr>
            <w:tcW w:type="dxa" w:w="2016"/>
            <w:vAlign w:val="center"/>
            <w:shd w:fill="EAF2F8"/>
          </w:tcPr>
          <w:p>
            <w:r/>
            <w:r>
              <w:rPr>
                <w:b w:val="0"/>
              </w:rPr>
              <w:t>Admin</w:t>
            </w:r>
          </w:p>
        </w:tc>
        <w:tc>
          <w:tcPr>
            <w:tcW w:type="dxa" w:w="7488"/>
            <w:vAlign w:val="center"/>
            <w:shd w:fill="EAF2F8"/>
          </w:tcPr>
          <w:p>
            <w:r/>
            <w:r>
              <w:rPr>
                <w:b w:val="0"/>
              </w:rPr>
              <w:t>Everything above, subject to organization policy and deployment controls.</w:t>
            </w:r>
          </w:p>
        </w:tc>
      </w:tr>
    </w:tbl>
    <w:p/>
    <w:p>
      <w:pPr>
        <w:pStyle w:val="ListBullet"/>
      </w:pPr>
      <w:r>
        <w:t>Production Kubernetes configuration enables authentication by default.</w:t>
      </w:r>
    </w:p>
    <w:p>
      <w:pPr>
        <w:pStyle w:val="ListBullet"/>
      </w:pPr>
      <w:r>
        <w:t>Local demo mode explicitly disables authentication for disposable development use.</w:t>
      </w:r>
    </w:p>
    <w:p>
      <w:pPr>
        <w:pStyle w:val="ListBullet"/>
      </w:pPr>
      <w:r>
        <w:t>Integration URLs reject metadata, private, loopback, reserved, multicast, and link-local addresses.</w:t>
      </w:r>
    </w:p>
    <w:p>
      <w:pPr>
        <w:pStyle w:val="ListBullet"/>
      </w:pPr>
      <w:r>
        <w:t>Credentials are referenced through environment-backed secrets rather than saved as raw integration values.</w:t>
      </w:r>
    </w:p>
    <w:p>
      <w:pPr>
        <w:pStyle w:val="ListBullet"/>
      </w:pPr>
      <w:r>
        <w:t>PostgreSQL deployments use Alembic migrations; SQLite table creation remains limited to local demo/test use.</w:t>
      </w:r>
    </w:p>
    <w:p>
      <w:pPr>
        <w:pStyle w:val="Heading1"/>
      </w:pPr>
      <w:r>
        <w:t>7. Observability and SRE Metrics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2160"/>
            <w:vAlign w:val="center"/>
            <w:shd w:fill="17365D"/>
          </w:tcPr>
          <w:p>
            <w:r/>
            <w:r>
              <w:rPr>
                <w:b/>
                <w:color w:val="FFFFFF"/>
              </w:rPr>
              <w:t>Metric family</w:t>
            </w:r>
          </w:p>
        </w:tc>
        <w:tc>
          <w:tcPr>
            <w:tcW w:type="dxa" w:w="3456"/>
            <w:vAlign w:val="center"/>
            <w:shd w:fill="17365D"/>
          </w:tcPr>
          <w:p>
            <w:r/>
            <w:r>
              <w:rPr>
                <w:b/>
                <w:color w:val="FFFFFF"/>
              </w:rPr>
              <w:t>Purpose</w:t>
            </w:r>
          </w:p>
        </w:tc>
        <w:tc>
          <w:tcPr>
            <w:tcW w:type="dxa" w:w="3888"/>
            <w:vAlign w:val="center"/>
            <w:shd w:fill="17365D"/>
          </w:tcPr>
          <w:p>
            <w:r/>
            <w:r>
              <w:rPr>
                <w:b/>
                <w:color w:val="FFFFFF"/>
              </w:rPr>
              <w:t>Example</w:t>
            </w:r>
          </w:p>
        </w:tc>
      </w:tr>
      <w:tr>
        <w:tc>
          <w:tcPr>
            <w:tcW w:type="dxa" w:w="2160"/>
            <w:vAlign w:val="center"/>
            <w:shd w:fill="EAF2F8"/>
          </w:tcPr>
          <w:p>
            <w:r/>
            <w:r>
              <w:rPr>
                <w:b w:val="0"/>
              </w:rPr>
              <w:t>RED metrics</w:t>
            </w:r>
          </w:p>
        </w:tc>
        <w:tc>
          <w:tcPr>
            <w:tcW w:type="dxa" w:w="3456"/>
            <w:vAlign w:val="center"/>
            <w:shd w:fill="EAF2F8"/>
          </w:tcPr>
          <w:p>
            <w:r/>
            <w:r>
              <w:rPr>
                <w:b w:val="0"/>
              </w:rPr>
              <w:t>Request health</w:t>
            </w:r>
          </w:p>
        </w:tc>
        <w:tc>
          <w:tcPr>
            <w:tcW w:type="dxa" w:w="3888"/>
            <w:vAlign w:val="center"/>
            <w:shd w:fill="EAF2F8"/>
          </w:tcPr>
          <w:p>
            <w:r/>
            <w:r>
              <w:rPr>
                <w:b w:val="0"/>
              </w:rPr>
              <w:t>Rate, HTTP 5xx ratio, duration histogram.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</w:rPr>
              <w:t>Saturation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</w:rPr>
              <w:t>Resource pressure</w:t>
            </w:r>
          </w:p>
        </w:tc>
        <w:tc>
          <w:tcPr>
            <w:tcW w:type="dxa" w:w="3888"/>
            <w:vAlign w:val="center"/>
          </w:tcPr>
          <w:p>
            <w:r/>
            <w:r>
              <w:rPr>
                <w:b w:val="0"/>
              </w:rPr>
              <w:t>Memory working set, memory limit, CPU throttling.</w:t>
            </w:r>
          </w:p>
        </w:tc>
      </w:tr>
      <w:tr>
        <w:tc>
          <w:tcPr>
            <w:tcW w:type="dxa" w:w="2160"/>
            <w:vAlign w:val="center"/>
            <w:shd w:fill="EAF2F8"/>
          </w:tcPr>
          <w:p>
            <w:r/>
            <w:r>
              <w:rPr>
                <w:b w:val="0"/>
              </w:rPr>
              <w:t>Reliability</w:t>
            </w:r>
          </w:p>
        </w:tc>
        <w:tc>
          <w:tcPr>
            <w:tcW w:type="dxa" w:w="3456"/>
            <w:vAlign w:val="center"/>
            <w:shd w:fill="EAF2F8"/>
          </w:tcPr>
          <w:p>
            <w:r/>
            <w:r>
              <w:rPr>
                <w:b w:val="0"/>
              </w:rPr>
              <w:t>SLO health</w:t>
            </w:r>
          </w:p>
        </w:tc>
        <w:tc>
          <w:tcPr>
            <w:tcW w:type="dxa" w:w="3888"/>
            <w:vAlign w:val="center"/>
            <w:shd w:fill="EAF2F8"/>
          </w:tcPr>
          <w:p>
            <w:r/>
            <w:r>
              <w:rPr>
                <w:b w:val="0"/>
              </w:rPr>
              <w:t>Error-budget burn rate and scrape freshness.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</w:rPr>
              <w:t>Kubernetes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</w:rPr>
              <w:t>Runtime state</w:t>
            </w:r>
          </w:p>
        </w:tc>
        <w:tc>
          <w:tcPr>
            <w:tcW w:type="dxa" w:w="3888"/>
            <w:vAlign w:val="center"/>
          </w:tcPr>
          <w:p>
            <w:r/>
            <w:r>
              <w:rPr>
                <w:b w:val="0"/>
              </w:rPr>
              <w:t>Restarts, OOMKilled, desired versus healthy replicas.</w:t>
            </w:r>
          </w:p>
        </w:tc>
      </w:tr>
      <w:tr>
        <w:tc>
          <w:tcPr>
            <w:tcW w:type="dxa" w:w="2160"/>
            <w:vAlign w:val="center"/>
            <w:shd w:fill="EAF2F8"/>
          </w:tcPr>
          <w:p>
            <w:r/>
            <w:r>
              <w:rPr>
                <w:b w:val="0"/>
              </w:rPr>
              <w:t>Trace correlation</w:t>
            </w:r>
          </w:p>
        </w:tc>
        <w:tc>
          <w:tcPr>
            <w:tcW w:type="dxa" w:w="3456"/>
            <w:vAlign w:val="center"/>
            <w:shd w:fill="EAF2F8"/>
          </w:tcPr>
          <w:p>
            <w:r/>
            <w:r>
              <w:rPr>
                <w:b w:val="0"/>
              </w:rPr>
              <w:t>Causality</w:t>
            </w:r>
          </w:p>
        </w:tc>
        <w:tc>
          <w:tcPr>
            <w:tcW w:type="dxa" w:w="3888"/>
            <w:vAlign w:val="center"/>
            <w:shd w:fill="EAF2F8"/>
          </w:tcPr>
          <w:p>
            <w:r/>
            <w:r>
              <w:rPr>
                <w:b w:val="0"/>
              </w:rPr>
              <w:t>W3C trace context and deployment.version.</w:t>
            </w:r>
          </w:p>
        </w:tc>
      </w:tr>
    </w:tbl>
    <w:p/>
    <w:p>
      <w:r>
        <w:t>Guardian marks unavailable data as unknown or insufficient rather than treating missing telemetry as healthy. Each report exposes scope, timestamp, source, query, status, and data gaps.</w:t>
      </w:r>
    </w:p>
    <w:p>
      <w:pPr>
        <w:pStyle w:val="Heading1"/>
      </w:pPr>
      <w:r>
        <w:t>8. Local Deployment</w:t>
      </w:r>
    </w:p>
    <w:p>
      <w:pPr>
        <w:pStyle w:val="CodeBlock"/>
      </w:pPr>
      <w:r>
        <w:t>make local-build</w:t>
        <w:br/>
        <w:t>kind load docker-image guardian-backend:reports-v1 guardian-mcp:local guardian-frontend:reports-v1 --name guardian-local</w:t>
        <w:br/>
        <w:t>make local-deploy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880"/>
            <w:vAlign w:val="center"/>
            <w:shd w:fill="17365D"/>
          </w:tcPr>
          <w:p>
            <w:r/>
            <w:r>
              <w:rPr>
                <w:b/>
                <w:color w:val="FFFFFF"/>
              </w:rPr>
              <w:t>Service</w:t>
            </w:r>
          </w:p>
        </w:tc>
        <w:tc>
          <w:tcPr>
            <w:tcW w:type="dxa" w:w="6624"/>
            <w:vAlign w:val="center"/>
            <w:shd w:fill="17365D"/>
          </w:tcPr>
          <w:p>
            <w:r/>
            <w:r>
              <w:rPr>
                <w:b/>
                <w:color w:val="FFFFFF"/>
              </w:rPr>
              <w:t>Local access</w:t>
            </w:r>
          </w:p>
        </w:tc>
      </w:tr>
      <w:tr>
        <w:tc>
          <w:tcPr>
            <w:tcW w:type="dxa" w:w="2880"/>
            <w:vAlign w:val="center"/>
            <w:shd w:fill="EAF2F8"/>
          </w:tcPr>
          <w:p>
            <w:r/>
            <w:r>
              <w:rPr>
                <w:b w:val="0"/>
              </w:rPr>
              <w:t>Frontend</w:t>
            </w:r>
          </w:p>
        </w:tc>
        <w:tc>
          <w:tcPr>
            <w:tcW w:type="dxa" w:w="6624"/>
            <w:vAlign w:val="center"/>
            <w:shd w:fill="EAF2F8"/>
          </w:tcPr>
          <w:p>
            <w:r/>
            <w:r>
              <w:rPr>
                <w:b w:val="0"/>
              </w:rPr>
              <w:t>http://localhost:30081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</w:rPr>
              <w:t>Backend Swagger</w:t>
            </w:r>
          </w:p>
        </w:tc>
        <w:tc>
          <w:tcPr>
            <w:tcW w:type="dxa" w:w="6624"/>
            <w:vAlign w:val="center"/>
          </w:tcPr>
          <w:p>
            <w:r/>
            <w:r>
              <w:rPr>
                <w:b w:val="0"/>
              </w:rPr>
              <w:t>http://localhost:30800/docs</w:t>
            </w:r>
          </w:p>
        </w:tc>
      </w:tr>
      <w:tr>
        <w:tc>
          <w:tcPr>
            <w:tcW w:type="dxa" w:w="2880"/>
            <w:vAlign w:val="center"/>
            <w:shd w:fill="EAF2F8"/>
          </w:tcPr>
          <w:p>
            <w:r/>
            <w:r>
              <w:rPr>
                <w:b w:val="0"/>
              </w:rPr>
              <w:t>Prometheus</w:t>
            </w:r>
          </w:p>
        </w:tc>
        <w:tc>
          <w:tcPr>
            <w:tcW w:type="dxa" w:w="6624"/>
            <w:vAlign w:val="center"/>
            <w:shd w:fill="EAF2F8"/>
          </w:tcPr>
          <w:p>
            <w:r/>
            <w:r>
              <w:rPr>
                <w:b w:val="0"/>
              </w:rPr>
              <w:t>ClusterIP; port-forward when needed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</w:rPr>
              <w:t>Loki</w:t>
            </w:r>
          </w:p>
        </w:tc>
        <w:tc>
          <w:tcPr>
            <w:tcW w:type="dxa" w:w="6624"/>
            <w:vAlign w:val="center"/>
          </w:tcPr>
          <w:p>
            <w:r/>
            <w:r>
              <w:rPr>
                <w:b w:val="0"/>
              </w:rPr>
              <w:t>ClusterIP; used by Live Reports</w:t>
            </w:r>
          </w:p>
        </w:tc>
      </w:tr>
      <w:tr>
        <w:tc>
          <w:tcPr>
            <w:tcW w:type="dxa" w:w="2880"/>
            <w:vAlign w:val="center"/>
            <w:shd w:fill="EAF2F8"/>
          </w:tcPr>
          <w:p>
            <w:r/>
            <w:r>
              <w:rPr>
                <w:b w:val="0"/>
              </w:rPr>
              <w:t>PostgreSQL</w:t>
            </w:r>
          </w:p>
        </w:tc>
        <w:tc>
          <w:tcPr>
            <w:tcW w:type="dxa" w:w="6624"/>
            <w:vAlign w:val="center"/>
            <w:shd w:fill="EAF2F8"/>
          </w:tcPr>
          <w:p>
            <w:r/>
            <w:r>
              <w:rPr>
                <w:b w:val="0"/>
              </w:rPr>
              <w:t>Internal ClusterIP service with persistent storage</w:t>
            </w:r>
          </w:p>
        </w:tc>
      </w:tr>
    </w:tbl>
    <w:p/>
    <w:p>
      <w:r>
        <w:t>The local kind deployment includes the frontend, backend, MCP server, checkout-api telemetry target, Prometheus, Loki, PostgreSQL, OpenTelemetry sidecars, and a persistent Prometheus volume.</w:t>
      </w:r>
    </w:p>
    <w:p>
      <w:pPr>
        <w:pStyle w:val="Heading1"/>
      </w:pPr>
      <w:r>
        <w:t>9. GCP / GKE Deployment Path</w:t>
      </w:r>
    </w:p>
    <w:p>
      <w:pPr>
        <w:pStyle w:val="ListNumber"/>
      </w:pPr>
      <w:r>
        <w:t>Bootstrap Terraform state, Workload Identity Federation, and the deployment service account.</w:t>
      </w:r>
    </w:p>
    <w:p>
      <w:pPr>
        <w:pStyle w:val="ListNumber"/>
      </w:pPr>
      <w:r>
        <w:t>Create Secret Manager versions for database, OpenAI, SMTP, and authentication secrets.</w:t>
      </w:r>
    </w:p>
    <w:p>
      <w:pPr>
        <w:pStyle w:val="ListNumber"/>
      </w:pPr>
      <w:r>
        <w:t>Build commit-addressed images and push them to Artifact Registry.</w:t>
      </w:r>
    </w:p>
    <w:p>
      <w:pPr>
        <w:pStyle w:val="ListNumber"/>
      </w:pPr>
      <w:r>
        <w:t>Apply Terraform to provision GKE, networking, IAM, secrets, and the Helm release.</w:t>
      </w:r>
    </w:p>
    <w:p>
      <w:pPr>
        <w:pStyle w:val="ListNumber"/>
      </w:pPr>
      <w:r>
        <w:t>Expose the frontend and /api through a managed ingress with TLS and Cloud Armor.</w:t>
      </w:r>
    </w:p>
    <w:p>
      <w:pPr>
        <w:pStyle w:val="ListNumber"/>
      </w:pPr>
      <w:r>
        <w:t>Place the application behind Google Cloud IAP or an organization-managed OIDC gateway.</w:t>
      </w:r>
    </w:p>
    <w:p>
      <w:pPr>
        <w:pStyle w:val="ListNumber"/>
      </w:pPr>
      <w:r>
        <w:t>Use Cloud SQL for production PostgreSQL and persistent storage for telemetry systems.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2CC"/>
          </w:tcPr>
          <w:p>
            <w:r>
              <w:rPr>
                <w:b/>
              </w:rPr>
              <w:t>GCP production gate</w:t>
              <w:br/>
            </w:r>
            <w:r>
              <w:t>Do not expose the API publicly until identity-aware access, Secret Manager, managed TLS, network policy, database migrations, and action authorization are configured.</w:t>
            </w:r>
          </w:p>
        </w:tc>
      </w:tr>
    </w:tbl>
    <w:p/>
    <w:p>
      <w:pPr>
        <w:pStyle w:val="Heading1"/>
      </w:pPr>
      <w:r>
        <w:t>10. Confluence Publishing Guide</w:t>
      </w:r>
    </w:p>
    <w:p>
      <w:r>
        <w:t>Recommended Confluence parent page: AIOps Guardian Pro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880"/>
            <w:vAlign w:val="center"/>
            <w:shd w:fill="17365D"/>
          </w:tcPr>
          <w:p>
            <w:r/>
            <w:r>
              <w:rPr>
                <w:b/>
                <w:color w:val="FFFFFF"/>
              </w:rPr>
              <w:t>Child page</w:t>
            </w:r>
          </w:p>
        </w:tc>
        <w:tc>
          <w:tcPr>
            <w:tcW w:type="dxa" w:w="6624"/>
            <w:vAlign w:val="center"/>
            <w:shd w:fill="17365D"/>
          </w:tcPr>
          <w:p>
            <w:r/>
            <w:r>
              <w:rPr>
                <w:b/>
                <w:color w:val="FFFFFF"/>
              </w:rPr>
              <w:t>Content</w:t>
            </w:r>
          </w:p>
        </w:tc>
      </w:tr>
      <w:tr>
        <w:tc>
          <w:tcPr>
            <w:tcW w:type="dxa" w:w="2880"/>
            <w:vAlign w:val="center"/>
            <w:shd w:fill="EAF2F8"/>
          </w:tcPr>
          <w:p>
            <w:r/>
            <w:r>
              <w:rPr>
                <w:b w:val="0"/>
              </w:rPr>
              <w:t>Product Overview</w:t>
            </w:r>
          </w:p>
        </w:tc>
        <w:tc>
          <w:tcPr>
            <w:tcW w:type="dxa" w:w="6624"/>
            <w:vAlign w:val="center"/>
            <w:shd w:fill="EAF2F8"/>
          </w:tcPr>
          <w:p>
            <w:r/>
            <w:r>
              <w:rPr>
                <w:b w:val="0"/>
              </w:rPr>
              <w:t>Executive summary, value proposition, user journey, and scope.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</w:rPr>
              <w:t>End User Guide</w:t>
            </w:r>
          </w:p>
        </w:tc>
        <w:tc>
          <w:tcPr>
            <w:tcW w:type="dxa" w:w="6624"/>
            <w:vAlign w:val="center"/>
          </w:tcPr>
          <w:p>
            <w:r/>
            <w:r>
              <w:rPr>
                <w:b w:val="0"/>
              </w:rPr>
              <w:t>Dashboard, Ask Guardian, Reports, Simulator, Investigations, Pipelines, Approvals, and Integrations.</w:t>
            </w:r>
          </w:p>
        </w:tc>
      </w:tr>
      <w:tr>
        <w:tc>
          <w:tcPr>
            <w:tcW w:type="dxa" w:w="2880"/>
            <w:vAlign w:val="center"/>
            <w:shd w:fill="EAF2F8"/>
          </w:tcPr>
          <w:p>
            <w:r/>
            <w:r>
              <w:rPr>
                <w:b w:val="0"/>
              </w:rPr>
              <w:t>SRE Runbook</w:t>
            </w:r>
          </w:p>
        </w:tc>
        <w:tc>
          <w:tcPr>
            <w:tcW w:type="dxa" w:w="6624"/>
            <w:vAlign w:val="center"/>
            <w:shd w:fill="EAF2F8"/>
          </w:tcPr>
          <w:p>
            <w:r/>
            <w:r>
              <w:rPr>
                <w:b w:val="0"/>
              </w:rPr>
              <w:t>Incident workflow, metrics, containment, remediation, verification, and escalation.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</w:rPr>
              <w:t>Architecture</w:t>
            </w:r>
          </w:p>
        </w:tc>
        <w:tc>
          <w:tcPr>
            <w:tcW w:type="dxa" w:w="6624"/>
            <w:vAlign w:val="center"/>
          </w:tcPr>
          <w:p>
            <w:r/>
            <w:r>
              <w:rPr>
                <w:b w:val="0"/>
              </w:rPr>
              <w:t>Architecture diagram, responsibility boundaries, MCP tool plane, and data flow.</w:t>
            </w:r>
          </w:p>
        </w:tc>
      </w:tr>
      <w:tr>
        <w:tc>
          <w:tcPr>
            <w:tcW w:type="dxa" w:w="2880"/>
            <w:vAlign w:val="center"/>
            <w:shd w:fill="EAF2F8"/>
          </w:tcPr>
          <w:p>
            <w:r/>
            <w:r>
              <w:rPr>
                <w:b w:val="0"/>
              </w:rPr>
              <w:t>Security Model</w:t>
            </w:r>
          </w:p>
        </w:tc>
        <w:tc>
          <w:tcPr>
            <w:tcW w:type="dxa" w:w="6624"/>
            <w:vAlign w:val="center"/>
            <w:shd w:fill="EAF2F8"/>
          </w:tcPr>
          <w:p>
            <w:r/>
            <w:r>
              <w:rPr>
                <w:b w:val="0"/>
              </w:rPr>
              <w:t>Identity, roles, guardrails, secrets, SSRF controls, and audit requirements.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</w:rPr>
              <w:t>Local Kubernetes</w:t>
            </w:r>
          </w:p>
        </w:tc>
        <w:tc>
          <w:tcPr>
            <w:tcW w:type="dxa" w:w="6624"/>
            <w:vAlign w:val="center"/>
          </w:tcPr>
          <w:p>
            <w:r/>
            <w:r>
              <w:rPr>
                <w:b w:val="0"/>
              </w:rPr>
              <w:t>kind setup, image loading, port forwarding, simulator, and telemetry.</w:t>
            </w:r>
          </w:p>
        </w:tc>
      </w:tr>
      <w:tr>
        <w:tc>
          <w:tcPr>
            <w:tcW w:type="dxa" w:w="2880"/>
            <w:vAlign w:val="center"/>
            <w:shd w:fill="EAF2F8"/>
          </w:tcPr>
          <w:p>
            <w:r/>
            <w:r>
              <w:rPr>
                <w:b w:val="0"/>
              </w:rPr>
              <w:t>GCP / GKE</w:t>
            </w:r>
          </w:p>
        </w:tc>
        <w:tc>
          <w:tcPr>
            <w:tcW w:type="dxa" w:w="6624"/>
            <w:vAlign w:val="center"/>
            <w:shd w:fill="EAF2F8"/>
          </w:tcPr>
          <w:p>
            <w:r/>
            <w:r>
              <w:rPr>
                <w:b w:val="0"/>
              </w:rPr>
              <w:t>Terraform bootstrap, Secret Manager, Artifact Registry, Workload Identity, and ingress.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</w:rPr>
              <w:t>API Reference</w:t>
            </w:r>
          </w:p>
        </w:tc>
        <w:tc>
          <w:tcPr>
            <w:tcW w:type="dxa" w:w="6624"/>
            <w:vAlign w:val="center"/>
          </w:tcPr>
          <w:p>
            <w:r/>
            <w:r>
              <w:rPr>
                <w:b w:val="0"/>
              </w:rPr>
              <w:t>Swagger URL, route groups, authentication, and example payloads.</w:t>
            </w:r>
          </w:p>
        </w:tc>
      </w:tr>
    </w:tbl>
    <w:p/>
    <w:p>
      <w:r>
        <w:t>For editable diagrams, copy the Mermaid source blocks from the appendix into a Confluence Mermaid macro. Keep the PNG architecture diagrams as the executive-friendly visual fallback.</w:t>
      </w:r>
    </w:p>
    <w:p>
      <w:pPr>
        <w:pStyle w:val="Heading1"/>
      </w:pPr>
      <w:r>
        <w:t>11. Editable Diagram Sources</w:t>
      </w:r>
    </w:p>
    <w:p>
      <w:pPr>
        <w:pStyle w:val="Heading3"/>
      </w:pPr>
      <w:r>
        <w:t>Incident response sequence</w:t>
      </w:r>
    </w:p>
    <w:p>
      <w:r>
        <w:rPr>
          <w:i/>
        </w:rPr>
        <w:t>Mermaid source (paste into Confluence Mermaid macro)</w:t>
      </w:r>
    </w:p>
    <w:p>
      <w:pPr>
        <w:pStyle w:val="CodeBlock"/>
      </w:pPr>
      <w:r>
        <w:t>sequenceDiagram</w:t>
        <w:br/>
        <w:t xml:space="preserve">  participant User</w:t>
        <w:br/>
        <w:t xml:space="preserve">  participant UI as Guardian UI</w:t>
        <w:br/>
        <w:t xml:space="preserve">  participant API as FastAPI</w:t>
        <w:br/>
        <w:t xml:space="preserve">  participant O as Orchestrator</w:t>
        <w:br/>
        <w:t xml:space="preserve">  participant Obs as Metrics/Logs/K8s</w:t>
        <w:br/>
        <w:t xml:space="preserve">  participant G as Guardrail</w:t>
        <w:br/>
        <w:t xml:space="preserve">  participant A as Approver</w:t>
        <w:br/>
        <w:t xml:space="preserve">  participant MCP as Action MCP</w:t>
        <w:br/>
        <w:t xml:space="preserve">  participant V as Verification</w:t>
        <w:br/>
        <w:t xml:space="preserve">  User-&gt;&gt;UI: Ask incident question</w:t>
        <w:br/>
        <w:t xml:space="preserve">  UI-&gt;&gt;API: Investigation request</w:t>
        <w:br/>
        <w:t xml:space="preserve">  API-&gt;&gt;O: Create investigation</w:t>
        <w:br/>
        <w:t xml:space="preserve">  O-&gt;&gt;Obs: Collect scoped evidence</w:t>
        <w:br/>
        <w:t xml:space="preserve">  Obs--&gt;&gt;O: Metrics, logs, events, changes</w:t>
        <w:br/>
        <w:t xml:space="preserve">  O-&gt;&gt;O: Correlate and validate RCA</w:t>
        <w:br/>
        <w:t xml:space="preserve">  O-&gt;&gt;G: Evaluate recommended action</w:t>
        <w:br/>
        <w:t xml:space="preserve">  G--&gt;&gt;O: Require approval</w:t>
        <w:br/>
        <w:t xml:space="preserve">  O--&gt;&gt;UI: RCA, metrics, action plan, approval</w:t>
        <w:br/>
        <w:t xml:space="preserve">  A-&gt;&gt;API: Approve or reject</w:t>
        <w:br/>
        <w:t xml:space="preserve">  API-&gt;&gt;MCP: Execute approved action</w:t>
        <w:br/>
        <w:t xml:space="preserve">  MCP--&gt;&gt;API: Action result</w:t>
        <w:br/>
        <w:t xml:space="preserve">  API-&gt;&gt;V: Verify recovery</w:t>
        <w:br/>
        <w:t xml:space="preserve">  V--&gt;&gt;UI: Recovery status and audit trail</w:t>
      </w:r>
    </w:p>
    <w:p>
      <w:pPr>
        <w:pStyle w:val="Heading3"/>
      </w:pPr>
      <w:r>
        <w:t>Deployment topology</w:t>
      </w:r>
    </w:p>
    <w:p>
      <w:r>
        <w:rPr>
          <w:i/>
        </w:rPr>
        <w:t>Mermaid source (paste into Confluence Mermaid macro)</w:t>
      </w:r>
    </w:p>
    <w:p>
      <w:pPr>
        <w:pStyle w:val="CodeBlock"/>
      </w:pPr>
      <w:r>
        <w:t>flowchart LR</w:t>
        <w:br/>
        <w:t xml:space="preserve">  subgraph GKE[GKE / Local kind]</w:t>
        <w:br/>
        <w:t xml:space="preserve">    FE[Frontend] --&gt; BE[FastAPI Backend]</w:t>
        <w:br/>
        <w:t xml:space="preserve">    BE --&gt; DB[(PostgreSQL)]</w:t>
        <w:br/>
        <w:t xml:space="preserve">    BE --&gt; MCP[MCP Server]</w:t>
        <w:br/>
        <w:t xml:space="preserve">    BE --&gt; P[Prometheus]</w:t>
        <w:br/>
        <w:t xml:space="preserve">    BE --&gt; L[Loki]</w:t>
        <w:br/>
        <w:t xml:space="preserve">    BE --&gt; O[OTel Sidecar]</w:t>
        <w:br/>
        <w:t xml:space="preserve">    P --&gt; PVC[(Persistent Prometheus Volume)]</w:t>
        <w:br/>
        <w:t xml:space="preserve">  end</w:t>
        <w:br/>
        <w:t xml:space="preserve">  O --&gt; OTG[OTel Gateway]</w:t>
        <w:br/>
        <w:t xml:space="preserve">  BE --&gt; SM[Secret Manager / Kubernetes Secrets]</w:t>
        <w:br/>
        <w:t xml:space="preserve">  User --&gt; IAP[OIDC or Google IAP]</w:t>
        <w:br/>
        <w:t xml:space="preserve">  IAP --&gt; FE</w:t>
      </w:r>
    </w:p>
    <w:p>
      <w:pPr>
        <w:pStyle w:val="Heading1"/>
      </w:pPr>
      <w:r>
        <w:t>12. Source References</w:t>
      </w:r>
    </w:p>
    <w:p>
      <w:pPr>
        <w:pStyle w:val="ListBullet"/>
      </w:pPr>
      <w:r>
        <w:t>README.md - product scope and quick start</w:t>
      </w:r>
    </w:p>
    <w:p>
      <w:pPr>
        <w:pStyle w:val="ListBullet"/>
      </w:pPr>
      <w:r>
        <w:t>docs/architecture-one-page.md - responsibility boundaries and closed-loop flow</w:t>
      </w:r>
    </w:p>
    <w:p>
      <w:pPr>
        <w:pStyle w:val="ListBullet"/>
      </w:pPr>
      <w:r>
        <w:t>docs/security.md - identity, authorization, secrets, network, AI controls, and audit</w:t>
      </w:r>
    </w:p>
    <w:p>
      <w:pPr>
        <w:pStyle w:val="ListBullet"/>
      </w:pPr>
      <w:r>
        <w:t>docs/live-integrations.md - live telemetry and controlled traffic scenario</w:t>
      </w:r>
    </w:p>
    <w:p>
      <w:pPr>
        <w:pStyle w:val="ListBullet"/>
      </w:pPr>
      <w:r>
        <w:t>docs/deployment-gcp.md - Terraform, GKE, Secret Manager, and deployment workflow</w:t>
      </w:r>
    </w:p>
    <w:p>
      <w:pPr>
        <w:pStyle w:val="ListBullet"/>
      </w:pPr>
      <w:r>
        <w:t>docs/observability.md - OTel, Prometheus, Loki, Tempo, and recommended spans</w:t>
      </w:r>
    </w:p>
    <w:p>
      <w:pPr>
        <w:pStyle w:val="ListBullet"/>
      </w:pPr>
      <w:r>
        <w:t>demo/README.md - unsafe memory release incident scenario</w:t>
      </w:r>
    </w:p>
    <w:p>
      <w:pPr>
        <w:pStyle w:val="Heading1"/>
      </w:pPr>
      <w:r>
        <w:t>Document Maintenance</w:t>
      </w:r>
    </w:p>
    <w:p>
      <w:r>
        <w:t>Owner: Platform Engineering / SRE</w:t>
        <w:br/>
        <w:t>Review cadence: Each release or architecture change</w:t>
        <w:br/>
        <w:t>Last validated: 22 September 2026</w:t>
        <w:br/>
        <w:t>Repository: AIOps Guardian Pro</w:t>
      </w:r>
    </w:p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AIOps Guardian Pro | Confluence Product Guide | 22 September 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86090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28609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80" w:after="120"/>
      <w:ind w:left="288"/>
    </w:pPr>
    <w:rPr>
      <w:rFonts w:ascii="Aptos Mono" w:hAnsi="Aptos Mono"/>
      <w:color w:val="2D2D2D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