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A39EF" w14:textId="73F6FA5B" w:rsidR="006D072D" w:rsidRDefault="00740665" w:rsidP="00740665">
      <w:pPr>
        <w:spacing w:line="480" w:lineRule="auto"/>
        <w:rPr>
          <w:rFonts w:cs="Times New Roman"/>
          <w:szCs w:val="24"/>
        </w:rPr>
      </w:pPr>
      <w:r w:rsidRPr="00196DAD">
        <w:rPr>
          <w:rFonts w:cs="Times New Roman"/>
          <w:szCs w:val="24"/>
        </w:rPr>
        <w:t xml:space="preserve">Figure 1: Bird collection points. Collection points comprise a total of 156 localities (including offshore islands) combining our dataset and the </w:t>
      </w:r>
      <w:proofErr w:type="spellStart"/>
      <w:r w:rsidRPr="00196DAD">
        <w:rPr>
          <w:rFonts w:cs="Times New Roman"/>
          <w:szCs w:val="24"/>
        </w:rPr>
        <w:t>MalAvi</w:t>
      </w:r>
      <w:proofErr w:type="spellEnd"/>
      <w:r w:rsidRPr="00196DAD">
        <w:rPr>
          <w:rFonts w:cs="Times New Roman"/>
          <w:szCs w:val="24"/>
        </w:rPr>
        <w:t xml:space="preserve"> database</w:t>
      </w:r>
      <w:r>
        <w:rPr>
          <w:rFonts w:cs="Times New Roman"/>
          <w:szCs w:val="24"/>
        </w:rPr>
        <w:t>.</w:t>
      </w:r>
    </w:p>
    <w:p w14:paraId="26FEDA2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2. Mean (±SE) percentage of localities in which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 </w:t>
      </w:r>
    </w:p>
    <w:p w14:paraId="652376F3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3: Mean (±SE) percentage of localities in which </w:t>
      </w:r>
      <w:r w:rsidRPr="003B6A4F">
        <w:rPr>
          <w:rFonts w:cs="Times New Roman"/>
          <w:i/>
          <w:iCs/>
          <w:szCs w:val="24"/>
        </w:rPr>
        <w:t>Plasmodium</w:t>
      </w:r>
      <w:r w:rsidRPr="003B6A4F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</w:t>
      </w:r>
    </w:p>
    <w:p w14:paraId="71A7D528" w14:textId="4EA95146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4: Mean (±SE) percentage of localities in which </w:t>
      </w:r>
      <w:proofErr w:type="spellStart"/>
      <w:r w:rsidRPr="003B6A4F">
        <w:rPr>
          <w:rFonts w:cs="Times New Roman"/>
          <w:i/>
          <w:iCs/>
          <w:szCs w:val="24"/>
        </w:rPr>
        <w:t>Haemoproteus</w:t>
      </w:r>
      <w:proofErr w:type="spellEnd"/>
      <w:r w:rsidRPr="003B6A4F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 </w:t>
      </w:r>
    </w:p>
    <w:p w14:paraId="0F5EF76E" w14:textId="6D2B41E3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5: Local richness of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parasites as a function of the percentage of migratory individuals out of all bird individuals sampled per locality. Each point represents a different locality. </w:t>
      </w:r>
      <w:r w:rsidR="004C0F60" w:rsidRPr="004C0F60">
        <w:rPr>
          <w:rFonts w:cs="Times New Roman"/>
          <w:color w:val="FF0000"/>
          <w:szCs w:val="24"/>
        </w:rPr>
        <w:t>A p</w:t>
      </w:r>
      <w:r w:rsidRPr="004C0F60">
        <w:rPr>
          <w:rFonts w:cs="Times New Roman"/>
          <w:color w:val="FF0000"/>
          <w:szCs w:val="24"/>
        </w:rPr>
        <w:t xml:space="preserve">ositive </w:t>
      </w:r>
      <w:r w:rsidRPr="003B6A4F">
        <w:rPr>
          <w:rFonts w:cs="Times New Roman"/>
          <w:szCs w:val="24"/>
        </w:rPr>
        <w:t xml:space="preserve">correlation was found </w:t>
      </w:r>
      <w:r w:rsidRPr="004C0F60">
        <w:rPr>
          <w:rFonts w:cs="Times New Roman"/>
          <w:color w:val="FF0000"/>
          <w:szCs w:val="24"/>
        </w:rPr>
        <w:t xml:space="preserve">between </w:t>
      </w:r>
      <w:r w:rsidR="004C0F60" w:rsidRPr="004C0F60">
        <w:rPr>
          <w:rFonts w:cs="Times New Roman"/>
          <w:color w:val="FF0000"/>
          <w:szCs w:val="24"/>
        </w:rPr>
        <w:t xml:space="preserve">the </w:t>
      </w:r>
      <w:r w:rsidRPr="004C0F60">
        <w:rPr>
          <w:rFonts w:cs="Times New Roman"/>
          <w:color w:val="FF0000"/>
          <w:szCs w:val="24"/>
        </w:rPr>
        <w:t xml:space="preserve">percentage </w:t>
      </w:r>
      <w:r w:rsidRPr="003B6A4F">
        <w:rPr>
          <w:rFonts w:cs="Times New Roman"/>
          <w:szCs w:val="24"/>
        </w:rPr>
        <w:t xml:space="preserve">of migratory individuals and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002</w:t>
      </w:r>
      <w:r w:rsidRPr="003B6A4F">
        <w:rPr>
          <w:rFonts w:cs="Times New Roman"/>
          <w:szCs w:val="24"/>
        </w:rPr>
        <w:t>).</w:t>
      </w:r>
    </w:p>
    <w:p w14:paraId="218712F2" w14:textId="6561B46F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lastRenderedPageBreak/>
        <w:t xml:space="preserve">Figure 6: Correlation between </w:t>
      </w:r>
      <w:r w:rsidR="004C0F60">
        <w:rPr>
          <w:rFonts w:cs="Times New Roman"/>
          <w:color w:val="FF0000"/>
          <w:szCs w:val="24"/>
        </w:rPr>
        <w:t xml:space="preserve">local </w:t>
      </w:r>
      <w:r w:rsidRPr="003B6A4F">
        <w:rPr>
          <w:rFonts w:cs="Times New Roman"/>
          <w:szCs w:val="24"/>
        </w:rPr>
        <w:t xml:space="preserve">prevalence of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parasites and percentage of migratory host individuals per locality. Each point represents the prevalence value per host species per site. We </w:t>
      </w:r>
      <w:bookmarkStart w:id="0" w:name="_GoBack"/>
      <w:r w:rsidRPr="00623D0D">
        <w:rPr>
          <w:rFonts w:cs="Times New Roman"/>
          <w:color w:val="FF0000"/>
          <w:szCs w:val="24"/>
        </w:rPr>
        <w:t xml:space="preserve">observed </w:t>
      </w:r>
      <w:r w:rsidR="00623D0D" w:rsidRPr="00623D0D">
        <w:rPr>
          <w:rFonts w:cs="Times New Roman"/>
          <w:color w:val="FF0000"/>
          <w:szCs w:val="24"/>
        </w:rPr>
        <w:t xml:space="preserve">a </w:t>
      </w:r>
      <w:r w:rsidRPr="00623D0D">
        <w:rPr>
          <w:rFonts w:cs="Times New Roman"/>
          <w:color w:val="FF0000"/>
          <w:szCs w:val="24"/>
        </w:rPr>
        <w:t xml:space="preserve">positive effect </w:t>
      </w:r>
      <w:r w:rsidR="00623D0D" w:rsidRPr="00623D0D">
        <w:rPr>
          <w:rFonts w:cs="Times New Roman"/>
          <w:color w:val="FF0000"/>
          <w:szCs w:val="24"/>
        </w:rPr>
        <w:t>of</w:t>
      </w:r>
      <w:r w:rsidRPr="00623D0D">
        <w:rPr>
          <w:rFonts w:cs="Times New Roman"/>
          <w:color w:val="FF0000"/>
          <w:szCs w:val="24"/>
        </w:rPr>
        <w:t xml:space="preserve"> migratory behavior </w:t>
      </w:r>
      <w:r w:rsidR="00623D0D" w:rsidRPr="00623D0D">
        <w:rPr>
          <w:rFonts w:cs="Times New Roman"/>
          <w:color w:val="FF0000"/>
          <w:szCs w:val="24"/>
        </w:rPr>
        <w:t>on</w:t>
      </w:r>
      <w:r w:rsidRPr="00623D0D">
        <w:rPr>
          <w:rFonts w:cs="Times New Roman"/>
          <w:color w:val="FF0000"/>
          <w:szCs w:val="24"/>
        </w:rPr>
        <w:t xml:space="preserve"> </w:t>
      </w:r>
      <w:bookmarkEnd w:id="0"/>
      <w:r w:rsidRPr="003B6A4F">
        <w:rPr>
          <w:rFonts w:cs="Times New Roman"/>
          <w:szCs w:val="24"/>
        </w:rPr>
        <w:t>parasite prevalence (p = 0.0</w:t>
      </w:r>
      <w:r>
        <w:rPr>
          <w:rFonts w:cs="Times New Roman"/>
          <w:szCs w:val="24"/>
        </w:rPr>
        <w:t>3</w:t>
      </w:r>
      <w:r w:rsidRPr="003B6A4F">
        <w:rPr>
          <w:rFonts w:cs="Times New Roman"/>
          <w:szCs w:val="24"/>
        </w:rPr>
        <w:t>).</w:t>
      </w:r>
    </w:p>
    <w:p w14:paraId="0A0131E5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1A9A7BC7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1: Parameter estimates, standard errors, and p values for the Bayesian model testing the differences in the distribution of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740665" w:rsidRPr="003B6A4F" w14:paraId="571F3178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338B3B1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7F65B05F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7B2C2B5D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68887C8E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3D3D2BD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2B9B949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commentRangeStart w:id="1"/>
            <w:r>
              <w:rPr>
                <w:rFonts w:cs="Times New Roman"/>
                <w:i w:val="0"/>
                <w:iCs w:val="0"/>
                <w:szCs w:val="24"/>
              </w:rPr>
              <w:t>Resident</w:t>
            </w:r>
          </w:p>
        </w:tc>
        <w:tc>
          <w:tcPr>
            <w:tcW w:w="1771" w:type="dxa"/>
          </w:tcPr>
          <w:p w14:paraId="0A06068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-4.</w:t>
            </w:r>
            <w:r>
              <w:rPr>
                <w:rFonts w:cs="Times New Roman"/>
                <w:szCs w:val="24"/>
              </w:rPr>
              <w:t>5</w:t>
            </w:r>
            <w:r w:rsidRPr="003B6A4F"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14:paraId="243631A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745" w:type="dxa"/>
          </w:tcPr>
          <w:p w14:paraId="4E1CAD9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  <w:commentRangeEnd w:id="1"/>
            <w:r w:rsidR="00F76B11">
              <w:rPr>
                <w:rStyle w:val="CommentReference"/>
              </w:rPr>
              <w:commentReference w:id="1"/>
            </w:r>
          </w:p>
        </w:tc>
      </w:tr>
      <w:tr w:rsidR="00740665" w:rsidRPr="003B6A4F" w14:paraId="35A4FDA8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EC8903A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Full m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>igrant</w:t>
            </w:r>
          </w:p>
        </w:tc>
        <w:tc>
          <w:tcPr>
            <w:tcW w:w="1771" w:type="dxa"/>
          </w:tcPr>
          <w:p w14:paraId="1F520432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-0.04</w:t>
            </w:r>
          </w:p>
        </w:tc>
        <w:tc>
          <w:tcPr>
            <w:tcW w:w="1843" w:type="dxa"/>
          </w:tcPr>
          <w:p w14:paraId="2877C73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45" w:type="dxa"/>
          </w:tcPr>
          <w:p w14:paraId="16221C5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</w:tr>
      <w:tr w:rsidR="00740665" w:rsidRPr="003B6A4F" w14:paraId="094CFD6A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15A3F2A5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4DA06AE6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14:paraId="1E31D3E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45" w:type="dxa"/>
          </w:tcPr>
          <w:p w14:paraId="789BBA7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36</w:t>
            </w:r>
          </w:p>
        </w:tc>
      </w:tr>
      <w:tr w:rsidR="00740665" w:rsidRPr="003B6A4F" w14:paraId="21306A28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9A275FD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18956ABE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1843" w:type="dxa"/>
          </w:tcPr>
          <w:p w14:paraId="372CA9DB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45" w:type="dxa"/>
          </w:tcPr>
          <w:p w14:paraId="477CFE3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3CA81CA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9653787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1B101C5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67</w:t>
            </w:r>
          </w:p>
        </w:tc>
        <w:tc>
          <w:tcPr>
            <w:tcW w:w="1843" w:type="dxa"/>
          </w:tcPr>
          <w:p w14:paraId="541B4D4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09</w:t>
            </w:r>
          </w:p>
        </w:tc>
        <w:tc>
          <w:tcPr>
            <w:tcW w:w="1745" w:type="dxa"/>
          </w:tcPr>
          <w:p w14:paraId="3671892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305A73FF" w14:textId="77777777" w:rsidTr="007D013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1860DB7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56D003B3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47</w:t>
            </w:r>
          </w:p>
        </w:tc>
        <w:tc>
          <w:tcPr>
            <w:tcW w:w="1843" w:type="dxa"/>
          </w:tcPr>
          <w:p w14:paraId="052ACEF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45" w:type="dxa"/>
          </w:tcPr>
          <w:p w14:paraId="56525A2E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</w:tbl>
    <w:p w14:paraId="1920DCF3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1CC90B8E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2: Parameter estimates, standard errors, and p values for the Bayesian model testing the differences in the distribution of </w:t>
      </w:r>
      <w:r w:rsidRPr="003B6A4F">
        <w:rPr>
          <w:rFonts w:cs="Times New Roman"/>
          <w:i/>
          <w:iCs/>
          <w:szCs w:val="24"/>
        </w:rPr>
        <w:t>Plasmodium</w:t>
      </w:r>
      <w:r w:rsidRPr="003B6A4F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740665" w:rsidRPr="003B6A4F" w14:paraId="1267FE70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67CCFFAE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3E799FC9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5AF3B93C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53161D1F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6DC2D624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A98CFCD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commentRangeStart w:id="2"/>
            <w:r>
              <w:rPr>
                <w:rFonts w:cs="Times New Roman"/>
                <w:i w:val="0"/>
                <w:iCs w:val="0"/>
                <w:szCs w:val="24"/>
              </w:rPr>
              <w:t>Resident</w:t>
            </w:r>
          </w:p>
        </w:tc>
        <w:tc>
          <w:tcPr>
            <w:tcW w:w="1771" w:type="dxa"/>
          </w:tcPr>
          <w:p w14:paraId="1368BF65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3.86</w:t>
            </w:r>
          </w:p>
        </w:tc>
        <w:tc>
          <w:tcPr>
            <w:tcW w:w="1843" w:type="dxa"/>
          </w:tcPr>
          <w:p w14:paraId="348349F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745" w:type="dxa"/>
          </w:tcPr>
          <w:p w14:paraId="2BB8DB5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  <w:commentRangeEnd w:id="2"/>
            <w:r w:rsidR="00AA4B3A">
              <w:rPr>
                <w:rStyle w:val="CommentReference"/>
              </w:rPr>
              <w:commentReference w:id="2"/>
            </w:r>
          </w:p>
        </w:tc>
      </w:tr>
      <w:tr w:rsidR="00740665" w:rsidRPr="003B6A4F" w14:paraId="4D8F71C8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69E1EDC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Full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 xml:space="preserve"> migrant</w:t>
            </w:r>
          </w:p>
        </w:tc>
        <w:tc>
          <w:tcPr>
            <w:tcW w:w="1771" w:type="dxa"/>
          </w:tcPr>
          <w:p w14:paraId="5B12BA75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14:paraId="788800DA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8</w:t>
            </w:r>
          </w:p>
        </w:tc>
        <w:tc>
          <w:tcPr>
            <w:tcW w:w="1745" w:type="dxa"/>
          </w:tcPr>
          <w:p w14:paraId="1495B00C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21</w:t>
            </w:r>
          </w:p>
        </w:tc>
      </w:tr>
      <w:tr w:rsidR="00740665" w:rsidRPr="003B6A4F" w14:paraId="35243182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130CF30E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Partial migrant</w:t>
            </w:r>
          </w:p>
        </w:tc>
        <w:tc>
          <w:tcPr>
            <w:tcW w:w="1771" w:type="dxa"/>
          </w:tcPr>
          <w:p w14:paraId="72D51B0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843" w:type="dxa"/>
          </w:tcPr>
          <w:p w14:paraId="747BC00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45" w:type="dxa"/>
          </w:tcPr>
          <w:p w14:paraId="4A839627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</w:tr>
      <w:tr w:rsidR="00740665" w:rsidRPr="003B6A4F" w14:paraId="6E7718FC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88C0BD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3FADFE42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65</w:t>
            </w:r>
          </w:p>
        </w:tc>
        <w:tc>
          <w:tcPr>
            <w:tcW w:w="1843" w:type="dxa"/>
          </w:tcPr>
          <w:p w14:paraId="10FFFFB3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45" w:type="dxa"/>
          </w:tcPr>
          <w:p w14:paraId="480121B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048C25F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A065B87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10F23E1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46</w:t>
            </w:r>
          </w:p>
        </w:tc>
        <w:tc>
          <w:tcPr>
            <w:tcW w:w="1843" w:type="dxa"/>
          </w:tcPr>
          <w:p w14:paraId="3845798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45" w:type="dxa"/>
          </w:tcPr>
          <w:p w14:paraId="5C53590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0B2E32CD" w14:textId="77777777" w:rsidTr="007D013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0F99FB5B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214C9E7D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0.81</w:t>
            </w:r>
          </w:p>
        </w:tc>
        <w:tc>
          <w:tcPr>
            <w:tcW w:w="1843" w:type="dxa"/>
          </w:tcPr>
          <w:p w14:paraId="1368DF6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1745" w:type="dxa"/>
          </w:tcPr>
          <w:p w14:paraId="394E4808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</w:tbl>
    <w:p w14:paraId="065F986D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1C6738AF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3: Parameter estimates, standard errors, and p values for the Bayesian model testing the differences in the distribution of </w:t>
      </w:r>
      <w:proofErr w:type="spellStart"/>
      <w:r w:rsidRPr="003B6A4F">
        <w:rPr>
          <w:rFonts w:cs="Times New Roman"/>
          <w:i/>
          <w:iCs/>
          <w:szCs w:val="24"/>
        </w:rPr>
        <w:t>Haemoproteus</w:t>
      </w:r>
      <w:proofErr w:type="spellEnd"/>
      <w:r w:rsidRPr="003B6A4F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740665" w:rsidRPr="003B6A4F" w14:paraId="5DE9E212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3EF6560F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0B50580B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244E4243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6950DAE1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179313F2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092C1CD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commentRangeStart w:id="3"/>
            <w:r>
              <w:rPr>
                <w:rFonts w:cs="Times New Roman"/>
                <w:i w:val="0"/>
                <w:iCs w:val="0"/>
                <w:szCs w:val="24"/>
              </w:rPr>
              <w:t>Resident</w:t>
            </w:r>
          </w:p>
        </w:tc>
        <w:tc>
          <w:tcPr>
            <w:tcW w:w="1771" w:type="dxa"/>
          </w:tcPr>
          <w:p w14:paraId="4921B99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-4.6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14:paraId="2DD93005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5</w:t>
            </w:r>
          </w:p>
        </w:tc>
        <w:tc>
          <w:tcPr>
            <w:tcW w:w="1745" w:type="dxa"/>
          </w:tcPr>
          <w:p w14:paraId="0013EDB6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  <w:commentRangeEnd w:id="3"/>
            <w:r w:rsidR="00AA4B3A">
              <w:rPr>
                <w:rStyle w:val="CommentReference"/>
              </w:rPr>
              <w:commentReference w:id="3"/>
            </w:r>
          </w:p>
        </w:tc>
      </w:tr>
      <w:tr w:rsidR="00740665" w:rsidRPr="003B6A4F" w14:paraId="7F79A727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0070E091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Full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 xml:space="preserve"> migrant</w:t>
            </w:r>
          </w:p>
        </w:tc>
        <w:tc>
          <w:tcPr>
            <w:tcW w:w="1771" w:type="dxa"/>
          </w:tcPr>
          <w:p w14:paraId="0563DDE9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843" w:type="dxa"/>
          </w:tcPr>
          <w:p w14:paraId="6344DCA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1745" w:type="dxa"/>
          </w:tcPr>
          <w:p w14:paraId="63D1B78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47</w:t>
            </w:r>
          </w:p>
        </w:tc>
      </w:tr>
      <w:tr w:rsidR="00740665" w:rsidRPr="003B6A4F" w14:paraId="16A7C7B8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90E7475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3A969EE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14:paraId="3F5B854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745" w:type="dxa"/>
          </w:tcPr>
          <w:p w14:paraId="35158BFA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0.8</w:t>
            </w:r>
            <w:r>
              <w:rPr>
                <w:rFonts w:cs="Times New Roman"/>
                <w:szCs w:val="24"/>
              </w:rPr>
              <w:t>3</w:t>
            </w:r>
          </w:p>
        </w:tc>
      </w:tr>
      <w:tr w:rsidR="00740665" w:rsidRPr="003B6A4F" w14:paraId="26BD9C61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DA5A5C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16D58528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1.0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14:paraId="18621C69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45" w:type="dxa"/>
          </w:tcPr>
          <w:p w14:paraId="06E8A99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51AA0780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3250F6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4FCBC36B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57</w:t>
            </w:r>
          </w:p>
        </w:tc>
        <w:tc>
          <w:tcPr>
            <w:tcW w:w="1843" w:type="dxa"/>
          </w:tcPr>
          <w:p w14:paraId="5714CF2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45" w:type="dxa"/>
          </w:tcPr>
          <w:p w14:paraId="545B67C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43E83BA4" w14:textId="77777777" w:rsidTr="007D013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02EEA62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1868C1D2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14:paraId="05E049BF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0.3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45" w:type="dxa"/>
          </w:tcPr>
          <w:p w14:paraId="0879CE33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0.7</w:t>
            </w:r>
            <w:r>
              <w:rPr>
                <w:rFonts w:cs="Times New Roman"/>
                <w:szCs w:val="24"/>
              </w:rPr>
              <w:t>9</w:t>
            </w:r>
          </w:p>
        </w:tc>
      </w:tr>
    </w:tbl>
    <w:p w14:paraId="3F44D680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4EE5B0C2" w14:textId="127DEEB0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4: Parameter estimates, standard errors, and p values for the mixed model testing the variation of </w:t>
      </w:r>
      <w:r w:rsidR="004C0F60">
        <w:rPr>
          <w:rFonts w:cs="Times New Roman"/>
          <w:color w:val="FF0000"/>
          <w:szCs w:val="24"/>
        </w:rPr>
        <w:t xml:space="preserve">local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richness as a function of the percentage of migratory individuals out of all individual birds sampled per locality, as well as</w:t>
      </w:r>
      <w:r>
        <w:rPr>
          <w:rFonts w:cs="Times New Roman"/>
          <w:szCs w:val="24"/>
        </w:rPr>
        <w:t xml:space="preserve"> other predictors</w:t>
      </w:r>
      <w:r w:rsidRPr="003B6A4F">
        <w:rPr>
          <w:rFonts w:cs="Times New Roman"/>
          <w:szCs w:val="24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740665" w:rsidRPr="003B6A4F" w14:paraId="18D3327F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CBAEE8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0A5D61AD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3B78D8E7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2625F275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2F0A17C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944EA41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63DBC1B0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1.55</w:t>
            </w:r>
          </w:p>
        </w:tc>
        <w:tc>
          <w:tcPr>
            <w:tcW w:w="1843" w:type="dxa"/>
          </w:tcPr>
          <w:p w14:paraId="00A2635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745" w:type="dxa"/>
          </w:tcPr>
          <w:p w14:paraId="70CACC3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r w:rsidRPr="003B6A4F">
              <w:rPr>
                <w:rFonts w:cs="Times New Roman"/>
                <w:szCs w:val="24"/>
              </w:rPr>
              <w:t>0.001</w:t>
            </w:r>
          </w:p>
        </w:tc>
      </w:tr>
      <w:tr w:rsidR="00740665" w:rsidRPr="003B6A4F" w14:paraId="08349602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13E132B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35721A1C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5.38</w:t>
            </w:r>
          </w:p>
        </w:tc>
        <w:tc>
          <w:tcPr>
            <w:tcW w:w="1843" w:type="dxa"/>
          </w:tcPr>
          <w:p w14:paraId="7560749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.17</w:t>
            </w:r>
          </w:p>
        </w:tc>
        <w:tc>
          <w:tcPr>
            <w:tcW w:w="1745" w:type="dxa"/>
          </w:tcPr>
          <w:p w14:paraId="1064DB0F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02</w:t>
            </w:r>
          </w:p>
        </w:tc>
      </w:tr>
      <w:tr w:rsidR="00740665" w:rsidRPr="003B6A4F" w14:paraId="4C86545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46B901C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lastRenderedPageBreak/>
              <w:t>Host richness</w:t>
            </w:r>
          </w:p>
        </w:tc>
        <w:tc>
          <w:tcPr>
            <w:tcW w:w="1412" w:type="dxa"/>
          </w:tcPr>
          <w:p w14:paraId="0D8463A8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2AEFE392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4FFA331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2AF9B9B1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5E71C9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3A40003D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843" w:type="dxa"/>
          </w:tcPr>
          <w:p w14:paraId="4456044B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32EF8CCF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1F8A80B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95582A2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708157B1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843" w:type="dxa"/>
          </w:tcPr>
          <w:p w14:paraId="2D0E0F26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745" w:type="dxa"/>
          </w:tcPr>
          <w:p w14:paraId="0F67E360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0.005</w:t>
            </w:r>
          </w:p>
        </w:tc>
      </w:tr>
      <w:tr w:rsidR="00740665" w:rsidRPr="003B6A4F" w14:paraId="7218BE22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F77BD3A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4FA31304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843" w:type="dxa"/>
          </w:tcPr>
          <w:p w14:paraId="3E1D5C17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0762BDD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0.002</w:t>
            </w:r>
          </w:p>
        </w:tc>
      </w:tr>
    </w:tbl>
    <w:p w14:paraId="3A431BEF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3B9363C9" w14:textId="77777777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5: Parameter estimates, standard errors, and p values for the mixed model testing the variation of local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prevalence per species as a function of the percentage of migratory individuals out of </w:t>
      </w:r>
      <w:bookmarkStart w:id="4" w:name="_Hlk40256828"/>
      <w:r w:rsidRPr="003B6A4F">
        <w:rPr>
          <w:rFonts w:cs="Times New Roman"/>
          <w:szCs w:val="24"/>
        </w:rPr>
        <w:t>all individual birds sampled per locality</w:t>
      </w:r>
      <w:r>
        <w:rPr>
          <w:rFonts w:cs="Times New Roman"/>
          <w:szCs w:val="24"/>
        </w:rPr>
        <w:t xml:space="preserve"> and temperature</w:t>
      </w:r>
      <w:bookmarkEnd w:id="4"/>
      <w:r>
        <w:rPr>
          <w:rFonts w:cs="Times New Roman"/>
          <w:szCs w:val="24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740665" w:rsidRPr="003B6A4F" w14:paraId="19241EB6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2067E632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4CF6CD47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332DF0B7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047860BE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54FB09EB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9BADCC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30B360C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0.86</w:t>
            </w:r>
          </w:p>
        </w:tc>
        <w:tc>
          <w:tcPr>
            <w:tcW w:w="1843" w:type="dxa"/>
          </w:tcPr>
          <w:p w14:paraId="6C959B5F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1.41</w:t>
            </w:r>
          </w:p>
        </w:tc>
        <w:tc>
          <w:tcPr>
            <w:tcW w:w="1745" w:type="dxa"/>
          </w:tcPr>
          <w:p w14:paraId="427671D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</w:tr>
      <w:tr w:rsidR="00740665" w:rsidRPr="003B6A4F" w14:paraId="16D3EDA5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B86605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662EAC0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3.61</w:t>
            </w:r>
          </w:p>
        </w:tc>
        <w:tc>
          <w:tcPr>
            <w:tcW w:w="1843" w:type="dxa"/>
          </w:tcPr>
          <w:p w14:paraId="27896234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1.64</w:t>
            </w:r>
          </w:p>
        </w:tc>
        <w:tc>
          <w:tcPr>
            <w:tcW w:w="1745" w:type="dxa"/>
          </w:tcPr>
          <w:p w14:paraId="5C89357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  <w:tr w:rsidR="00740665" w:rsidRPr="003B6A4F" w14:paraId="354C058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B509241" w14:textId="77777777" w:rsidR="00740665" w:rsidRPr="00B05253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1412" w:type="dxa"/>
          </w:tcPr>
          <w:p w14:paraId="3D07B41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-0.005</w:t>
            </w:r>
          </w:p>
        </w:tc>
        <w:tc>
          <w:tcPr>
            <w:tcW w:w="1843" w:type="dxa"/>
          </w:tcPr>
          <w:p w14:paraId="6B95709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0.005</w:t>
            </w:r>
          </w:p>
        </w:tc>
        <w:tc>
          <w:tcPr>
            <w:tcW w:w="1745" w:type="dxa"/>
          </w:tcPr>
          <w:p w14:paraId="5F0DF3BA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0.32</w:t>
            </w:r>
          </w:p>
        </w:tc>
      </w:tr>
    </w:tbl>
    <w:p w14:paraId="509FBA1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64EF7868" w14:textId="77777777" w:rsidR="00740665" w:rsidRDefault="00740665" w:rsidP="00740665">
      <w:pPr>
        <w:spacing w:line="480" w:lineRule="auto"/>
      </w:pPr>
    </w:p>
    <w:sectPr w:rsidR="0074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20-05-13T15:13:00Z" w:initials="Office">
    <w:p w14:paraId="3C3F66B9" w14:textId="229CC2D2" w:rsidR="00F76B11" w:rsidRDefault="00F76B11">
      <w:pPr>
        <w:pStyle w:val="CommentText"/>
      </w:pPr>
      <w:r>
        <w:rPr>
          <w:rStyle w:val="CommentReference"/>
        </w:rPr>
        <w:annotationRef/>
      </w:r>
      <w:r>
        <w:t>If this is the reference category, does it still get included here along with the others??? As I said before, I am not familiar with the standard way of reporting Bayesian analyses, but this seems weird to me. Maybe you and Antoine can discuss this.</w:t>
      </w:r>
    </w:p>
  </w:comment>
  <w:comment w:id="2" w:author="Microsoft Office User" w:date="2020-05-13T15:16:00Z" w:initials="Office">
    <w:p w14:paraId="314B775F" w14:textId="2AFAD645" w:rsidR="00AA4B3A" w:rsidRDefault="00AA4B3A">
      <w:pPr>
        <w:pStyle w:val="CommentText"/>
      </w:pPr>
      <w:r>
        <w:rPr>
          <w:rStyle w:val="CommentReference"/>
        </w:rPr>
        <w:annotationRef/>
      </w:r>
      <w:r>
        <w:t>Same comment</w:t>
      </w:r>
    </w:p>
  </w:comment>
  <w:comment w:id="3" w:author="Microsoft Office User" w:date="2020-05-13T15:16:00Z" w:initials="Office">
    <w:p w14:paraId="1D41F26D" w14:textId="7C73D9C6" w:rsidR="00AA4B3A" w:rsidRDefault="00AA4B3A">
      <w:pPr>
        <w:pStyle w:val="CommentText"/>
      </w:pPr>
      <w:r>
        <w:rPr>
          <w:rStyle w:val="CommentReference"/>
        </w:rPr>
        <w:annotationRef/>
      </w:r>
      <w:r>
        <w:t>Same comment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3F66B9" w15:done="0"/>
  <w15:commentEx w15:paraId="314B775F" w15:done="0"/>
  <w15:commentEx w15:paraId="1D41F2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65"/>
    <w:rsid w:val="004C0F60"/>
    <w:rsid w:val="00623D0D"/>
    <w:rsid w:val="006D072D"/>
    <w:rsid w:val="00740665"/>
    <w:rsid w:val="007548BA"/>
    <w:rsid w:val="00AA4B3A"/>
    <w:rsid w:val="00F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2BC6"/>
  <w15:chartTrackingRefBased/>
  <w15:docId w15:val="{A1226A7A-707E-4871-9571-3934262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65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7406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76B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B1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B11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B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B1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656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Microsoft Office User</cp:lastModifiedBy>
  <cp:revision>4</cp:revision>
  <dcterms:created xsi:type="dcterms:W3CDTF">2020-05-12T22:39:00Z</dcterms:created>
  <dcterms:modified xsi:type="dcterms:W3CDTF">2020-05-13T03:23:00Z</dcterms:modified>
</cp:coreProperties>
</file>