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11.428640000000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rtl w:val="0"/>
        </w:rPr>
        <w:t xml:space="preserve">3-</w:t>
      </w:r>
      <w:r w:rsidDel="00000000" w:rsidR="00000000" w:rsidRPr="00000000">
        <w:rPr>
          <w:rFonts w:ascii="Times New Roman" w:cs="Times New Roman" w:eastAsia="Times New Roman" w:hAnsi="Times New Roman"/>
          <w:b w:val="1"/>
          <w:i w:val="1"/>
          <w:color w:val="0d0d0d"/>
          <w:sz w:val="24"/>
          <w:szCs w:val="24"/>
          <w:rtl w:val="0"/>
        </w:rPr>
        <w:t xml:space="preserve">Managing Inventory: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widowControl w:val="0"/>
              <w:spacing w:line="411.42864000000003"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Field Name</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06">
            <w:pPr>
              <w:widowControl w:val="0"/>
              <w:spacing w:line="411.42864000000003"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Description</w:t>
            </w:r>
            <w:r w:rsidDel="00000000" w:rsidR="00000000" w:rsidRPr="00000000">
              <w:rPr>
                <w:rtl w:val="0"/>
              </w:rPr>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UC Name</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08">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Managing Inventory</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Summary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0A">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use case involves the inventory manager accessing a comprehensive dashboard to view all cars currently in stock. The dashboard displays relevant information such as make, model, condition, availability, and price. The manager can filter and search through the inventory based on different criteria.</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Dependency</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None (this use case does not depend on other use cases).</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Actors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Primary Actor: Inventory Manager</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F">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Predictions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0">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system must be operational and accessible to the inventory manager.</w:t>
            </w:r>
          </w:p>
        </w:tc>
      </w:tr>
      <w:tr>
        <w:trPr>
          <w:cantSplit w:val="0"/>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Preconditions</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2">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inventory manager must be authenticated and authorized to access the system.</w:t>
            </w:r>
          </w:p>
        </w:tc>
      </w:tr>
      <w:tr>
        <w:trPr>
          <w:cantSplit w:val="0"/>
          <w:trHeight w:val="263.102757421875" w:hRule="atLeast"/>
          <w:tblHeader w:val="0"/>
        </w:trPr>
        <w:tc>
          <w:tcPr>
            <w:tcBorders>
              <w:top w:color="000000" w:space="0" w:sz="0" w:val="nil"/>
              <w:left w:color="e3e3e3" w:space="0" w:sz="6" w:val="single"/>
              <w:bottom w:color="e3e3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widowControl w:val="0"/>
              <w:spacing w:line="411.42864000000003" w:lineRule="auto"/>
              <w:jc w:val="cente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Description of Main Sequence</w:t>
            </w:r>
          </w:p>
        </w:tc>
        <w:tc>
          <w:tcPr>
            <w:tcBorders>
              <w:top w:color="000000" w:space="0" w:sz="0" w:val="nil"/>
              <w:left w:color="e3e3e3" w:space="0" w:sz="6" w:val="single"/>
              <w:bottom w:color="e3e3e3" w:space="0" w:sz="6" w:val="single"/>
              <w:right w:color="e3e3e3" w:space="0" w:sz="6" w:val="single"/>
            </w:tcBorders>
            <w:tcMar>
              <w:top w:w="100.0" w:type="dxa"/>
              <w:left w:w="100.0" w:type="dxa"/>
              <w:bottom w:w="100.0" w:type="dxa"/>
              <w:right w:w="100.0" w:type="dxa"/>
            </w:tcMar>
            <w:vAlign w:val="center"/>
          </w:tcPr>
          <w:p w:rsidR="00000000" w:rsidDel="00000000" w:rsidP="00000000" w:rsidRDefault="00000000" w:rsidRPr="00000000" w14:paraId="00000014">
            <w:pPr>
              <w:widowControl w:val="0"/>
              <w:spacing w:line="411.42864000000003" w:lineRule="auto"/>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The dashboard displays a list of all cars currently in stock, along with relevant information such as make, model, condition, availability, and price.</w:t>
            </w:r>
          </w:p>
          <w:p w:rsidR="00000000" w:rsidDel="00000000" w:rsidP="00000000" w:rsidRDefault="00000000" w:rsidRPr="00000000" w14:paraId="00000015">
            <w:pPr>
              <w:widowControl w:val="0"/>
              <w:spacing w:line="411.42864000000003" w:lineRule="auto"/>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3. The manager utilizes filtering and search functionalities to narrow down the inventory based on criteria such as make, model, condition, and availability.</w:t>
            </w:r>
          </w:p>
          <w:p w:rsidR="00000000" w:rsidDel="00000000" w:rsidP="00000000" w:rsidRDefault="00000000" w:rsidRPr="00000000" w14:paraId="00000016">
            <w:pPr>
              <w:widowControl w:val="0"/>
              <w:spacing w:line="411.42864000000003" w:lineRule="auto"/>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4. The system updates the displayed inventory in real-time as per the manager's filtering and search criteria. |</w:t>
            </w:r>
          </w:p>
          <w:p w:rsidR="00000000" w:rsidDel="00000000" w:rsidP="00000000" w:rsidRDefault="00000000" w:rsidRPr="00000000" w14:paraId="00000017">
            <w:pPr>
              <w:widowControl w:val="0"/>
              <w:spacing w:line="411.42864000000003" w:lineRule="auto"/>
              <w:jc w:val="center"/>
              <w:rPr>
                <w:rFonts w:ascii="Times New Roman" w:cs="Times New Roman" w:eastAsia="Times New Roman" w:hAnsi="Times New Roman"/>
                <w:color w:val="0d0d0d"/>
                <w:sz w:val="24"/>
                <w:szCs w:val="24"/>
              </w:rPr>
            </w:pPr>
            <w:r w:rsidDel="00000000" w:rsidR="00000000" w:rsidRPr="00000000">
              <w:rPr>
                <w:rtl w:val="0"/>
              </w:rPr>
            </w:r>
          </w:p>
        </w:tc>
      </w:tr>
      <w:tr>
        <w:trPr>
          <w:cantSplit w:val="0"/>
          <w:trHeight w:val="4766.049888984375" w:hRule="atLeast"/>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8">
            <w:pPr>
              <w:widowControl w:val="0"/>
              <w:spacing w:line="411.42864000000003" w:lineRule="auto"/>
              <w:jc w:val="left"/>
              <w:rPr>
                <w:rFonts w:ascii="Times New Roman" w:cs="Times New Roman" w:eastAsia="Times New Roman" w:hAnsi="Times New Roman"/>
                <w:color w:val="0d0d0d"/>
                <w:sz w:val="24"/>
                <w:szCs w:val="24"/>
              </w:rPr>
            </w:pP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19">
            <w:pPr>
              <w:widowControl w:val="0"/>
              <w:spacing w:line="411.42864000000003" w:lineRule="auto"/>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 The dashboard displays a list of all cars currently in stock, along with relevant information such as make, model, condition, availability, and price.</w:t>
            </w:r>
          </w:p>
          <w:p w:rsidR="00000000" w:rsidDel="00000000" w:rsidP="00000000" w:rsidRDefault="00000000" w:rsidRPr="00000000" w14:paraId="0000001A">
            <w:pPr>
              <w:widowControl w:val="0"/>
              <w:spacing w:line="411.42864000000003" w:lineRule="auto"/>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3. The manager utilizes filtering and search functionalities to narrow down the inventory based on criteria such as make, model, condition, and availability.</w:t>
            </w:r>
          </w:p>
          <w:p w:rsidR="00000000" w:rsidDel="00000000" w:rsidP="00000000" w:rsidRDefault="00000000" w:rsidRPr="00000000" w14:paraId="0000001B">
            <w:pPr>
              <w:widowControl w:val="0"/>
              <w:spacing w:line="411.42864000000003" w:lineRule="auto"/>
              <w:jc w:val="left"/>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4. The system updates the displayed inventory in real-time as per the manager's filtering and search criteria. |</w:t>
            </w:r>
          </w:p>
          <w:p w:rsidR="00000000" w:rsidDel="00000000" w:rsidP="00000000" w:rsidRDefault="00000000" w:rsidRPr="00000000" w14:paraId="0000001C">
            <w:pPr>
              <w:widowControl w:val="0"/>
              <w:spacing w:line="411.42864000000003" w:lineRule="auto"/>
              <w:jc w:val="center"/>
              <w:rPr>
                <w:rFonts w:ascii="Times New Roman" w:cs="Times New Roman" w:eastAsia="Times New Roman" w:hAnsi="Times New Roman"/>
                <w:color w:val="0d0d0d"/>
                <w:sz w:val="24"/>
                <w:szCs w:val="24"/>
              </w:rPr>
            </w:pPr>
            <w:r w:rsidDel="00000000" w:rsidR="00000000" w:rsidRPr="00000000">
              <w:rPr>
                <w:rtl w:val="0"/>
              </w:rPr>
            </w:r>
          </w:p>
        </w:tc>
      </w:tr>
      <w:tr>
        <w:trPr>
          <w:cantSplit w:val="0"/>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1D">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Non-functional requirements </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1E">
            <w:pPr>
              <w:widowControl w:val="0"/>
              <w:spacing w:line="411.42864000000003"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Performance: </w:t>
            </w:r>
            <w:r w:rsidDel="00000000" w:rsidR="00000000" w:rsidRPr="00000000">
              <w:rPr>
                <w:rFonts w:ascii="Times New Roman" w:cs="Times New Roman" w:eastAsia="Times New Roman" w:hAnsi="Times New Roman"/>
                <w:color w:val="0d0d0d"/>
                <w:sz w:val="24"/>
                <w:szCs w:val="24"/>
                <w:highlight w:val="white"/>
                <w:rtl w:val="0"/>
              </w:rPr>
              <w:t xml:space="preserve">The system should provide fast response times when loading and updating inventory data.</w:t>
            </w:r>
          </w:p>
          <w:p w:rsidR="00000000" w:rsidDel="00000000" w:rsidP="00000000" w:rsidRDefault="00000000" w:rsidRPr="00000000" w14:paraId="0000001F">
            <w:pPr>
              <w:widowControl w:val="0"/>
              <w:spacing w:line="411.42864000000003"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Security: </w:t>
            </w:r>
            <w:r w:rsidDel="00000000" w:rsidR="00000000" w:rsidRPr="00000000">
              <w:rPr>
                <w:rFonts w:ascii="Times New Roman" w:cs="Times New Roman" w:eastAsia="Times New Roman" w:hAnsi="Times New Roman"/>
                <w:color w:val="0d0d0d"/>
                <w:sz w:val="24"/>
                <w:szCs w:val="24"/>
                <w:highlight w:val="white"/>
                <w:rtl w:val="0"/>
              </w:rPr>
              <w:t xml:space="preserve">Access to the inventory management dashboard should be restricted to authorized inventory managers only.</w:t>
            </w:r>
          </w:p>
          <w:p w:rsidR="00000000" w:rsidDel="00000000" w:rsidP="00000000" w:rsidRDefault="00000000" w:rsidRPr="00000000" w14:paraId="00000020">
            <w:pPr>
              <w:widowControl w:val="0"/>
              <w:spacing w:line="411.42864000000003"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u w:val="single"/>
                <w:rtl w:val="0"/>
              </w:rPr>
              <w:t xml:space="preserve">Usability: </w:t>
            </w:r>
            <w:r w:rsidDel="00000000" w:rsidR="00000000" w:rsidRPr="00000000">
              <w:rPr>
                <w:rFonts w:ascii="Times New Roman" w:cs="Times New Roman" w:eastAsia="Times New Roman" w:hAnsi="Times New Roman"/>
                <w:color w:val="0d0d0d"/>
                <w:sz w:val="24"/>
                <w:szCs w:val="24"/>
                <w:highlight w:val="white"/>
                <w:rtl w:val="0"/>
              </w:rPr>
              <w:t xml:space="preserve">The dashboard should be user-friendly and intuitive, facilitating easy navigation and data exploration for the inventory manager. </w:t>
            </w:r>
          </w:p>
        </w:tc>
      </w:tr>
      <w:tr>
        <w:trPr>
          <w:cantSplit w:val="0"/>
          <w:tblHeader w:val="0"/>
        </w:trPr>
        <w:tc>
          <w:tcPr>
            <w:tcBorders>
              <w:top w:color="e3e3e3" w:space="0" w:sz="6" w:val="single"/>
              <w:left w:color="e3e3e3" w:space="0" w:sz="6" w:val="single"/>
              <w:bottom w:color="e3e3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21">
            <w:pPr>
              <w:widowControl w:val="0"/>
              <w:spacing w:line="411.42864000000003"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Postconditions </w:t>
            </w:r>
            <w:r w:rsidDel="00000000" w:rsidR="00000000" w:rsidRPr="00000000">
              <w:rPr>
                <w:rtl w:val="0"/>
              </w:rPr>
            </w:r>
          </w:p>
        </w:tc>
        <w:tc>
          <w:tcPr>
            <w:tcBorders>
              <w:top w:color="e3e3e3" w:space="0" w:sz="6" w:val="single"/>
              <w:left w:color="e3e3e3" w:space="0" w:sz="6" w:val="single"/>
              <w:bottom w:color="e3e3e3" w:space="0" w:sz="6" w:val="single"/>
              <w:right w:color="e3e3e3" w:space="0" w:sz="6" w:val="single"/>
            </w:tcBorders>
            <w:tcMar>
              <w:top w:w="100.0" w:type="dxa"/>
              <w:left w:w="100.0" w:type="dxa"/>
              <w:bottom w:w="100.0" w:type="dxa"/>
              <w:right w:w="100.0" w:type="dxa"/>
            </w:tcMar>
            <w:vAlign w:val="bottom"/>
          </w:tcPr>
          <w:p w:rsidR="00000000" w:rsidDel="00000000" w:rsidP="00000000" w:rsidRDefault="00000000" w:rsidRPr="00000000" w14:paraId="00000022">
            <w:pPr>
              <w:widowControl w:val="0"/>
              <w:spacing w:line="411.42864000000003" w:lineRule="auto"/>
              <w:jc w:val="cente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inventory manager successfully views and manages the inventory based on their filtering and search criteria.s</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