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8"/>
        </w:rPr>
        <w:t>MEMORANDUM</w:t>
      </w:r>
    </w:p>
    <w:tbl>
      <w:tblPr>
        <w:tblW w:type="auto" w:w="0"/>
        <w:jc w:val="left"/>
        <w:tblLayout w:type="fixed"/>
        <w:tblLook w:firstColumn="1" w:firstRow="1" w:lastColumn="0" w:lastRow="0" w:noHBand="0" w:noVBand="1" w:val="04A0"/>
      </w:tblPr>
      <w:tblGrid>
        <w:gridCol w:w="4680"/>
        <w:gridCol w:w="4680"/>
      </w:tblGrid>
      <w:tr>
        <w:tc>
          <w:tcPr>
            <w:tcW w:type="dxa" w:w="1728"/>
          </w:tcPr>
          <w:p>
            <w:pPr>
              <w:spacing w:after="40" w:before="40"/>
            </w:pPr>
            <w:r>
              <w:rPr>
                <w:b/>
                <w:color w:val="1B365D"/>
                <w:sz w:val="21"/>
              </w:rPr>
              <w:t>TO:</w:t>
            </w:r>
          </w:p>
        </w:tc>
        <w:tc>
          <w:tcPr>
            <w:tcW w:type="dxa" w:w="7632"/>
          </w:tcPr>
          <w:p>
            <w:pPr>
              <w:spacing w:after="40" w:before="40"/>
            </w:pPr>
            <w:r>
              <w:rPr>
                <w:sz w:val="21"/>
              </w:rPr>
              <w:t>Vice President of Population Health, Meridian Care Network</w:t>
            </w:r>
          </w:p>
        </w:tc>
      </w:tr>
      <w:tr>
        <w:tc>
          <w:tcPr>
            <w:tcW w:type="dxa" w:w="1728"/>
          </w:tcPr>
          <w:p>
            <w:pPr>
              <w:spacing w:after="40" w:before="40"/>
            </w:pPr>
            <w:r>
              <w:rPr>
                <w:b/>
                <w:color w:val="1B365D"/>
                <w:sz w:val="21"/>
              </w:rPr>
              <w:t>FROM:</w:t>
            </w:r>
          </w:p>
        </w:tc>
        <w:tc>
          <w:tcPr>
            <w:tcW w:type="dxa" w:w="7632"/>
          </w:tcPr>
          <w:p>
            <w:pPr>
              <w:spacing w:after="40" w:before="40"/>
            </w:pPr>
            <w:r>
              <w:rPr>
                <w:sz w:val="21"/>
              </w:rPr>
              <w:t>Daniella Egbuniwe, Data Analyst</w:t>
            </w:r>
          </w:p>
        </w:tc>
      </w:tr>
      <w:tr>
        <w:tc>
          <w:tcPr>
            <w:tcW w:type="dxa" w:w="1728"/>
          </w:tcPr>
          <w:p>
            <w:pPr>
              <w:spacing w:after="40" w:before="40"/>
            </w:pPr>
            <w:r>
              <w:rPr>
                <w:b/>
                <w:color w:val="1B365D"/>
                <w:sz w:val="21"/>
              </w:rPr>
              <w:t>DATE:</w:t>
            </w:r>
          </w:p>
        </w:tc>
        <w:tc>
          <w:tcPr>
            <w:tcW w:type="dxa" w:w="7632"/>
          </w:tcPr>
          <w:p>
            <w:pPr>
              <w:spacing w:after="40" w:before="40"/>
            </w:pPr>
            <w:r>
              <w:rPr>
                <w:sz w:val="21"/>
              </w:rPr>
              <w:t>October 9, 2026</w:t>
            </w:r>
          </w:p>
        </w:tc>
      </w:tr>
      <w:tr>
        <w:tc>
          <w:tcPr>
            <w:tcW w:type="dxa" w:w="1728"/>
          </w:tcPr>
          <w:p>
            <w:pPr>
              <w:spacing w:after="40" w:before="40"/>
            </w:pPr>
            <w:r>
              <w:rPr>
                <w:b/>
                <w:color w:val="1B365D"/>
                <w:sz w:val="21"/>
              </w:rPr>
              <w:t>SUBJECT:</w:t>
            </w:r>
          </w:p>
        </w:tc>
        <w:tc>
          <w:tcPr>
            <w:tcW w:type="dxa" w:w="7632"/>
          </w:tcPr>
          <w:p>
            <w:pPr>
              <w:spacing w:after="40" w:before="40"/>
            </w:pPr>
            <w:r>
              <w:rPr>
                <w:b/>
                <w:sz w:val="21"/>
              </w:rPr>
              <w:t>Operational Strategy &amp; Risk-Stratified Care Coordination for 30-Day Diabetic Readmissions</w:t>
            </w:r>
          </w:p>
        </w:tc>
      </w:tr>
    </w:tbl>
    <w:p>
      <w:pPr>
        <w:spacing w:before="120" w:after="240"/>
        <w:pBdr>
          <w:bottom w:val="single" w:sz="12" w:space="1" w:color="1B365D"/>
        </w:pBdr>
      </w:pPr>
    </w:p>
    <w:p>
      <w:pPr>
        <w:keepNext/>
        <w:spacing w:before="280" w:after="80"/>
      </w:pPr>
      <w:r>
        <w:rPr>
          <w:rFonts w:ascii="Calibri" w:hAnsi="Calibri"/>
          <w:b/>
          <w:color w:val="1B365D"/>
          <w:sz w:val="26"/>
        </w:rPr>
        <w:t>EXECUTIVE SUMMARY</w:t>
      </w:r>
    </w:p>
    <w:p>
      <w:pPr>
        <w:spacing w:after="120" w:line="276" w:lineRule="auto"/>
      </w:pPr>
      <w:r>
        <w:t>Meridian Care Network faces rising 30-day readmissions among diabetic inpatients. Historically, post-discharge follow-up care has been distributed uniformly across all diabetic discharges, resulting in inefficient resource allocation and unmitigated hospital readmission rates.</w:t>
      </w:r>
    </w:p>
    <w:p>
      <w:pPr>
        <w:spacing w:after="120" w:line="276" w:lineRule="auto"/>
      </w:pPr>
      <w:r>
        <w:t>To solve this, I developed a point-of-discharge Analytical Risk Stratification Framework. By evaluating 99,343 eligible inpatient encounters (after excluding 2,423 deceased/hospice cases), this model classifies discharges into targeted risk tiers:</w:t>
      </w:r>
    </w:p>
    <w:p>
      <w:pPr>
        <w:pStyle w:val="ListBullet"/>
        <w:spacing w:after="60" w:line="276" w:lineRule="auto"/>
      </w:pPr>
      <w:r>
        <w:rPr>
          <w:b/>
          <w:color w:val="1B365D"/>
        </w:rPr>
        <w:t xml:space="preserve">Baseline Readmission Rate: </w:t>
      </w:r>
      <w:r>
        <w:t>11.39% across all eligible encounters (11,314 readmissions out of 99,343 encounters).</w:t>
      </w:r>
    </w:p>
    <w:p>
      <w:pPr>
        <w:pStyle w:val="ListBullet"/>
        <w:spacing w:after="60" w:line="276" w:lineRule="auto"/>
      </w:pPr>
      <w:r>
        <w:rPr>
          <w:b/>
          <w:color w:val="1B365D"/>
        </w:rPr>
        <w:t xml:space="preserve">Targeting Efficiency: </w:t>
      </w:r>
      <w:r>
        <w:t>The High Risk Tier accounts for 56.20% of total hospital encounters (55,830 stays) but captures 68.35% of all 30-day readmissions (7,733 readmissions), exhibiting an elevated readmission rate of 13.85%.</w:t>
      </w:r>
    </w:p>
    <w:p>
      <w:pPr>
        <w:pStyle w:val="ListBullet"/>
        <w:spacing w:after="60" w:line="276" w:lineRule="auto"/>
      </w:pPr>
      <w:r>
        <w:rPr>
          <w:b/>
          <w:color w:val="1B365D"/>
        </w:rPr>
        <w:t xml:space="preserve">Resource Optimization: </w:t>
      </w:r>
      <w:r>
        <w:t>Rather than attempting to coordinate care for 100% of discharges (requiring ~40.9 FTE coordinators), focusing on the High-Risk Tier requires 23.0 Full-Time Equivalent (FTE) Care Coordinators (assuming 45 minutes per patient across a 35-hour workweek), making care delivery operationally feasible and budget-aligned.</w:t>
      </w:r>
    </w:p>
    <w:p>
      <w:pPr>
        <w:keepNext/>
        <w:spacing w:before="280" w:after="80"/>
      </w:pPr>
      <w:r>
        <w:rPr>
          <w:rFonts w:ascii="Calibri" w:hAnsi="Calibri"/>
          <w:b/>
          <w:color w:val="1B365D"/>
          <w:sz w:val="26"/>
        </w:rPr>
        <w:t>KEY CLINICAL &amp; OPERATIONAL RISK MARKERS</w:t>
      </w:r>
    </w:p>
    <w:p>
      <w:pPr>
        <w:pStyle w:val="ListBullet"/>
        <w:spacing w:after="60" w:line="276" w:lineRule="auto"/>
      </w:pPr>
      <w:r>
        <w:rPr>
          <w:b/>
          <w:color w:val="1B365D"/>
        </w:rPr>
        <w:t xml:space="preserve">Prior Inpatient Utilization: </w:t>
      </w:r>
      <w:r>
        <w:t>Prior hospital stays serve as the single strongest predictor of 30-day readmission. Encounters with 1 or more prior inpatient stays exhibit readmission rates exceeding 20%.</w:t>
      </w:r>
    </w:p>
    <w:p>
      <w:pPr>
        <w:pStyle w:val="ListBullet"/>
        <w:spacing w:after="60" w:line="276" w:lineRule="auto"/>
      </w:pPr>
      <w:r>
        <w:rPr>
          <w:b/>
          <w:color w:val="1B365D"/>
        </w:rPr>
        <w:t xml:space="preserve">Length of Stay (LOS) &amp; Medication Complexity: </w:t>
      </w:r>
      <w:r>
        <w:t>Encounters with a hospital length of stay &gt;= 5 days and medication counts &gt;= 15 show a compounded readmission risk.</w:t>
      </w:r>
    </w:p>
    <w:p>
      <w:pPr>
        <w:pStyle w:val="ListBullet"/>
        <w:spacing w:after="60" w:line="276" w:lineRule="auto"/>
      </w:pPr>
      <w:r>
        <w:rPr>
          <w:b/>
          <w:color w:val="1B365D"/>
        </w:rPr>
        <w:t xml:space="preserve">Emergency Admission Types: </w:t>
      </w:r>
      <w:r>
        <w:t>Emergency-admitted patients consistently show higher post-discharge volatility compared to elective stays.</w:t>
      </w:r>
    </w:p>
    <w:p>
      <w:pPr>
        <w:pStyle w:val="ListBullet"/>
        <w:spacing w:after="60" w:line="276" w:lineRule="auto"/>
      </w:pPr>
      <w:r>
        <w:rPr>
          <w:b/>
          <w:color w:val="1B365D"/>
        </w:rPr>
        <w:t xml:space="preserve">Diagnosis Depth (Bonus Analysis): </w:t>
      </w:r>
      <w:r>
        <w:t>Readmission rates scale directly with diagnostic burden, rising steadily from 1-3 diagnoses (7.4%) to peak at 9+ diagnoses (12.6%).</w:t>
      </w:r>
    </w:p>
    <w:p>
      <w:pPr>
        <w:pStyle w:val="ListBullet"/>
        <w:spacing w:after="60" w:line="276" w:lineRule="auto"/>
      </w:pPr>
      <w:r>
        <w:rPr>
          <w:b/>
          <w:color w:val="1B365D"/>
        </w:rPr>
        <w:t xml:space="preserve">Discharge Disposition Dynamics (Bonus Analysis): </w:t>
      </w:r>
      <w:r>
        <w:t>Controlling for length of stay, patients discharged to Skilled Nursing Facilities (SNFs) or Home Health Care consistently demonstrate elevated readmission rates across short, medium, and long hospital stays compared to those discharged directly home.</w:t>
      </w:r>
    </w:p>
    <w:p>
      <w:pPr>
        <w:keepNext/>
        <w:spacing w:before="280" w:after="80"/>
      </w:pPr>
      <w:r>
        <w:rPr>
          <w:rFonts w:ascii="Calibri" w:hAnsi="Calibri"/>
          <w:b/>
          <w:color w:val="1B365D"/>
          <w:sz w:val="26"/>
        </w:rPr>
        <w:t>RISK STRATIFICATION MODEL &amp; WORKLOAD IMPACT</w:t>
      </w:r>
    </w:p>
    <w:p>
      <w:pPr>
        <w:spacing w:after="120" w:line="276" w:lineRule="auto"/>
      </w:pPr>
      <w:r>
        <w:t xml:space="preserve">An additive Risk Score (0 to 4) was constructed at discharge based on 4 criteria: </w:t>
        <w:br/>
        <w:t>• Inpatient Visits (&gt;= 1)  • Length of Stay (&gt;= 5 days)  • Medications (&gt;= 15)  • Emergency Admission (= 1)</w:t>
        <w:br/>
        <w:t>Encounters scoring &gt;= 2 are designated as the High Risk Tier.</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3600"/>
            <w:shd w:fill="1B365D"/>
            <w:tcMar>
              <w:top w:w="120" w:type="dxa"/>
              <w:bottom w:w="120" w:type="dxa"/>
              <w:left w:w="150" w:type="dxa"/>
              <w:right w:w="150" w:type="dxa"/>
            </w:tcMar>
          </w:tcPr>
          <w:p>
            <w:pPr>
              <w:spacing w:after="0" w:before="0"/>
              <w:jc w:val="left"/>
            </w:pPr>
            <w:r>
              <w:rPr>
                <w:b/>
                <w:color w:val="FFFFFF"/>
                <w:sz w:val="19"/>
              </w:rPr>
              <w:t>Metric / Cohort</w:t>
            </w:r>
          </w:p>
        </w:tc>
        <w:tc>
          <w:tcPr>
            <w:tcW w:type="dxa" w:w="1872"/>
            <w:shd w:fill="1B365D"/>
            <w:tcMar>
              <w:top w:w="120" w:type="dxa"/>
              <w:bottom w:w="120" w:type="dxa"/>
              <w:left w:w="150" w:type="dxa"/>
              <w:right w:w="150" w:type="dxa"/>
            </w:tcMar>
          </w:tcPr>
          <w:p>
            <w:pPr>
              <w:spacing w:after="0" w:before="0"/>
              <w:jc w:val="right"/>
            </w:pPr>
            <w:r>
              <w:rPr>
                <w:b/>
                <w:color w:val="FFFFFF"/>
                <w:sz w:val="19"/>
              </w:rPr>
              <w:t>Total Network Volume</w:t>
            </w:r>
          </w:p>
        </w:tc>
        <w:tc>
          <w:tcPr>
            <w:tcW w:type="dxa" w:w="1872"/>
            <w:shd w:fill="1B365D"/>
            <w:tcMar>
              <w:top w:w="120" w:type="dxa"/>
              <w:bottom w:w="120" w:type="dxa"/>
              <w:left w:w="150" w:type="dxa"/>
              <w:right w:w="150" w:type="dxa"/>
            </w:tcMar>
          </w:tcPr>
          <w:p>
            <w:pPr>
              <w:spacing w:after="0" w:before="0"/>
              <w:jc w:val="right"/>
            </w:pPr>
            <w:r>
              <w:rPr>
                <w:b/>
                <w:color w:val="FFFFFF"/>
                <w:sz w:val="19"/>
              </w:rPr>
              <w:t>High-Risk Tier (&gt;=2)</w:t>
            </w:r>
          </w:p>
        </w:tc>
        <w:tc>
          <w:tcPr>
            <w:tcW w:type="dxa" w:w="2016"/>
            <w:shd w:fill="1B365D"/>
            <w:tcMar>
              <w:top w:w="120" w:type="dxa"/>
              <w:bottom w:w="120" w:type="dxa"/>
              <w:left w:w="150" w:type="dxa"/>
              <w:right w:w="150" w:type="dxa"/>
            </w:tcMar>
          </w:tcPr>
          <w:p>
            <w:pPr>
              <w:spacing w:after="0" w:before="0"/>
              <w:jc w:val="right"/>
            </w:pPr>
            <w:r>
              <w:rPr>
                <w:b/>
                <w:color w:val="FFFFFF"/>
                <w:sz w:val="19"/>
              </w:rPr>
              <w:t>Standard Tier (&lt;2)</w:t>
            </w:r>
          </w:p>
        </w:tc>
      </w:tr>
      <w:tr>
        <w:tc>
          <w:tcPr>
            <w:tcW w:type="dxa" w:w="3600"/>
            <w:shd w:fill="FFFFFF"/>
            <w:tcMar>
              <w:top w:w="100" w:type="dxa"/>
              <w:bottom w:w="100" w:type="dxa"/>
              <w:left w:w="150" w:type="dxa"/>
              <w:right w:w="150" w:type="dxa"/>
            </w:tcMar>
          </w:tcPr>
          <w:p>
            <w:pPr>
              <w:spacing w:after="0" w:before="0"/>
              <w:jc w:val="left"/>
            </w:pPr>
            <w:r>
              <w:rPr>
                <w:sz w:val="19"/>
              </w:rPr>
              <w:t>Total Encounters</w:t>
            </w:r>
          </w:p>
        </w:tc>
        <w:tc>
          <w:tcPr>
            <w:tcW w:type="dxa" w:w="1872"/>
            <w:shd w:fill="FFFFFF"/>
            <w:tcMar>
              <w:top w:w="100" w:type="dxa"/>
              <w:bottom w:w="100" w:type="dxa"/>
              <w:left w:w="150" w:type="dxa"/>
              <w:right w:w="150" w:type="dxa"/>
            </w:tcMar>
          </w:tcPr>
          <w:p>
            <w:pPr>
              <w:spacing w:after="0" w:before="0"/>
              <w:jc w:val="right"/>
            </w:pPr>
            <w:r>
              <w:rPr>
                <w:sz w:val="19"/>
              </w:rPr>
              <w:t>99,343 (100%)</w:t>
            </w:r>
          </w:p>
        </w:tc>
        <w:tc>
          <w:tcPr>
            <w:tcW w:type="dxa" w:w="1872"/>
            <w:shd w:fill="FFFFFF"/>
            <w:tcMar>
              <w:top w:w="100" w:type="dxa"/>
              <w:bottom w:w="100" w:type="dxa"/>
              <w:left w:w="150" w:type="dxa"/>
              <w:right w:w="150" w:type="dxa"/>
            </w:tcMar>
          </w:tcPr>
          <w:p>
            <w:pPr>
              <w:spacing w:after="0" w:before="0"/>
              <w:jc w:val="right"/>
            </w:pPr>
            <w:r>
              <w:rPr>
                <w:b/>
                <w:sz w:val="19"/>
              </w:rPr>
              <w:t>55,830 (56.20%)</w:t>
            </w:r>
          </w:p>
        </w:tc>
        <w:tc>
          <w:tcPr>
            <w:tcW w:type="dxa" w:w="2016"/>
            <w:shd w:fill="FFFFFF"/>
            <w:tcMar>
              <w:top w:w="100" w:type="dxa"/>
              <w:bottom w:w="100" w:type="dxa"/>
              <w:left w:w="150" w:type="dxa"/>
              <w:right w:w="150" w:type="dxa"/>
            </w:tcMar>
          </w:tcPr>
          <w:p>
            <w:pPr>
              <w:spacing w:after="0" w:before="0"/>
              <w:jc w:val="right"/>
            </w:pPr>
            <w:r>
              <w:rPr>
                <w:sz w:val="19"/>
              </w:rPr>
              <w:t>43,513 (43.80%)</w:t>
            </w:r>
          </w:p>
        </w:tc>
      </w:tr>
      <w:tr>
        <w:tc>
          <w:tcPr>
            <w:tcW w:type="dxa" w:w="3600"/>
            <w:shd w:fill="F4F6F8"/>
            <w:tcMar>
              <w:top w:w="100" w:type="dxa"/>
              <w:bottom w:w="100" w:type="dxa"/>
              <w:left w:w="150" w:type="dxa"/>
              <w:right w:w="150" w:type="dxa"/>
            </w:tcMar>
          </w:tcPr>
          <w:p>
            <w:pPr>
              <w:spacing w:after="0" w:before="0"/>
              <w:jc w:val="left"/>
            </w:pPr>
            <w:r>
              <w:rPr>
                <w:sz w:val="19"/>
              </w:rPr>
              <w:t>30-Day Readmissions</w:t>
            </w:r>
          </w:p>
        </w:tc>
        <w:tc>
          <w:tcPr>
            <w:tcW w:type="dxa" w:w="1872"/>
            <w:shd w:fill="F4F6F8"/>
            <w:tcMar>
              <w:top w:w="100" w:type="dxa"/>
              <w:bottom w:w="100" w:type="dxa"/>
              <w:left w:w="150" w:type="dxa"/>
              <w:right w:w="150" w:type="dxa"/>
            </w:tcMar>
          </w:tcPr>
          <w:p>
            <w:pPr>
              <w:spacing w:after="0" w:before="0"/>
              <w:jc w:val="right"/>
            </w:pPr>
            <w:r>
              <w:rPr>
                <w:sz w:val="19"/>
              </w:rPr>
              <w:t>11,314 (100%)</w:t>
            </w:r>
          </w:p>
        </w:tc>
        <w:tc>
          <w:tcPr>
            <w:tcW w:type="dxa" w:w="1872"/>
            <w:shd w:fill="F4F6F8"/>
            <w:tcMar>
              <w:top w:w="100" w:type="dxa"/>
              <w:bottom w:w="100" w:type="dxa"/>
              <w:left w:w="150" w:type="dxa"/>
              <w:right w:w="150" w:type="dxa"/>
            </w:tcMar>
          </w:tcPr>
          <w:p>
            <w:pPr>
              <w:spacing w:after="0" w:before="0"/>
              <w:jc w:val="right"/>
            </w:pPr>
            <w:r>
              <w:rPr>
                <w:b/>
                <w:sz w:val="19"/>
              </w:rPr>
              <w:t>7,733 (68.35%)</w:t>
            </w:r>
          </w:p>
        </w:tc>
        <w:tc>
          <w:tcPr>
            <w:tcW w:type="dxa" w:w="2016"/>
            <w:shd w:fill="F4F6F8"/>
            <w:tcMar>
              <w:top w:w="100" w:type="dxa"/>
              <w:bottom w:w="100" w:type="dxa"/>
              <w:left w:w="150" w:type="dxa"/>
              <w:right w:w="150" w:type="dxa"/>
            </w:tcMar>
          </w:tcPr>
          <w:p>
            <w:pPr>
              <w:spacing w:after="0" w:before="0"/>
              <w:jc w:val="right"/>
            </w:pPr>
            <w:r>
              <w:rPr>
                <w:sz w:val="19"/>
              </w:rPr>
              <w:t>3,581 (31.65%)</w:t>
            </w:r>
          </w:p>
        </w:tc>
      </w:tr>
      <w:tr>
        <w:tc>
          <w:tcPr>
            <w:tcW w:type="dxa" w:w="3600"/>
            <w:shd w:fill="FFFFFF"/>
            <w:tcMar>
              <w:top w:w="100" w:type="dxa"/>
              <w:bottom w:w="100" w:type="dxa"/>
              <w:left w:w="150" w:type="dxa"/>
              <w:right w:w="150" w:type="dxa"/>
            </w:tcMar>
          </w:tcPr>
          <w:p>
            <w:pPr>
              <w:spacing w:after="0" w:before="0"/>
              <w:jc w:val="left"/>
            </w:pPr>
            <w:r>
              <w:rPr>
                <w:sz w:val="19"/>
              </w:rPr>
              <w:t>Observed Readmission Rate</w:t>
            </w:r>
          </w:p>
        </w:tc>
        <w:tc>
          <w:tcPr>
            <w:tcW w:type="dxa" w:w="1872"/>
            <w:shd w:fill="FFFFFF"/>
            <w:tcMar>
              <w:top w:w="100" w:type="dxa"/>
              <w:bottom w:w="100" w:type="dxa"/>
              <w:left w:w="150" w:type="dxa"/>
              <w:right w:w="150" w:type="dxa"/>
            </w:tcMar>
          </w:tcPr>
          <w:p>
            <w:pPr>
              <w:spacing w:after="0" w:before="0"/>
              <w:jc w:val="right"/>
            </w:pPr>
            <w:r>
              <w:rPr>
                <w:sz w:val="19"/>
              </w:rPr>
              <w:t>11.39%</w:t>
            </w:r>
          </w:p>
        </w:tc>
        <w:tc>
          <w:tcPr>
            <w:tcW w:type="dxa" w:w="1872"/>
            <w:shd w:fill="FFFFFF"/>
            <w:tcMar>
              <w:top w:w="100" w:type="dxa"/>
              <w:bottom w:w="100" w:type="dxa"/>
              <w:left w:w="150" w:type="dxa"/>
              <w:right w:w="150" w:type="dxa"/>
            </w:tcMar>
          </w:tcPr>
          <w:p>
            <w:pPr>
              <w:spacing w:after="0" w:before="0"/>
              <w:jc w:val="right"/>
            </w:pPr>
            <w:r>
              <w:rPr>
                <w:b/>
                <w:sz w:val="19"/>
              </w:rPr>
              <w:t>13.85%</w:t>
            </w:r>
          </w:p>
        </w:tc>
        <w:tc>
          <w:tcPr>
            <w:tcW w:type="dxa" w:w="2016"/>
            <w:shd w:fill="FFFFFF"/>
            <w:tcMar>
              <w:top w:w="100" w:type="dxa"/>
              <w:bottom w:w="100" w:type="dxa"/>
              <w:left w:w="150" w:type="dxa"/>
              <w:right w:w="150" w:type="dxa"/>
            </w:tcMar>
          </w:tcPr>
          <w:p>
            <w:pPr>
              <w:spacing w:after="0" w:before="0"/>
              <w:jc w:val="right"/>
            </w:pPr>
            <w:r>
              <w:rPr>
                <w:sz w:val="19"/>
              </w:rPr>
              <w:t>8.23%</w:t>
            </w:r>
          </w:p>
        </w:tc>
      </w:tr>
      <w:tr>
        <w:tc>
          <w:tcPr>
            <w:tcW w:type="dxa" w:w="3600"/>
            <w:shd w:fill="F4F6F8"/>
            <w:tcMar>
              <w:top w:w="100" w:type="dxa"/>
              <w:bottom w:w="100" w:type="dxa"/>
              <w:left w:w="150" w:type="dxa"/>
              <w:right w:w="150" w:type="dxa"/>
            </w:tcMar>
          </w:tcPr>
          <w:p>
            <w:pPr>
              <w:spacing w:after="0" w:before="0"/>
              <w:jc w:val="left"/>
            </w:pPr>
            <w:r>
              <w:rPr>
                <w:sz w:val="19"/>
              </w:rPr>
              <w:t>Weekly Encounter Volume</w:t>
            </w:r>
          </w:p>
        </w:tc>
        <w:tc>
          <w:tcPr>
            <w:tcW w:type="dxa" w:w="1872"/>
            <w:shd w:fill="F4F6F8"/>
            <w:tcMar>
              <w:top w:w="100" w:type="dxa"/>
              <w:bottom w:w="100" w:type="dxa"/>
              <w:left w:w="150" w:type="dxa"/>
              <w:right w:w="150" w:type="dxa"/>
            </w:tcMar>
          </w:tcPr>
          <w:p>
            <w:pPr>
              <w:spacing w:after="0" w:before="0"/>
              <w:jc w:val="right"/>
            </w:pPr>
            <w:r>
              <w:rPr>
                <w:sz w:val="19"/>
              </w:rPr>
              <w:t>1,910 stays/wk</w:t>
            </w:r>
          </w:p>
        </w:tc>
        <w:tc>
          <w:tcPr>
            <w:tcW w:type="dxa" w:w="1872"/>
            <w:shd w:fill="F4F6F8"/>
            <w:tcMar>
              <w:top w:w="100" w:type="dxa"/>
              <w:bottom w:w="100" w:type="dxa"/>
              <w:left w:w="150" w:type="dxa"/>
              <w:right w:w="150" w:type="dxa"/>
            </w:tcMar>
          </w:tcPr>
          <w:p>
            <w:pPr>
              <w:spacing w:after="0" w:before="0"/>
              <w:jc w:val="right"/>
            </w:pPr>
            <w:r>
              <w:rPr>
                <w:b/>
                <w:sz w:val="19"/>
              </w:rPr>
              <w:t>1,074 stays/wk</w:t>
            </w:r>
          </w:p>
        </w:tc>
        <w:tc>
          <w:tcPr>
            <w:tcW w:type="dxa" w:w="2016"/>
            <w:shd w:fill="F4F6F8"/>
            <w:tcMar>
              <w:top w:w="100" w:type="dxa"/>
              <w:bottom w:w="100" w:type="dxa"/>
              <w:left w:w="150" w:type="dxa"/>
              <w:right w:w="150" w:type="dxa"/>
            </w:tcMar>
          </w:tcPr>
          <w:p>
            <w:pPr>
              <w:spacing w:after="0" w:before="0"/>
              <w:jc w:val="right"/>
            </w:pPr>
            <w:r>
              <w:rPr>
                <w:sz w:val="19"/>
              </w:rPr>
              <w:t>837 stays/wk</w:t>
            </w:r>
          </w:p>
        </w:tc>
      </w:tr>
      <w:tr>
        <w:tc>
          <w:tcPr>
            <w:tcW w:type="dxa" w:w="3600"/>
            <w:shd w:fill="FFFFFF"/>
            <w:tcMar>
              <w:top w:w="100" w:type="dxa"/>
              <w:bottom w:w="100" w:type="dxa"/>
              <w:left w:w="150" w:type="dxa"/>
              <w:right w:w="150" w:type="dxa"/>
            </w:tcMar>
          </w:tcPr>
          <w:p>
            <w:pPr>
              <w:spacing w:after="0" w:before="0"/>
              <w:jc w:val="left"/>
            </w:pPr>
            <w:r>
              <w:rPr>
                <w:sz w:val="19"/>
              </w:rPr>
              <w:t>Weekly Care Hours (45 mins/pt)</w:t>
            </w:r>
          </w:p>
        </w:tc>
        <w:tc>
          <w:tcPr>
            <w:tcW w:type="dxa" w:w="1872"/>
            <w:shd w:fill="FFFFFF"/>
            <w:tcMar>
              <w:top w:w="100" w:type="dxa"/>
              <w:bottom w:w="100" w:type="dxa"/>
              <w:left w:w="150" w:type="dxa"/>
              <w:right w:w="150" w:type="dxa"/>
            </w:tcMar>
          </w:tcPr>
          <w:p>
            <w:pPr>
              <w:spacing w:after="0" w:before="0"/>
              <w:jc w:val="right"/>
            </w:pPr>
            <w:r>
              <w:rPr>
                <w:sz w:val="19"/>
              </w:rPr>
              <w:t>1,432.5 hrs/wk</w:t>
            </w:r>
          </w:p>
        </w:tc>
        <w:tc>
          <w:tcPr>
            <w:tcW w:type="dxa" w:w="1872"/>
            <w:shd w:fill="FFFFFF"/>
            <w:tcMar>
              <w:top w:w="100" w:type="dxa"/>
              <w:bottom w:w="100" w:type="dxa"/>
              <w:left w:w="150" w:type="dxa"/>
              <w:right w:w="150" w:type="dxa"/>
            </w:tcMar>
          </w:tcPr>
          <w:p>
            <w:pPr>
              <w:spacing w:after="0" w:before="0"/>
              <w:jc w:val="right"/>
            </w:pPr>
            <w:r>
              <w:rPr>
                <w:b/>
                <w:sz w:val="19"/>
              </w:rPr>
              <w:t>805.3 hrs/wk</w:t>
            </w:r>
          </w:p>
        </w:tc>
        <w:tc>
          <w:tcPr>
            <w:tcW w:type="dxa" w:w="2016"/>
            <w:shd w:fill="FFFFFF"/>
            <w:tcMar>
              <w:top w:w="100" w:type="dxa"/>
              <w:bottom w:w="100" w:type="dxa"/>
              <w:left w:w="150" w:type="dxa"/>
              <w:right w:w="150" w:type="dxa"/>
            </w:tcMar>
          </w:tcPr>
          <w:p>
            <w:pPr>
              <w:spacing w:after="0" w:before="0"/>
              <w:jc w:val="right"/>
            </w:pPr>
            <w:r>
              <w:rPr>
                <w:sz w:val="19"/>
              </w:rPr>
              <w:t>627.6 hrs/wk</w:t>
            </w:r>
          </w:p>
        </w:tc>
      </w:tr>
      <w:tr>
        <w:tc>
          <w:tcPr>
            <w:tcW w:type="dxa" w:w="3600"/>
            <w:shd w:fill="F4F6F8"/>
            <w:tcMar>
              <w:top w:w="100" w:type="dxa"/>
              <w:bottom w:w="100" w:type="dxa"/>
              <w:left w:w="150" w:type="dxa"/>
              <w:right w:w="150" w:type="dxa"/>
            </w:tcMar>
          </w:tcPr>
          <w:p>
            <w:pPr>
              <w:spacing w:after="0" w:before="0"/>
              <w:jc w:val="left"/>
            </w:pPr>
            <w:r>
              <w:rPr>
                <w:b/>
                <w:sz w:val="19"/>
              </w:rPr>
              <w:t>Required Staffing (35-hr FTEs)</w:t>
            </w:r>
          </w:p>
        </w:tc>
        <w:tc>
          <w:tcPr>
            <w:tcW w:type="dxa" w:w="1872"/>
            <w:shd w:fill="F4F6F8"/>
            <w:tcMar>
              <w:top w:w="100" w:type="dxa"/>
              <w:bottom w:w="100" w:type="dxa"/>
              <w:left w:w="150" w:type="dxa"/>
              <w:right w:w="150" w:type="dxa"/>
            </w:tcMar>
          </w:tcPr>
          <w:p>
            <w:pPr>
              <w:spacing w:after="0" w:before="0"/>
              <w:jc w:val="right"/>
            </w:pPr>
            <w:r>
              <w:rPr>
                <w:sz w:val="19"/>
              </w:rPr>
              <w:t>40.9 FTEs</w:t>
            </w:r>
          </w:p>
        </w:tc>
        <w:tc>
          <w:tcPr>
            <w:tcW w:type="dxa" w:w="1872"/>
            <w:shd w:fill="F4F6F8"/>
            <w:tcMar>
              <w:top w:w="100" w:type="dxa"/>
              <w:bottom w:w="100" w:type="dxa"/>
              <w:left w:w="150" w:type="dxa"/>
              <w:right w:w="150" w:type="dxa"/>
            </w:tcMar>
          </w:tcPr>
          <w:p>
            <w:pPr>
              <w:spacing w:after="0" w:before="0"/>
              <w:jc w:val="right"/>
            </w:pPr>
            <w:r>
              <w:rPr>
                <w:b/>
                <w:sz w:val="19"/>
              </w:rPr>
              <w:t>23.0 FTEs</w:t>
            </w:r>
          </w:p>
        </w:tc>
        <w:tc>
          <w:tcPr>
            <w:tcW w:type="dxa" w:w="2016"/>
            <w:shd w:fill="F4F6F8"/>
            <w:tcMar>
              <w:top w:w="100" w:type="dxa"/>
              <w:bottom w:w="100" w:type="dxa"/>
              <w:left w:w="150" w:type="dxa"/>
              <w:right w:w="150" w:type="dxa"/>
            </w:tcMar>
          </w:tcPr>
          <w:p>
            <w:pPr>
              <w:spacing w:after="0" w:before="0"/>
              <w:jc w:val="right"/>
            </w:pPr>
            <w:r>
              <w:rPr>
                <w:sz w:val="19"/>
              </w:rPr>
              <w:t>17.9 FTEs</w:t>
            </w:r>
          </w:p>
        </w:tc>
      </w:tr>
    </w:tbl>
    <w:p>
      <w:pPr>
        <w:keepNext/>
        <w:spacing w:before="280" w:after="80"/>
      </w:pPr>
      <w:r>
        <w:rPr>
          <w:rFonts w:ascii="Calibri" w:hAnsi="Calibri"/>
          <w:b/>
          <w:color w:val="1B365D"/>
          <w:sz w:val="26"/>
        </w:rPr>
        <w:t>STRATEGIC RECOMMENDATIONS &amp; ACTION PLAN</w:t>
      </w:r>
    </w:p>
    <w:p>
      <w:pPr>
        <w:pStyle w:val="ListBullet"/>
        <w:spacing w:after="60" w:line="276" w:lineRule="auto"/>
      </w:pPr>
      <w:r>
        <w:rPr>
          <w:b/>
          <w:color w:val="1B365D"/>
        </w:rPr>
        <w:t xml:space="preserve">Embed Point-of-Discharge Risk Score: </w:t>
      </w:r>
      <w:r>
        <w:t>Integrate the 4-factor Risk Score into the electronic health record (EHR) discharge workflow so discharge planners automatically receive a risk tier badge upon discharge.</w:t>
      </w:r>
    </w:p>
    <w:p>
      <w:pPr>
        <w:pStyle w:val="ListBullet"/>
        <w:spacing w:after="60" w:line="276" w:lineRule="auto"/>
      </w:pPr>
      <w:r>
        <w:rPr>
          <w:b/>
          <w:color w:val="1B365D"/>
        </w:rPr>
        <w:t xml:space="preserve">Deploy 23 Dedicated FTE Coordinators: </w:t>
      </w:r>
      <w:r>
        <w:t>Allocate 23 Care Coordinators specifically to support High-Risk Tier patients, delivering 45-minute post-discharge intervention packages (medication reconciliation, home health scheduling, and 48-hour follow-up calls).</w:t>
      </w:r>
    </w:p>
    <w:p>
      <w:pPr>
        <w:pStyle w:val="ListBullet"/>
        <w:spacing w:after="60" w:line="276" w:lineRule="auto"/>
      </w:pPr>
      <w:r>
        <w:rPr>
          <w:b/>
          <w:color w:val="1B365D"/>
        </w:rPr>
        <w:t xml:space="preserve">Target High-Risk Discharge Dispositions: </w:t>
      </w:r>
      <w:r>
        <w:t>Establish specialized care handoff protocols for patients transitioning to Skilled Nursing Facilities and Home Health Care.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