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rFonts w:ascii="Times New Roman" w:cs="Times New Roman" w:eastAsia="Times New Roman" w:hAnsi="Times New Roman"/>
          <w:sz w:val="24"/>
          <w:szCs w:val="24"/>
        </w:rPr>
        <w:t xml:space="preserve"/>
      </w:r>
    </w:p>
    <w:p>
      <w:r>
        <w:rPr>
          <w:rFonts w:ascii="Times New Roman" w:cs="Times New Roman" w:eastAsia="Times New Roman" w:hAnsi="Times New Roman"/>
          <w:sz w:val="24"/>
          <w:szCs w:val="24"/>
        </w:rPr>
        <w:t xml:space="preserve"/>
      </w:r>
    </w:p>
    <w:p>
      <w:r>
        <w:rPr>
          <w:rFonts w:ascii="Times New Roman" w:cs="Times New Roman" w:eastAsia="Times New Roman" w:hAnsi="Times New Roman"/>
          <w:sz w:val="24"/>
          <w:szCs w:val="24"/>
        </w:rPr>
        <w:t xml:space="preserve"/>
      </w:r>
    </w:p>
    <w:p>
      <w:r>
        <w:rPr>
          <w:rFonts w:ascii="Times New Roman" w:cs="Times New Roman" w:eastAsia="Times New Roman" w:hAnsi="Times New Roman"/>
          <w:sz w:val="24"/>
          <w:szCs w:val="24"/>
        </w:rPr>
        <w:t xml:space="preserve"/>
      </w:r>
    </w:p>
    <w:p>
      <w:r>
        <w:rPr>
          <w:rFonts w:ascii="Times New Roman" w:cs="Times New Roman" w:eastAsia="Times New Roman" w:hAnsi="Times New Roman"/>
          <w:sz w:val="24"/>
          <w:szCs w:val="24"/>
        </w:rPr>
        <w:t xml:space="preserve"/>
      </w:r>
    </w:p>
    <w:p>
      <w:pPr>
        <w:spacing w:after="0" w:line="360"/>
        <w:jc w:val="center"/>
      </w:pPr>
      <w:r>
        <w:rPr>
          <w:rFonts w:ascii="Times New Roman" w:cs="Times New Roman" w:eastAsia="Times New Roman" w:hAnsi="Times New Roman"/>
          <w:b/>
          <w:bCs/>
          <w:sz w:val="24"/>
          <w:szCs w:val="24"/>
        </w:rPr>
        <w:t xml:space="preserve">Combustible y CO2 del rodaje en tierra en vuelos de Estados Unidos, 2023–2025</w:t>
      </w:r>
    </w:p>
    <w:p>
      <w:pPr>
        <w:spacing w:after="0" w:line="360"/>
        <w:jc w:val="center"/>
      </w:pPr>
      <w:r>
        <w:rPr>
          <w:rFonts w:ascii="Times New Roman" w:cs="Times New Roman" w:eastAsia="Times New Roman" w:hAnsi="Times New Roman"/>
          <w:b/>
          <w:bCs/>
          <w:sz w:val="24"/>
          <w:szCs w:val="24"/>
        </w:rPr>
        <w:t xml:space="preserve">¿Qué aeropuertos y horarios desperdician más combustible rodando en tierra y cuánto CO2 representa?</w:t>
      </w:r>
    </w:p>
    <w:p>
      <w:r>
        <w:rPr>
          <w:rFonts w:ascii="Times New Roman" w:cs="Times New Roman" w:eastAsia="Times New Roman" w:hAnsi="Times New Roman"/>
          <w:sz w:val="24"/>
          <w:szCs w:val="24"/>
        </w:rPr>
        <w:t xml:space="preserve"/>
      </w:r>
    </w:p>
    <w:p>
      <w:r>
        <w:rPr>
          <w:rFonts w:ascii="Times New Roman" w:cs="Times New Roman" w:eastAsia="Times New Roman" w:hAnsi="Times New Roman"/>
          <w:sz w:val="24"/>
          <w:szCs w:val="24"/>
        </w:rPr>
        <w:t xml:space="preserve"/>
      </w:r>
    </w:p>
    <w:p>
      <w:pPr>
        <w:spacing w:after="0" w:line="360"/>
        <w:jc w:val="center"/>
      </w:pPr>
      <w:r>
        <w:rPr>
          <w:rFonts w:ascii="Times New Roman" w:cs="Times New Roman" w:eastAsia="Times New Roman" w:hAnsi="Times New Roman"/>
          <w:sz w:val="24"/>
          <w:szCs w:val="24"/>
          <w:highlight w:val="yellow"/>
          <w:highlightCs w:val="yellow"/>
        </w:rPr>
        <w:t xml:space="preserve">Nombres de los integrantes del grupo</w:t>
      </w:r>
    </w:p>
    <w:p>
      <w:pPr>
        <w:spacing w:after="0" w:line="360"/>
        <w:jc w:val="center"/>
      </w:pPr>
      <w:r>
        <w:rPr>
          <w:rFonts w:ascii="Times New Roman" w:cs="Times New Roman" w:eastAsia="Times New Roman" w:hAnsi="Times New Roman"/>
          <w:sz w:val="24"/>
          <w:szCs w:val="24"/>
        </w:rPr>
        <w:t xml:space="preserve">Maestría en Analítica Aplicada</w:t>
      </w:r>
    </w:p>
    <w:p>
      <w:pPr>
        <w:spacing w:after="0" w:line="360"/>
        <w:jc w:val="center"/>
      </w:pPr>
      <w:r>
        <w:rPr>
          <w:rFonts w:ascii="Times New Roman" w:cs="Times New Roman" w:eastAsia="Times New Roman" w:hAnsi="Times New Roman"/>
          <w:sz w:val="24"/>
          <w:szCs w:val="24"/>
        </w:rPr>
        <w:t xml:space="preserve">Universidad de La Sabana</w:t>
      </w:r>
    </w:p>
    <w:p>
      <w:pPr>
        <w:spacing w:after="0" w:line="360"/>
        <w:jc w:val="center"/>
      </w:pPr>
      <w:r>
        <w:rPr>
          <w:rFonts w:ascii="Times New Roman" w:cs="Times New Roman" w:eastAsia="Times New Roman" w:hAnsi="Times New Roman"/>
          <w:sz w:val="24"/>
          <w:szCs w:val="24"/>
        </w:rPr>
        <w:t xml:space="preserve">Big Data</w:t>
      </w:r>
    </w:p>
    <w:p>
      <w:pPr>
        <w:spacing w:after="0" w:line="360"/>
        <w:jc w:val="center"/>
      </w:pPr>
      <w:r>
        <w:rPr>
          <w:rFonts w:ascii="Times New Roman" w:cs="Times New Roman" w:eastAsia="Times New Roman" w:hAnsi="Times New Roman"/>
          <w:sz w:val="24"/>
          <w:szCs w:val="24"/>
          <w:highlight w:val="yellow"/>
          <w:highlightCs w:val="yellow"/>
        </w:rPr>
        <w:t xml:space="preserve">Nombre del docente</w:t>
      </w:r>
    </w:p>
    <w:p>
      <w:pPr>
        <w:spacing w:after="0" w:line="360"/>
        <w:jc w:val="center"/>
      </w:pPr>
      <w:r>
        <w:rPr>
          <w:rFonts w:ascii="Times New Roman" w:cs="Times New Roman" w:eastAsia="Times New Roman" w:hAnsi="Times New Roman"/>
          <w:sz w:val="24"/>
          <w:szCs w:val="24"/>
        </w:rPr>
        <w:t xml:space="preserve">Octubre de 2026</w:t>
      </w:r>
    </w:p>
    <w:p>
      <w:r>
        <w:br w:type="page"/>
      </w:r>
    </w:p>
    <w:p>
      <w:pPr>
        <w:pStyle w:val="Heading1"/>
        <w:keepNext/>
        <w:spacing w:after="200" w:before="360" w:line="360"/>
        <w:jc w:val="center"/>
      </w:pPr>
      <w:r>
        <w:rPr>
          <w:rFonts w:ascii="Times New Roman" w:cs="Times New Roman" w:eastAsia="Times New Roman" w:hAnsi="Times New Roman"/>
          <w:b/>
          <w:bCs/>
          <w:sz w:val="24"/>
          <w:szCs w:val="24"/>
        </w:rPr>
        <w:t xml:space="preserve">Resumen ejecutivo</w:t>
      </w:r>
    </w:p>
    <w:p>
      <w:pPr>
        <w:spacing w:after="120" w:line="360"/>
        <w:ind w:firstLine="0"/>
        <w:jc w:val="left"/>
      </w:pPr>
      <w:r>
        <w:rPr>
          <w:rFonts w:ascii="Times New Roman" w:cs="Times New Roman" w:eastAsia="Times New Roman" w:hAnsi="Times New Roman"/>
          <w:sz w:val="24"/>
          <w:szCs w:val="24"/>
        </w:rPr>
        <w:t xml:space="preserve">Entre enero de 2023 y diciembre de 2025, los vuelos comerciales de Estados Unidos acumularon </w:t>
      </w:r>
      <w:r>
        <w:rPr>
          <w:rFonts w:ascii="Times New Roman" w:cs="Times New Roman" w:eastAsia="Times New Roman" w:hAnsi="Times New Roman"/>
          <w:b/>
          <w:bCs/>
          <w:sz w:val="24"/>
          <w:szCs w:val="24"/>
        </w:rPr>
        <w:t xml:space="preserve">9.057.336 horas</w:t>
      </w:r>
      <w:r>
        <w:rPr>
          <w:rFonts w:ascii="Times New Roman" w:cs="Times New Roman" w:eastAsia="Times New Roman" w:hAnsi="Times New Roman"/>
          <w:sz w:val="24"/>
          <w:szCs w:val="24"/>
        </w:rPr>
        <w:t xml:space="preserve"> de rodaje en tierra con datos válidos de salida y llegada. Con un consumo de 6 kg de combustible por minuto y el factor de emisión de 3,16 de la Organización de Aviación Civil Internacional (OACI), esa cifra equivale a </w:t>
      </w:r>
      <w:r>
        <w:rPr>
          <w:rFonts w:ascii="Times New Roman" w:cs="Times New Roman" w:eastAsia="Times New Roman" w:hAnsi="Times New Roman"/>
          <w:b/>
          <w:bCs/>
          <w:sz w:val="24"/>
          <w:szCs w:val="24"/>
        </w:rPr>
        <w:t xml:space="preserve">10.303.625 toneladas de CO2</w:t>
      </w:r>
      <w:r>
        <w:rPr>
          <w:rFonts w:ascii="Times New Roman" w:cs="Times New Roman" w:eastAsia="Times New Roman" w:hAnsi="Times New Roman"/>
          <w:sz w:val="24"/>
          <w:szCs w:val="24"/>
        </w:rPr>
        <w:t xml:space="preserve">. Si el consumo fuera de 12 kg/min, valor que aún está por validar, el total se duplicaría a </w:t>
      </w:r>
      <w:r>
        <w:rPr>
          <w:rFonts w:ascii="Times New Roman" w:cs="Times New Roman" w:eastAsia="Times New Roman" w:hAnsi="Times New Roman"/>
          <w:b/>
          <w:bCs/>
          <w:sz w:val="24"/>
          <w:szCs w:val="24"/>
        </w:rPr>
        <w:t xml:space="preserve">20.607.251 toneladas</w:t>
      </w:r>
      <w:r>
        <w:rPr>
          <w:rFonts w:ascii="Times New Roman" w:cs="Times New Roman" w:eastAsia="Times New Roman" w:hAnsi="Times New Roman"/>
          <w:sz w:val="24"/>
          <w:szCs w:val="24"/>
        </w:rPr>
        <w:t xml:space="preserve">.</w:t>
      </w:r>
    </w:p>
    <w:p>
      <w:pPr>
        <w:spacing w:after="120" w:line="360"/>
        <w:ind w:firstLine="0"/>
        <w:jc w:val="left"/>
      </w:pPr>
      <w:r>
        <w:rPr>
          <w:rFonts w:ascii="Times New Roman" w:cs="Times New Roman" w:eastAsia="Times New Roman" w:hAnsi="Times New Roman"/>
          <w:sz w:val="24"/>
          <w:szCs w:val="24"/>
        </w:rPr>
        <w:t xml:space="preserve">El desperdicio no se reparte de forma pareja. El CO2 de salida se concentra en ORD, DFW, DEN y ATL, mientras que el rodaje más lento entre aeropuertos con más de 50.000 vuelos se registra en JFK (27,0 min), EWR (24,6), LGA (24,2) y ORD (24,2). La franja horaria con más CO2 de salida es la de las </w:t>
      </w:r>
      <w:r>
        <w:rPr>
          <w:rFonts w:ascii="Times New Roman" w:cs="Times New Roman" w:eastAsia="Times New Roman" w:hAnsi="Times New Roman"/>
          <w:b/>
          <w:bCs/>
          <w:sz w:val="24"/>
          <w:szCs w:val="24"/>
        </w:rPr>
        <w:t xml:space="preserve">8:00</w:t>
      </w:r>
      <w:r>
        <w:rPr>
          <w:rFonts w:ascii="Times New Roman" w:cs="Times New Roman" w:eastAsia="Times New Roman" w:hAnsi="Times New Roman"/>
          <w:sz w:val="24"/>
          <w:szCs w:val="24"/>
        </w:rPr>
        <w:t xml:space="preserve"> (unas 516 mil toneladas en el escenario bajo), seguida de las 7:00 y las 6:00.</w:t>
      </w:r>
    </w:p>
    <w:p>
      <w:pPr>
        <w:spacing w:after="120" w:line="360"/>
        <w:ind w:firstLine="0"/>
        <w:jc w:val="left"/>
      </w:pPr>
      <w:r>
        <w:rPr>
          <w:rFonts w:ascii="Times New Roman" w:cs="Times New Roman" w:eastAsia="Times New Roman" w:hAnsi="Times New Roman"/>
          <w:sz w:val="24"/>
          <w:szCs w:val="24"/>
        </w:rPr>
        <w:t xml:space="preserve">Entre 2023 y 2025 las horas de rodaje aumentaron </w:t>
      </w:r>
      <w:r>
        <w:rPr>
          <w:rFonts w:ascii="Times New Roman" w:cs="Times New Roman" w:eastAsia="Times New Roman" w:hAnsi="Times New Roman"/>
          <w:b/>
          <w:bCs/>
          <w:sz w:val="24"/>
          <w:szCs w:val="24"/>
        </w:rPr>
        <w:t xml:space="preserve">9,0 %</w:t>
      </w:r>
      <w:r>
        <w:rPr>
          <w:rFonts w:ascii="Times New Roman" w:cs="Times New Roman" w:eastAsia="Times New Roman" w:hAnsi="Times New Roman"/>
          <w:sz w:val="24"/>
          <w:szCs w:val="24"/>
        </w:rPr>
        <w:t xml:space="preserve">, mientras que los vuelos válidos crecieron cerca de 2 %. El aumento, por tanto, no se explica solo por más operaciones: cada vuelo pasa más tiempo en tierra. Reducir el rodaje en 10 % evitaría cerca de </w:t>
      </w:r>
      <w:r>
        <w:rPr>
          <w:rFonts w:ascii="Times New Roman" w:cs="Times New Roman" w:eastAsia="Times New Roman" w:hAnsi="Times New Roman"/>
          <w:b/>
          <w:bCs/>
          <w:sz w:val="24"/>
          <w:szCs w:val="24"/>
        </w:rPr>
        <w:t xml:space="preserve">1,03 millones de toneladas</w:t>
      </w:r>
      <w:r>
        <w:rPr>
          <w:rFonts w:ascii="Times New Roman" w:cs="Times New Roman" w:eastAsia="Times New Roman" w:hAnsi="Times New Roman"/>
          <w:sz w:val="24"/>
          <w:szCs w:val="24"/>
        </w:rPr>
        <w:t xml:space="preserve"> de CO2 en el escenario bajo. El ranking de aeropuertos es el mismo en ambos escenarios, porque todos los valores se multiplican por el mismo factor.</w:t>
      </w:r>
    </w:p>
    <w:p>
      <w:pPr>
        <w:pStyle w:val="Heading1"/>
        <w:keepNext/>
        <w:spacing w:after="200" w:before="360" w:line="360"/>
        <w:jc w:val="center"/>
      </w:pPr>
      <w:r>
        <w:rPr>
          <w:rFonts w:ascii="Times New Roman" w:cs="Times New Roman" w:eastAsia="Times New Roman" w:hAnsi="Times New Roman"/>
          <w:b/>
          <w:bCs/>
          <w:sz w:val="24"/>
          <w:szCs w:val="24"/>
        </w:rPr>
        <w:t xml:space="preserve">Pregunta, usuario y decisión</w:t>
      </w:r>
    </w:p>
    <w:p>
      <w:pPr>
        <w:spacing w:after="120" w:line="360"/>
        <w:ind w:firstLine="720"/>
        <w:jc w:val="left"/>
      </w:pPr>
      <w:r>
        <w:rPr>
          <w:rFonts w:ascii="Times New Roman" w:cs="Times New Roman" w:eastAsia="Times New Roman" w:hAnsi="Times New Roman"/>
          <w:sz w:val="24"/>
          <w:szCs w:val="24"/>
        </w:rPr>
        <w:t xml:space="preserve">La pregunta que guía el proyecto es: ¿qué aeropuertos y qué franjas horarias desperdician más combustible rodando en tierra con los motores encendidos, y cuánto CO2 representa ese consumo?</w:t>
      </w:r>
    </w:p>
    <w:p>
      <w:pPr>
        <w:spacing w:after="120" w:line="360"/>
        <w:ind w:firstLine="720"/>
        <w:jc w:val="left"/>
      </w:pPr>
      <w:r>
        <w:rPr>
          <w:rFonts w:ascii="Times New Roman" w:cs="Times New Roman" w:eastAsia="Times New Roman" w:hAnsi="Times New Roman"/>
          <w:sz w:val="24"/>
          <w:szCs w:val="24"/>
        </w:rPr>
        <w:t xml:space="preserve">El usuario del análisis es el área de Sostenibilidad de una aerolínea o de un aeropuerto, que necesita una cifra defendible para su reporte de emisiones y una lista corta de lugares y horas donde actuar. La decisión no consiste en predecir si un vuelo llegará tarde, como planteaba el enfoque inicial del grupo, cuyos cuadernos se conservan como material de apoyo. El producto es un inventario de CO2 y un ordenamiento de aeropuertos y horarios.</w:t>
      </w:r>
    </w:p>
    <w:p>
      <w:pPr>
        <w:spacing w:after="120" w:line="360"/>
        <w:ind w:firstLine="720"/>
        <w:jc w:val="left"/>
      </w:pPr>
      <w:r>
        <w:rPr>
          <w:rFonts w:ascii="Times New Roman" w:cs="Times New Roman" w:eastAsia="Times New Roman" w:hAnsi="Times New Roman"/>
          <w:sz w:val="24"/>
          <w:szCs w:val="24"/>
        </w:rPr>
        <w:t xml:space="preserve">La unidad de análisis es el vuelo. El tiempo </w:t>
      </w:r>
      <w:r>
        <w:rPr>
          <w:rFonts w:ascii="Consolas" w:cs="Consolas" w:eastAsia="Consolas" w:hAnsi="Consolas"/>
          <w:sz w:val="21"/>
          <w:szCs w:val="21"/>
        </w:rPr>
        <w:t xml:space="preserve">TaxiOut</w:t>
      </w:r>
      <w:r>
        <w:rPr>
          <w:rFonts w:ascii="Times New Roman" w:cs="Times New Roman" w:eastAsia="Times New Roman" w:hAnsi="Times New Roman"/>
          <w:sz w:val="24"/>
          <w:szCs w:val="24"/>
        </w:rPr>
        <w:t xml:space="preserve"> (minutos entre la salida del puesto y el despegue) se atribuye al aeropuerto de origen, y </w:t>
      </w:r>
      <w:r>
        <w:rPr>
          <w:rFonts w:ascii="Consolas" w:cs="Consolas" w:eastAsia="Consolas" w:hAnsi="Consolas"/>
          <w:sz w:val="21"/>
          <w:szCs w:val="21"/>
        </w:rPr>
        <w:t xml:space="preserve">TaxiIn</w:t>
      </w:r>
      <w:r>
        <w:rPr>
          <w:rFonts w:ascii="Times New Roman" w:cs="Times New Roman" w:eastAsia="Times New Roman" w:hAnsi="Times New Roman"/>
          <w:sz w:val="24"/>
          <w:szCs w:val="24"/>
        </w:rPr>
        <w:t xml:space="preserve"> (minutos entre el aterrizaje y la llegada al puesto) se atribuye al aeropuerto de destino.</w:t>
      </w:r>
    </w:p>
    <w:p>
      <w:pPr>
        <w:pStyle w:val="Heading1"/>
        <w:keepNext/>
        <w:spacing w:after="200" w:before="360" w:line="360"/>
        <w:jc w:val="center"/>
      </w:pPr>
      <w:r>
        <w:rPr>
          <w:rFonts w:ascii="Times New Roman" w:cs="Times New Roman" w:eastAsia="Times New Roman" w:hAnsi="Times New Roman"/>
          <w:b/>
          <w:bCs/>
          <w:sz w:val="24"/>
          <w:szCs w:val="24"/>
        </w:rPr>
        <w:t xml:space="preserve">Metodología</w:t>
      </w:r>
    </w:p>
    <w:p>
      <w:pPr>
        <w:spacing w:after="120" w:line="360"/>
        <w:ind w:firstLine="720"/>
        <w:jc w:val="left"/>
      </w:pPr>
      <w:r>
        <w:rPr>
          <w:rFonts w:ascii="Times New Roman" w:cs="Times New Roman" w:eastAsia="Times New Roman" w:hAnsi="Times New Roman"/>
          <w:sz w:val="24"/>
          <w:szCs w:val="24"/>
        </w:rPr>
        <w:t xml:space="preserve">El proyecto sigue una versión abreviada de CRISP-DM:</w:t>
      </w:r>
    </w:p>
    <w:p>
      <w:pPr>
        <w:pStyle w:val="ListParagraph"/>
        <w:numPr>
          <w:ilvl w:val="0"/>
          <w:numId w:val="2"/>
        </w:numPr>
        <w:spacing w:after="80" w:line="360"/>
      </w:pPr>
      <w:r>
        <w:rPr>
          <w:rFonts w:ascii="Times New Roman" w:cs="Times New Roman" w:eastAsia="Times New Roman" w:hAnsi="Times New Roman"/>
          <w:b/>
          <w:bCs/>
          <w:sz w:val="24"/>
          <w:szCs w:val="24"/>
        </w:rPr>
        <w:t xml:space="preserve">Comprensión del negocio.</w:t>
      </w:r>
      <w:r>
        <w:rPr>
          <w:rFonts w:ascii="Times New Roman" w:cs="Times New Roman" w:eastAsia="Times New Roman" w:hAnsi="Times New Roman"/>
          <w:sz w:val="24"/>
          <w:szCs w:val="24"/>
        </w:rPr>
        <w:t xml:space="preserve"> Reducir el combustible consumido en el rodaje y reportar su CO2. Para esta decisión no se requiere un modelo predictivo.</w:t>
      </w:r>
    </w:p>
    <w:p>
      <w:pPr>
        <w:pStyle w:val="ListParagraph"/>
        <w:numPr>
          <w:ilvl w:val="0"/>
          <w:numId w:val="2"/>
        </w:numPr>
        <w:spacing w:after="80" w:line="360"/>
      </w:pPr>
      <w:r>
        <w:rPr>
          <w:rFonts w:ascii="Times New Roman" w:cs="Times New Roman" w:eastAsia="Times New Roman" w:hAnsi="Times New Roman"/>
          <w:b/>
          <w:bCs/>
          <w:sz w:val="24"/>
          <w:szCs w:val="24"/>
        </w:rPr>
        <w:t xml:space="preserve">Comprensión de los datos.</w:t>
      </w:r>
      <w:r>
        <w:rPr>
          <w:rFonts w:ascii="Times New Roman" w:cs="Times New Roman" w:eastAsia="Times New Roman" w:hAnsi="Times New Roman"/>
          <w:sz w:val="24"/>
          <w:szCs w:val="24"/>
        </w:rPr>
        <w:t xml:space="preserve"> Se usa BTS On-Time Performance (36 meses) y el clima diario de 20 aeropuertos.</w:t>
      </w:r>
    </w:p>
    <w:p>
      <w:pPr>
        <w:pStyle w:val="ListParagraph"/>
        <w:numPr>
          <w:ilvl w:val="0"/>
          <w:numId w:val="2"/>
        </w:numPr>
        <w:spacing w:after="80" w:line="360"/>
      </w:pPr>
      <w:r>
        <w:rPr>
          <w:rFonts w:ascii="Times New Roman" w:cs="Times New Roman" w:eastAsia="Times New Roman" w:hAnsi="Times New Roman"/>
          <w:b/>
          <w:bCs/>
          <w:sz w:val="24"/>
          <w:szCs w:val="24"/>
        </w:rPr>
        <w:t xml:space="preserve">Preparación.</w:t>
      </w:r>
      <w:r>
        <w:rPr>
          <w:rFonts w:ascii="Times New Roman" w:cs="Times New Roman" w:eastAsia="Times New Roman" w:hAnsi="Times New Roman"/>
          <w:sz w:val="24"/>
          <w:szCs w:val="24"/>
        </w:rPr>
        <w:t xml:space="preserve"> Los datos se almacenan en Parquet particionado, con una regla de limpieza explícita y una hora programada corregida.</w:t>
      </w:r>
    </w:p>
    <w:p>
      <w:pPr>
        <w:pStyle w:val="ListParagraph"/>
        <w:numPr>
          <w:ilvl w:val="0"/>
          <w:numId w:val="2"/>
        </w:numPr>
        <w:spacing w:after="80" w:line="360"/>
      </w:pPr>
      <w:r>
        <w:rPr>
          <w:rFonts w:ascii="Times New Roman" w:cs="Times New Roman" w:eastAsia="Times New Roman" w:hAnsi="Times New Roman"/>
          <w:b/>
          <w:bCs/>
          <w:sz w:val="24"/>
          <w:szCs w:val="24"/>
        </w:rPr>
        <w:t xml:space="preserve">Análisis.</w:t>
      </w:r>
      <w:r>
        <w:rPr>
          <w:rFonts w:ascii="Times New Roman" w:cs="Times New Roman" w:eastAsia="Times New Roman" w:hAnsi="Times New Roman"/>
          <w:sz w:val="24"/>
          <w:szCs w:val="24"/>
        </w:rPr>
        <w:t xml:space="preserve"> Los agregados se calculan con DuckDB sobre el 100 % de las filas. El mismo cálculo se repite con Dask en dos configuraciones, y un mes se recalcula con pandas como control.</w:t>
      </w:r>
    </w:p>
    <w:p>
      <w:pPr>
        <w:pStyle w:val="ListParagraph"/>
        <w:numPr>
          <w:ilvl w:val="0"/>
          <w:numId w:val="2"/>
        </w:numPr>
        <w:spacing w:after="80" w:line="360"/>
      </w:pPr>
      <w:r>
        <w:rPr>
          <w:rFonts w:ascii="Times New Roman" w:cs="Times New Roman" w:eastAsia="Times New Roman" w:hAnsi="Times New Roman"/>
          <w:b/>
          <w:bCs/>
          <w:sz w:val="24"/>
          <w:szCs w:val="24"/>
        </w:rPr>
        <w:t xml:space="preserve">Evaluación.</w:t>
      </w:r>
      <w:r>
        <w:rPr>
          <w:rFonts w:ascii="Times New Roman" w:cs="Times New Roman" w:eastAsia="Times New Roman" w:hAnsi="Times New Roman"/>
          <w:sz w:val="24"/>
          <w:szCs w:val="24"/>
        </w:rPr>
        <w:t xml:space="preserve"> Se contrastan 23 comparaciones contra cifras ya medidas; si alguna falla, el script se detiene.</w:t>
      </w:r>
    </w:p>
    <w:p>
      <w:pPr>
        <w:pStyle w:val="ListParagraph"/>
        <w:numPr>
          <w:ilvl w:val="0"/>
          <w:numId w:val="2"/>
        </w:numPr>
        <w:spacing w:after="80" w:line="360"/>
      </w:pPr>
      <w:r>
        <w:rPr>
          <w:rFonts w:ascii="Times New Roman" w:cs="Times New Roman" w:eastAsia="Times New Roman" w:hAnsi="Times New Roman"/>
          <w:b/>
          <w:bCs/>
          <w:sz w:val="24"/>
          <w:szCs w:val="24"/>
        </w:rPr>
        <w:t xml:space="preserve">Despliegue.</w:t>
      </w:r>
      <w:r>
        <w:rPr>
          <w:rFonts w:ascii="Times New Roman" w:cs="Times New Roman" w:eastAsia="Times New Roman" w:hAnsi="Times New Roman"/>
          <w:sz w:val="24"/>
          <w:szCs w:val="24"/>
        </w:rPr>
        <w:t xml:space="preserve"> Prefect recalcula los agregados cuando entra un mes nuevo, a AWS suben únicamente esas tablas y Grafana las presenta a la gerencia.</w:t>
      </w:r>
    </w:p>
    <w:p>
      <w:pPr>
        <w:spacing w:after="120" w:line="360"/>
        <w:ind w:firstLine="720"/>
        <w:jc w:val="left"/>
      </w:pPr>
      <w:r>
        <w:rPr>
          <w:rFonts w:ascii="Times New Roman" w:cs="Times New Roman" w:eastAsia="Times New Roman" w:hAnsi="Times New Roman"/>
          <w:sz w:val="24"/>
          <w:szCs w:val="24"/>
        </w:rPr>
        <w:t xml:space="preserve">No se entrena un modelo predictivo porque la pregunta de Sostenibilidad se responde con la suma de minutos de rodaje por aeropuerto y hora, sobre todos los vuelos, sin muestreo. El modelo de “rodaje excesivo” queda como componente opcional y no condiciona la entrega.</w:t>
      </w:r>
    </w:p>
    <w:p>
      <w:pPr>
        <w:pStyle w:val="Heading1"/>
        <w:keepNext/>
        <w:spacing w:after="200" w:before="360" w:line="360"/>
        <w:jc w:val="center"/>
      </w:pPr>
      <w:r>
        <w:rPr>
          <w:rFonts w:ascii="Times New Roman" w:cs="Times New Roman" w:eastAsia="Times New Roman" w:hAnsi="Times New Roman"/>
          <w:b/>
          <w:bCs/>
          <w:sz w:val="24"/>
          <w:szCs w:val="24"/>
        </w:rPr>
        <w:t xml:space="preserve">Datos y volumen</w:t>
      </w:r>
    </w:p>
    <w:p>
      <w:pPr>
        <w:spacing w:after="120" w:line="360"/>
        <w:ind w:firstLine="720"/>
        <w:jc w:val="left"/>
      </w:pPr>
      <w:r>
        <w:rPr>
          <w:rFonts w:ascii="Times New Roman" w:cs="Times New Roman" w:eastAsia="Times New Roman" w:hAnsi="Times New Roman"/>
          <w:sz w:val="24"/>
          <w:szCs w:val="24"/>
        </w:rPr>
        <w:t xml:space="preserve">La entrada consta de 36 archivos ZIP de BTS que ocupan </w:t>
      </w:r>
      <w:r>
        <w:rPr>
          <w:rFonts w:ascii="Times New Roman" w:cs="Times New Roman" w:eastAsia="Times New Roman" w:hAnsi="Times New Roman"/>
          <w:b/>
          <w:bCs/>
          <w:sz w:val="24"/>
          <w:szCs w:val="24"/>
        </w:rPr>
        <w:t xml:space="preserve">1,05 GB</w:t>
      </w:r>
      <w:r>
        <w:rPr>
          <w:rFonts w:ascii="Times New Roman" w:cs="Times New Roman" w:eastAsia="Times New Roman" w:hAnsi="Times New Roman"/>
          <w:sz w:val="24"/>
          <w:szCs w:val="24"/>
        </w:rPr>
        <w:t xml:space="preserve"> comprimidos y </w:t>
      </w:r>
      <w:r>
        <w:rPr>
          <w:rFonts w:ascii="Times New Roman" w:cs="Times New Roman" w:eastAsia="Times New Roman" w:hAnsi="Times New Roman"/>
          <w:b/>
          <w:bCs/>
          <w:sz w:val="24"/>
          <w:szCs w:val="24"/>
        </w:rPr>
        <w:t xml:space="preserve">9,47 GB</w:t>
      </w:r>
      <w:r>
        <w:rPr>
          <w:rFonts w:ascii="Times New Roman" w:cs="Times New Roman" w:eastAsia="Times New Roman" w:hAnsi="Times New Roman"/>
          <w:sz w:val="24"/>
          <w:szCs w:val="24"/>
        </w:rPr>
        <w:t xml:space="preserve"> al descomprimirse. El Parquet resultante tiene </w:t>
      </w:r>
      <w:r>
        <w:rPr>
          <w:rFonts w:ascii="Times New Roman" w:cs="Times New Roman" w:eastAsia="Times New Roman" w:hAnsi="Times New Roman"/>
          <w:b/>
          <w:bCs/>
          <w:sz w:val="24"/>
          <w:szCs w:val="24"/>
        </w:rPr>
        <w:t xml:space="preserve">20.928.579</w:t>
      </w:r>
      <w:r>
        <w:rPr>
          <w:rFonts w:ascii="Times New Roman" w:cs="Times New Roman" w:eastAsia="Times New Roman" w:hAnsi="Times New Roman"/>
          <w:sz w:val="24"/>
          <w:szCs w:val="24"/>
        </w:rPr>
        <w:t xml:space="preserve"> filas y pesa alrededor de </w:t>
      </w:r>
      <w:r>
        <w:rPr>
          <w:rFonts w:ascii="Times New Roman" w:cs="Times New Roman" w:eastAsia="Times New Roman" w:hAnsi="Times New Roman"/>
          <w:b/>
          <w:bCs/>
          <w:sz w:val="24"/>
          <w:szCs w:val="24"/>
        </w:rPr>
        <w:t xml:space="preserve">664 MB</w:t>
      </w:r>
      <w:r>
        <w:rPr>
          <w:rFonts w:ascii="Times New Roman" w:cs="Times New Roman" w:eastAsia="Times New Roman" w:hAnsi="Times New Roman"/>
          <w:sz w:val="24"/>
          <w:szCs w:val="24"/>
        </w:rPr>
        <w:t xml:space="preserve">; durante la conversión no se perdió ninguna fila.</w:t>
      </w:r>
    </w:p>
    <w:p>
      <w:pPr>
        <w:spacing w:after="120" w:line="360"/>
        <w:ind w:firstLine="720"/>
        <w:jc w:val="left"/>
      </w:pPr>
      <w:r>
        <w:rPr>
          <w:rFonts w:ascii="Times New Roman" w:cs="Times New Roman" w:eastAsia="Times New Roman" w:hAnsi="Times New Roman"/>
          <w:sz w:val="24"/>
          <w:szCs w:val="24"/>
        </w:rPr>
        <w:t xml:space="preserve">Para el cálculo total se conservan los vuelos que tienen </w:t>
      </w:r>
      <w:r>
        <w:rPr>
          <w:rFonts w:ascii="Consolas" w:cs="Consolas" w:eastAsia="Consolas" w:hAnsi="Consolas"/>
          <w:sz w:val="21"/>
          <w:szCs w:val="21"/>
        </w:rPr>
        <w:t xml:space="preserve">TaxiOut</w:t>
      </w:r>
      <w:r>
        <w:rPr>
          <w:rFonts w:ascii="Times New Roman" w:cs="Times New Roman" w:eastAsia="Times New Roman" w:hAnsi="Times New Roman"/>
          <w:sz w:val="24"/>
          <w:szCs w:val="24"/>
        </w:rPr>
        <w:t xml:space="preserve"> y </w:t>
      </w:r>
      <w:r>
        <w:rPr>
          <w:rFonts w:ascii="Consolas" w:cs="Consolas" w:eastAsia="Consolas" w:hAnsi="Consolas"/>
          <w:sz w:val="21"/>
          <w:szCs w:val="21"/>
        </w:rPr>
        <w:t xml:space="preserve">TaxiIn</w:t>
      </w:r>
      <w:r>
        <w:rPr>
          <w:rFonts w:ascii="Times New Roman" w:cs="Times New Roman" w:eastAsia="Times New Roman" w:hAnsi="Times New Roman"/>
          <w:sz w:val="24"/>
          <w:szCs w:val="24"/>
        </w:rPr>
        <w:t xml:space="preserve"> no nulos y ambos menores o iguales a 180 minutos, es decir, </w:t>
      </w:r>
      <w:r>
        <w:rPr>
          <w:rFonts w:ascii="Times New Roman" w:cs="Times New Roman" w:eastAsia="Times New Roman" w:hAnsi="Times New Roman"/>
          <w:b/>
          <w:bCs/>
          <w:sz w:val="24"/>
          <w:szCs w:val="24"/>
        </w:rPr>
        <w:t xml:space="preserve">20.636.222</w:t>
      </w:r>
      <w:r>
        <w:rPr>
          <w:rFonts w:ascii="Times New Roman" w:cs="Times New Roman" w:eastAsia="Times New Roman" w:hAnsi="Times New Roman"/>
          <w:sz w:val="24"/>
          <w:szCs w:val="24"/>
        </w:rPr>
        <w:t xml:space="preserve"> vuelos. Se excluyen 292.357 filas (1,4 %), casi todas por valores nulos. Solo 54 salidas y 219 llegadas superan los 180 minutos. Esos extremos se conservan en los datos (el máximo es de 1.274 min en salida y 1.318 min en llegada) y no se eliminan en silencio. En el conjunto válido no hay vuelos cancelados, pero sí 48.343 desviados que registran ambos tiempos por debajo del tope; la regla de referencia no los retira.</w:t>
      </w:r>
    </w:p>
    <w:p>
      <w:pPr>
        <w:spacing w:after="120" w:line="360"/>
        <w:ind w:firstLine="720"/>
        <w:jc w:val="left"/>
      </w:pPr>
      <w:r>
        <w:rPr>
          <w:rFonts w:ascii="Times New Roman" w:cs="Times New Roman" w:eastAsia="Times New Roman" w:hAnsi="Times New Roman"/>
          <w:sz w:val="24"/>
          <w:szCs w:val="24"/>
        </w:rPr>
        <w:t xml:space="preserve">Medido por tramos, el universo válido suma 41.279.609 tramos (20.643.336 de salida y 20.636.273 de llegada), con 543.599.565 minutos en total (371.426.727 de salida y 172.172.838 de llegada) y un promedio de 13,17 min por tramo. Ese promedio se usa solo para describir el tiempo de rodaje, no como consumo.</w:t>
      </w:r>
    </w:p>
    <w:p>
      <w:pPr>
        <w:spacing w:after="120" w:line="360"/>
        <w:ind w:firstLine="720"/>
        <w:jc w:val="left"/>
      </w:pPr>
      <w:r>
        <w:rPr>
          <w:rFonts w:ascii="Times New Roman" w:cs="Times New Roman" w:eastAsia="Times New Roman" w:hAnsi="Times New Roman"/>
          <w:sz w:val="24"/>
          <w:szCs w:val="24"/>
        </w:rPr>
        <w:t xml:space="preserve">Los desviados se conservan porque también rodaron. En el universo principal hay 48.343 desviados con ambos tiempos válidos (0,23 % de 20.636.222). La verificación con DivReachedDest muestra que el TaxiIn válido de desviados (48.347 casos) aparece solo cuando el vuelo alcanzó el destino programado; por eso TaxiIn se atribuye a Dest y no a Div1Airport (aeropuerto intermedio de la desviación). Los 14 vuelos que alcanzaron Dest sin TaxiIn válido (3 nulos y 11 &gt;180 min) quedan fuera de ese conteo; los 4.948 que no alcanzaron Dest no reportan TaxiIn. El detalle de bytes y filas por etapa se documenta en docs/volumenes_por_etapa.md.</w:t>
      </w:r>
    </w:p>
    <w:p>
      <w:pPr>
        <w:spacing w:after="120" w:line="360"/>
        <w:ind w:firstLine="720"/>
        <w:jc w:val="left"/>
      </w:pPr>
      <w:r>
        <w:rPr>
          <w:rFonts w:ascii="Times New Roman" w:cs="Times New Roman" w:eastAsia="Times New Roman" w:hAnsi="Times New Roman"/>
          <w:sz w:val="24"/>
          <w:szCs w:val="24"/>
        </w:rPr>
        <w:t xml:space="preserve">El código (scripts, cuadernos, flujo de Prefect y documentación) está en el repositorio del proyecto: </w:t>
      </w:r>
      <w:r>
        <w:rPr>
          <w:rFonts w:ascii="Times New Roman" w:cs="Times New Roman" w:eastAsia="Times New Roman" w:hAnsi="Times New Roman"/>
          <w:sz w:val="24"/>
          <w:szCs w:val="24"/>
          <w:highlight w:val="yellow"/>
          <w:highlightCs w:val="yellow"/>
        </w:rPr>
        <w:t xml:space="preserve">enlace al repositorio de GitHub</w:t>
      </w:r>
      <w:r>
        <w:rPr>
          <w:rFonts w:ascii="Times New Roman" w:cs="Times New Roman" w:eastAsia="Times New Roman" w:hAnsi="Times New Roman"/>
          <w:sz w:val="24"/>
          <w:szCs w:val="24"/>
        </w:rPr>
        <w:t xml:space="preserve">.</w:t>
      </w:r>
    </w:p>
    <w:p>
      <w:pPr>
        <w:pStyle w:val="Heading1"/>
        <w:keepNext/>
        <w:spacing w:after="200" w:before="360" w:line="360"/>
        <w:jc w:val="center"/>
      </w:pPr>
      <w:r>
        <w:rPr>
          <w:rFonts w:ascii="Times New Roman" w:cs="Times New Roman" w:eastAsia="Times New Roman" w:hAnsi="Times New Roman"/>
          <w:b/>
          <w:bCs/>
          <w:sz w:val="24"/>
          <w:szCs w:val="24"/>
        </w:rPr>
        <w:t xml:space="preserve">Exploración de los datos</w:t>
      </w:r>
    </w:p>
    <w:p>
      <w:pPr>
        <w:spacing w:after="120" w:line="360"/>
        <w:ind w:firstLine="720"/>
        <w:jc w:val="left"/>
      </w:pPr>
      <w:r>
        <w:rPr>
          <w:rFonts w:ascii="Consolas" w:cs="Consolas" w:eastAsia="Consolas" w:hAnsi="Consolas"/>
          <w:sz w:val="21"/>
          <w:szCs w:val="21"/>
        </w:rPr>
        <w:t xml:space="preserve">TaxiOut</w:t>
      </w:r>
      <w:r>
        <w:rPr>
          <w:rFonts w:ascii="Times New Roman" w:cs="Times New Roman" w:eastAsia="Times New Roman" w:hAnsi="Times New Roman"/>
          <w:sz w:val="24"/>
          <w:szCs w:val="24"/>
        </w:rPr>
        <w:t xml:space="preserve"> promedia </w:t>
      </w:r>
      <w:r>
        <w:rPr>
          <w:rFonts w:ascii="Times New Roman" w:cs="Times New Roman" w:eastAsia="Times New Roman" w:hAnsi="Times New Roman"/>
          <w:b/>
          <w:bCs/>
          <w:sz w:val="24"/>
          <w:szCs w:val="24"/>
        </w:rPr>
        <w:t xml:space="preserve">17,99 min</w:t>
      </w:r>
      <w:r>
        <w:rPr>
          <w:rFonts w:ascii="Times New Roman" w:cs="Times New Roman" w:eastAsia="Times New Roman" w:hAnsi="Times New Roman"/>
          <w:sz w:val="24"/>
          <w:szCs w:val="24"/>
        </w:rPr>
        <w:t xml:space="preserve"> (mediana de 15 y desviación estándar de 9,92); su percentil 90 es 28 min, el 95 es 35 y el 99 es 56. </w:t>
      </w:r>
      <w:r>
        <w:rPr>
          <w:rFonts w:ascii="Consolas" w:cs="Consolas" w:eastAsia="Consolas" w:hAnsi="Consolas"/>
          <w:sz w:val="21"/>
          <w:szCs w:val="21"/>
        </w:rPr>
        <w:t xml:space="preserve">TaxiIn</w:t>
      </w:r>
      <w:r>
        <w:rPr>
          <w:rFonts w:ascii="Times New Roman" w:cs="Times New Roman" w:eastAsia="Times New Roman" w:hAnsi="Times New Roman"/>
          <w:sz w:val="24"/>
          <w:szCs w:val="24"/>
        </w:rPr>
        <w:t xml:space="preserve"> promedia </w:t>
      </w:r>
      <w:r>
        <w:rPr>
          <w:rFonts w:ascii="Times New Roman" w:cs="Times New Roman" w:eastAsia="Times New Roman" w:hAnsi="Times New Roman"/>
          <w:b/>
          <w:bCs/>
          <w:sz w:val="24"/>
          <w:szCs w:val="24"/>
        </w:rPr>
        <w:t xml:space="preserve">8,35 min</w:t>
      </w:r>
      <w:r>
        <w:rPr>
          <w:rFonts w:ascii="Times New Roman" w:cs="Times New Roman" w:eastAsia="Times New Roman" w:hAnsi="Times New Roman"/>
          <w:sz w:val="24"/>
          <w:szCs w:val="24"/>
        </w:rPr>
        <w:t xml:space="preserve"> (mediana de 6). La mayor parte del combustible se consume, por tanto, en la salida.</w:t>
      </w:r>
    </w:p>
    <w:p>
      <w:pPr>
        <w:spacing w:after="120" w:line="360"/>
        <w:ind w:firstLine="720"/>
        <w:jc w:val="left"/>
      </w:pPr>
      <w:r>
        <w:rPr>
          <w:rFonts w:ascii="Times New Roman" w:cs="Times New Roman" w:eastAsia="Times New Roman" w:hAnsi="Times New Roman"/>
          <w:sz w:val="24"/>
          <w:szCs w:val="24"/>
        </w:rPr>
        <w:t xml:space="preserve">La variable </w:t>
      </w:r>
      <w:r>
        <w:rPr>
          <w:rFonts w:ascii="Consolas" w:cs="Consolas" w:eastAsia="Consolas" w:hAnsi="Consolas"/>
          <w:sz w:val="21"/>
          <w:szCs w:val="21"/>
        </w:rPr>
        <w:t xml:space="preserve">CRSDepTime</w:t>
      </w:r>
      <w:r>
        <w:rPr>
          <w:rFonts w:ascii="Times New Roman" w:cs="Times New Roman" w:eastAsia="Times New Roman" w:hAnsi="Times New Roman"/>
          <w:sz w:val="24"/>
          <w:szCs w:val="24"/>
        </w:rPr>
        <w:t xml:space="preserve"> es un entero con la hora en formato HHMM, no un texto. Solo 2 vuelos traen el valor 2400. Si se divide entre 100 con decimales y se convierte a entero, el resultado se redondea: las salidas de 23:50 a 23:59 caen en un grupo ficticio llamado “hora 24” (59.378 salidas válidas). Este proyecto usa la división entera y guarda el valor 2400 como hora 0. Con esa corrección, el promedio más alto y el mayor CO2 corresponden a las </w:t>
      </w:r>
      <w:r>
        <w:rPr>
          <w:rFonts w:ascii="Times New Roman" w:cs="Times New Roman" w:eastAsia="Times New Roman" w:hAnsi="Times New Roman"/>
          <w:b/>
          <w:bCs/>
          <w:sz w:val="24"/>
          <w:szCs w:val="24"/>
        </w:rPr>
        <w:t xml:space="preserve">8:00</w:t>
      </w:r>
      <w:r>
        <w:rPr>
          <w:rFonts w:ascii="Times New Roman" w:cs="Times New Roman" w:eastAsia="Times New Roman" w:hAnsi="Times New Roman"/>
          <w:sz w:val="24"/>
          <w:szCs w:val="24"/>
        </w:rPr>
        <w:t xml:space="preserve">, no a las 9:00.</w:t>
      </w:r>
    </w:p>
    <w:p>
      <w:pPr>
        <w:keepNext/>
        <w:spacing w:after="0" w:before="200"/>
      </w:pPr>
      <w:r>
        <w:rPr>
          <w:rFonts w:ascii="Times New Roman" w:cs="Times New Roman" w:eastAsia="Times New Roman" w:hAnsi="Times New Roman"/>
          <w:b/>
          <w:bCs/>
          <w:sz w:val="24"/>
          <w:szCs w:val="24"/>
        </w:rPr>
        <w:t xml:space="preserve">Figura 1</w:t>
      </w:r>
    </w:p>
    <w:p>
      <w:pPr>
        <w:keepNext/>
        <w:spacing w:after="100"/>
      </w:pPr>
      <w:r>
        <w:rPr>
          <w:rFonts w:ascii="Times New Roman" w:cs="Times New Roman" w:eastAsia="Times New Roman" w:hAnsi="Times New Roman"/>
          <w:i/>
          <w:iCs/>
          <w:sz w:val="24"/>
          <w:szCs w:val="24"/>
        </w:rPr>
        <w:t xml:space="preserve">Distribución del CO2 de salida por hora programada (escenario bajo)</w:t>
      </w:r>
    </w:p>
    <w:p>
      <w:pPr>
        <w:spacing w:after="60"/>
        <w:jc w:val="center"/>
      </w:pPr>
      <w:r>
        <w:drawing>
          <wp:inline distT="0" distB="0" distL="0" distR="0">
            <wp:extent cx="5334000" cy="2705100"/>
            <wp:effectExtent t="0" r="0" b="0" l="0"/>
            <wp:docPr id="1" name="/tmp/claude-0/fig_hora.png" descr="/tmp/claude-0/fig_hora.png" title="/tmp/claude-0/fig_hora.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334000" cy="2705100"/>
                    </a:xfrm>
                    <a:prstGeom prst="rect">
                      <a:avLst/>
                    </a:prstGeom>
                  </pic:spPr>
                </pic:pic>
              </a:graphicData>
            </a:graphic>
          </wp:inline>
        </w:drawing>
      </w:r>
    </w:p>
    <w:p>
      <w:pPr>
        <w:spacing w:after="200" w:before="80"/>
      </w:pPr>
      <w:r>
        <w:rPr>
          <w:rFonts w:ascii="Times New Roman" w:cs="Times New Roman" w:eastAsia="Times New Roman" w:hAnsi="Times New Roman"/>
          <w:i/>
          <w:iCs/>
          <w:sz w:val="22"/>
          <w:szCs w:val="22"/>
        </w:rPr>
        <w:t xml:space="preserve">Nota. </w:t>
      </w:r>
      <w:r>
        <w:rPr>
          <w:rFonts w:ascii="Times New Roman" w:cs="Times New Roman" w:eastAsia="Times New Roman" w:hAnsi="Times New Roman"/>
          <w:sz w:val="22"/>
          <w:szCs w:val="22"/>
        </w:rPr>
        <w:t xml:space="preserve">Cálculo propio con base en BTS On-Time Performance, 2023–2025. Escenario de 6 kg/min y factor 3,16.</w:t>
      </w:r>
    </w:p>
    <w:p>
      <w:pPr>
        <w:spacing w:after="120" w:line="360"/>
        <w:ind w:firstLine="720"/>
        <w:jc w:val="left"/>
      </w:pPr>
      <w:r>
        <w:rPr>
          <w:rFonts w:ascii="Times New Roman" w:cs="Times New Roman" w:eastAsia="Times New Roman" w:hAnsi="Times New Roman"/>
          <w:sz w:val="24"/>
          <w:szCs w:val="24"/>
        </w:rPr>
        <w:t xml:space="preserve">El día de la semana influye poco (jueves, 18,33 min; sábado, 17,59 min). Enero (18,73 min) y diciembre (18,52 min) son los meses más lentos y abril el más corto (17,55 min). Southwest aporta más CO2 de salida por volumen de vuelos, aunque con un promedio corto (13,8 min), mientras que United y SkyWest rondan los 20,5 min.</w:t>
      </w:r>
    </w:p>
    <w:p>
      <w:pPr>
        <w:spacing w:after="120" w:line="360"/>
        <w:ind w:firstLine="720"/>
        <w:jc w:val="left"/>
      </w:pPr>
      <w:r>
        <w:rPr>
          <w:rFonts w:ascii="Times New Roman" w:cs="Times New Roman" w:eastAsia="Times New Roman" w:hAnsi="Times New Roman"/>
          <w:sz w:val="24"/>
          <w:szCs w:val="24"/>
        </w:rPr>
        <w:t xml:space="preserve">Como etiqueta para un posible modelo posterior, se marcó como rodaje excesivo todo vuelo cuya salida supera el percentil 90 de su propio aeropuerto: 1.947.883 vuelos, es decir, 9,44 % de las salidas válidas. Esta etiqueta no es necesaria para el ranking.</w:t>
      </w:r>
    </w:p>
    <w:p>
      <w:pPr>
        <w:pStyle w:val="Heading1"/>
        <w:keepNext/>
        <w:spacing w:after="200" w:before="360" w:line="360"/>
        <w:jc w:val="center"/>
      </w:pPr>
      <w:r>
        <w:rPr>
          <w:rFonts w:ascii="Times New Roman" w:cs="Times New Roman" w:eastAsia="Times New Roman" w:hAnsi="Times New Roman"/>
          <w:b/>
          <w:bCs/>
          <w:sz w:val="24"/>
          <w:szCs w:val="24"/>
        </w:rPr>
        <w:t xml:space="preserve">Flujo recurrente con Prefect</w:t>
      </w:r>
    </w:p>
    <w:p>
      <w:pPr>
        <w:spacing w:after="120" w:line="360"/>
        <w:ind w:firstLine="720"/>
        <w:jc w:val="left"/>
      </w:pPr>
      <w:r>
        <w:rPr>
          <w:rFonts w:ascii="Times New Roman" w:cs="Times New Roman" w:eastAsia="Times New Roman" w:hAnsi="Times New Roman"/>
          <w:sz w:val="24"/>
          <w:szCs w:val="24"/>
        </w:rPr>
        <w:t xml:space="preserve">El flujo </w:t>
      </w:r>
      <w:r>
        <w:rPr>
          <w:rFonts w:ascii="Consolas" w:cs="Consolas" w:eastAsia="Consolas" w:hAnsi="Consolas"/>
          <w:sz w:val="21"/>
          <w:szCs w:val="21"/>
        </w:rPr>
        <w:t xml:space="preserve">ingesta-y-analitica-bts</w:t>
      </w:r>
      <w:r>
        <w:rPr>
          <w:rFonts w:ascii="Times New Roman" w:cs="Times New Roman" w:eastAsia="Times New Roman" w:hAnsi="Times New Roman"/>
          <w:sz w:val="24"/>
          <w:szCs w:val="24"/>
        </w:rPr>
        <w:t xml:space="preserve"> descarga cada mes solo si el ZIP no existe, convierte a Parquet únicamente los meses que no están marcados como listos y, al final, recalcula el CO2 sobre </w:t>
      </w:r>
      <w:r>
        <w:rPr>
          <w:rFonts w:ascii="Times New Roman" w:cs="Times New Roman" w:eastAsia="Times New Roman" w:hAnsi="Times New Roman"/>
          <w:b/>
          <w:bCs/>
          <w:sz w:val="24"/>
          <w:szCs w:val="24"/>
        </w:rPr>
        <w:t xml:space="preserve">todo</w:t>
      </w:r>
      <w:r>
        <w:rPr>
          <w:rFonts w:ascii="Times New Roman" w:cs="Times New Roman" w:eastAsia="Times New Roman" w:hAnsi="Times New Roman"/>
          <w:sz w:val="24"/>
          <w:szCs w:val="24"/>
        </w:rPr>
        <w:t xml:space="preserve"> el Parquet disponible. En la corrida del 6 de octubre de 2026 el flujo omitió los 36 meses ya procesados y dejó 12.164 filas de aeropuerto-mes, 5.169 de aeropuerto-hora y 3 de resumen anual.</w:t>
      </w:r>
    </w:p>
    <w:p>
      <w:pPr>
        <w:spacing w:after="120" w:line="360"/>
        <w:ind w:firstLine="720"/>
        <w:jc w:val="left"/>
      </w:pPr>
      <w:r>
        <w:rPr>
          <w:rFonts w:ascii="Times New Roman" w:cs="Times New Roman" w:eastAsia="Times New Roman" w:hAnsi="Times New Roman"/>
          <w:sz w:val="24"/>
          <w:szCs w:val="24"/>
        </w:rPr>
        <w:t xml:space="preserve">Si un ZIP está corrupto o a un CSV le falta </w:t>
      </w:r>
      <w:r>
        <w:rPr>
          <w:rFonts w:ascii="Consolas" w:cs="Consolas" w:eastAsia="Consolas" w:hAnsi="Consolas"/>
          <w:sz w:val="21"/>
          <w:szCs w:val="21"/>
        </w:rPr>
        <w:t xml:space="preserve">TaxiOut</w:t>
      </w:r>
      <w:r>
        <w:rPr>
          <w:rFonts w:ascii="Times New Roman" w:cs="Times New Roman" w:eastAsia="Times New Roman" w:hAnsi="Times New Roman"/>
          <w:sz w:val="24"/>
          <w:szCs w:val="24"/>
        </w:rPr>
        <w:t xml:space="preserve"> o </w:t>
      </w:r>
      <w:r>
        <w:rPr>
          <w:rFonts w:ascii="Consolas" w:cs="Consolas" w:eastAsia="Consolas" w:hAnsi="Consolas"/>
          <w:sz w:val="21"/>
          <w:szCs w:val="21"/>
        </w:rPr>
        <w:t xml:space="preserve">TaxiIn</w:t>
      </w:r>
      <w:r>
        <w:rPr>
          <w:rFonts w:ascii="Times New Roman" w:cs="Times New Roman" w:eastAsia="Times New Roman" w:hAnsi="Times New Roman"/>
          <w:sz w:val="24"/>
          <w:szCs w:val="24"/>
        </w:rPr>
        <w:t xml:space="preserve">, el flujo lo registra en el log y continúa. Las particiones buenas no se borran ni se reemplazan los CSV hasta que el nuevo cálculo termina con éxito. Este comportamiento se demuestra ejecutando el flujo con </w:t>
      </w:r>
      <w:r>
        <w:rPr>
          <w:rFonts w:ascii="Consolas" w:cs="Consolas" w:eastAsia="Consolas" w:hAnsi="Consolas"/>
          <w:sz w:val="21"/>
          <w:szCs w:val="21"/>
        </w:rPr>
        <w:t xml:space="preserve">demostrar_fallo=True</w:t>
      </w:r>
      <w:r>
        <w:rPr>
          <w:rFonts w:ascii="Times New Roman" w:cs="Times New Roman" w:eastAsia="Times New Roman" w:hAnsi="Times New Roman"/>
          <w:sz w:val="24"/>
          <w:szCs w:val="24"/>
        </w:rPr>
        <w:t xml:space="preserve">.</w:t>
      </w:r>
    </w:p>
    <w:p>
      <w:pPr>
        <w:keepNext/>
        <w:spacing w:after="0" w:before="200"/>
      </w:pPr>
      <w:r>
        <w:rPr>
          <w:rFonts w:ascii="Times New Roman" w:cs="Times New Roman" w:eastAsia="Times New Roman" w:hAnsi="Times New Roman"/>
          <w:b/>
          <w:bCs/>
          <w:sz w:val="24"/>
          <w:szCs w:val="24"/>
        </w:rPr>
        <w:t xml:space="preserve">Figura 2</w:t>
      </w:r>
    </w:p>
    <w:p>
      <w:pPr>
        <w:keepNext/>
        <w:spacing w:after="100"/>
      </w:pPr>
      <w:r>
        <w:rPr>
          <w:rFonts w:ascii="Times New Roman" w:cs="Times New Roman" w:eastAsia="Times New Roman" w:hAnsi="Times New Roman"/>
          <w:i/>
          <w:iCs/>
          <w:sz w:val="24"/>
          <w:szCs w:val="24"/>
        </w:rPr>
        <w:t xml:space="preserve">Evidencia de las corridas del flujo en Prefect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0000" w:sz="6"/>
              <w:left w:val="single" w:color="000000" w:sz="6"/>
              <w:bottom w:val="single" w:color="000000" w:sz="6"/>
              <w:right w:val="single" w:color="000000" w:sz="6"/>
            </w:tcBorders>
            <w:shd w:fill="FFF9C4" w:color="auto" w:val="clear"/>
            <w:tcMar>
              <w:top w:type="dxa" w:w="400"/>
              <w:left w:type="dxa" w:w="200"/>
              <w:bottom w:type="dxa" w:w="400"/>
              <w:right w:type="dxa" w:w="200"/>
            </w:tcMar>
          </w:tcPr>
          <w:p>
            <w:pPr>
              <w:jc w:val="center"/>
            </w:pPr>
            <w:r>
              <w:rPr>
                <w:rFonts w:ascii="Times New Roman" w:cs="Times New Roman" w:eastAsia="Times New Roman" w:hAnsi="Times New Roman"/>
                <w:i/>
                <w:iCs/>
                <w:sz w:val="22"/>
                <w:szCs w:val="22"/>
              </w:rPr>
              <w:t xml:space="preserve">[Insertar captura: historial de dos corridas y de la corrida con fallo controlado en la interfaz de Prefect (localhost:4200)]</w:t>
            </w:r>
          </w:p>
        </w:tc>
      </w:tr>
    </w:tbl>
    <w:p>
      <w:r>
        <w:rPr>
          <w:rFonts w:ascii="Times New Roman" w:cs="Times New Roman" w:eastAsia="Times New Roman" w:hAnsi="Times New Roman"/>
          <w:sz w:val="24"/>
          <w:szCs w:val="24"/>
        </w:rPr>
        <w:t xml:space="preserve"/>
      </w:r>
    </w:p>
    <w:p>
      <w:pPr>
        <w:pStyle w:val="Heading1"/>
        <w:keepNext/>
        <w:spacing w:after="200" w:before="360" w:line="360"/>
        <w:jc w:val="center"/>
      </w:pPr>
      <w:r>
        <w:rPr>
          <w:rFonts w:ascii="Times New Roman" w:cs="Times New Roman" w:eastAsia="Times New Roman" w:hAnsi="Times New Roman"/>
          <w:b/>
          <w:bCs/>
          <w:sz w:val="24"/>
          <w:szCs w:val="24"/>
        </w:rPr>
        <w:t xml:space="preserve">Procesamiento con Dask</w:t>
      </w:r>
    </w:p>
    <w:p>
      <w:pPr>
        <w:spacing w:after="120" w:line="360"/>
        <w:ind w:firstLine="720"/>
        <w:jc w:val="left"/>
      </w:pPr>
      <w:r>
        <w:rPr>
          <w:rFonts w:ascii="Times New Roman" w:cs="Times New Roman" w:eastAsia="Times New Roman" w:hAnsi="Times New Roman"/>
          <w:sz w:val="24"/>
          <w:szCs w:val="24"/>
        </w:rPr>
        <w:t xml:space="preserve">La misma agregación (CO2 de salida por aeropuerto, hora, año y mes) se ejecutó con dos configuraciones de clúster local. Ambas arrojaron </w:t>
      </w:r>
      <w:r>
        <w:rPr>
          <w:rFonts w:ascii="Times New Roman" w:cs="Times New Roman" w:eastAsia="Times New Roman" w:hAnsi="Times New Roman"/>
          <w:b/>
          <w:bCs/>
          <w:sz w:val="24"/>
          <w:szCs w:val="24"/>
        </w:rPr>
        <w:t xml:space="preserve">7.042.250,7 toneladas</w:t>
      </w:r>
      <w:r>
        <w:rPr>
          <w:rFonts w:ascii="Times New Roman" w:cs="Times New Roman" w:eastAsia="Times New Roman" w:hAnsi="Times New Roman"/>
          <w:sz w:val="24"/>
          <w:szCs w:val="24"/>
        </w:rPr>
        <w:t xml:space="preserve"> en 128.075 filas, resultado idéntico al de DuckDB. Esa suma corresponde solo a la salida con hora válida; no equivale al total de 10,3 millones porque este también incluye el rodaje de llegada.</w:t>
      </w:r>
    </w:p>
    <w:p>
      <w:pPr>
        <w:keepNext/>
        <w:spacing w:after="0" w:before="200"/>
      </w:pPr>
      <w:r>
        <w:rPr>
          <w:rFonts w:ascii="Times New Roman" w:cs="Times New Roman" w:eastAsia="Times New Roman" w:hAnsi="Times New Roman"/>
          <w:b/>
          <w:bCs/>
          <w:sz w:val="24"/>
          <w:szCs w:val="24"/>
        </w:rPr>
        <w:t xml:space="preserve">Tabla 1</w:t>
      </w:r>
    </w:p>
    <w:p>
      <w:pPr>
        <w:keepNext/>
        <w:spacing w:after="100"/>
      </w:pPr>
      <w:r>
        <w:rPr>
          <w:rFonts w:ascii="Times New Roman" w:cs="Times New Roman" w:eastAsia="Times New Roman" w:hAnsi="Times New Roman"/>
          <w:i/>
          <w:iCs/>
          <w:sz w:val="24"/>
          <w:szCs w:val="24"/>
        </w:rPr>
        <w:t xml:space="preserve">Comparación de configuraciones de Dask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60"/>
        <w:gridCol w:w="2400"/>
        <w:gridCol w:w="2400"/>
      </w:tblGrid>
      <w:tr>
        <w:trPr>
          <w:cantSplit/>
          <w:tblHeader/>
        </w:trPr>
        <w:tc>
          <w:tcPr>
            <w:tcW w:type="dxa" w:w="4560"/>
            <w:tcBorders>
              <w:top w:val="single" w:color="000000" w:sz="6"/>
              <w:left w:val="none" w:color="FFFFFF" w:sz="0"/>
              <w:bottom w:val="single" w:color="000000" w:sz="6"/>
              <w:right w:val="none" w:color="FFFFFF" w:sz="0"/>
            </w:tcBorders>
            <w:tcMar>
              <w:top w:type="dxa" w:w="60"/>
              <w:left w:type="dxa" w:w="100"/>
              <w:bottom w:type="dxa" w:w="60"/>
              <w:right w:type="dxa" w:w="100"/>
            </w:tcMar>
          </w:tcPr>
          <w:p>
            <w:pPr>
              <w:jc w:val="left"/>
            </w:pPr>
            <w:r>
              <w:rPr>
                <w:rFonts w:ascii="Times New Roman" w:cs="Times New Roman" w:eastAsia="Times New Roman" w:hAnsi="Times New Roman"/>
                <w:b/>
                <w:bCs/>
                <w:sz w:val="22"/>
                <w:szCs w:val="22"/>
              </w:rPr>
              <w:t xml:space="preserve">Configuración</w:t>
            </w:r>
          </w:p>
        </w:tc>
        <w:tc>
          <w:tcPr>
            <w:tcW w:type="dxa" w:w="2400"/>
            <w:tcBorders>
              <w:top w:val="single" w:color="000000" w:sz="6"/>
              <w:left w:val="none" w:color="FFFFFF" w:sz="0"/>
              <w:bottom w:val="single" w:color="000000" w:sz="6"/>
              <w:right w:val="none" w:color="FFFFFF" w:sz="0"/>
            </w:tcBorders>
            <w:tcMar>
              <w:top w:type="dxa" w:w="60"/>
              <w:left w:type="dxa" w:w="100"/>
              <w:bottom w:type="dxa" w:w="60"/>
              <w:right w:type="dxa" w:w="100"/>
            </w:tcMar>
          </w:tcPr>
          <w:p>
            <w:pPr>
              <w:jc w:val="right"/>
            </w:pPr>
            <w:r>
              <w:rPr>
                <w:rFonts w:ascii="Times New Roman" w:cs="Times New Roman" w:eastAsia="Times New Roman" w:hAnsi="Times New Roman"/>
                <w:b/>
                <w:bCs/>
                <w:sz w:val="22"/>
                <w:szCs w:val="22"/>
              </w:rPr>
              <w:t xml:space="preserve">Tiempo</w:t>
            </w:r>
          </w:p>
        </w:tc>
        <w:tc>
          <w:tcPr>
            <w:tcW w:type="dxa" w:w="2400"/>
            <w:tcBorders>
              <w:top w:val="single" w:color="000000" w:sz="6"/>
              <w:left w:val="none" w:color="FFFFFF" w:sz="0"/>
              <w:bottom w:val="single" w:color="000000" w:sz="6"/>
              <w:right w:val="none" w:color="FFFFFF" w:sz="0"/>
            </w:tcBorders>
            <w:tcMar>
              <w:top w:type="dxa" w:w="60"/>
              <w:left w:type="dxa" w:w="100"/>
              <w:bottom w:type="dxa" w:w="60"/>
              <w:right w:type="dxa" w:w="100"/>
            </w:tcMar>
          </w:tcPr>
          <w:p>
            <w:pPr>
              <w:jc w:val="right"/>
            </w:pPr>
            <w:r>
              <w:rPr>
                <w:rFonts w:ascii="Times New Roman" w:cs="Times New Roman" w:eastAsia="Times New Roman" w:hAnsi="Times New Roman"/>
                <w:b/>
                <w:bCs/>
                <w:sz w:val="22"/>
                <w:szCs w:val="22"/>
              </w:rPr>
              <w:t xml:space="preserve">Memoria observada</w:t>
            </w:r>
          </w:p>
        </w:tc>
      </w:tr>
      <w:tr>
        <w:trPr>
          <w:cantSplit/>
          <w:tblHeader w:val="false"/>
        </w:trPr>
        <w:tc>
          <w:tcPr>
            <w:tcW w:type="dxa" w:w="4560"/>
            <w:tcBorders>
              <w:top w:val="single" w:color="000000" w:sz="6"/>
              <w:left w:val="none" w:color="FFFFFF" w:sz="0"/>
              <w:bottom w:val="none" w:color="FFFFFF" w:sz="0"/>
              <w:right w:val="none" w:color="FFFFFF" w:sz="0"/>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2"/>
                <w:szCs w:val="22"/>
              </w:rPr>
              <w:t xml:space="preserve">A: 2 workers, 2 hilos, 2 GB cada uno</w:t>
            </w:r>
          </w:p>
        </w:tc>
        <w:tc>
          <w:tcPr>
            <w:tcW w:type="dxa" w:w="2400"/>
            <w:tcBorders>
              <w:top w:val="single" w:color="000000" w:sz="6"/>
              <w:left w:val="none" w:color="FFFFFF" w:sz="0"/>
              <w:bottom w:val="none" w:color="FFFFFF" w:sz="0"/>
              <w:right w:val="none" w:color="FFFFFF" w:sz="0"/>
            </w:tcBorders>
            <w:tcMar>
              <w:top w:type="dxa" w:w="60"/>
              <w:left w:type="dxa" w:w="100"/>
              <w:bottom w:type="dxa" w:w="60"/>
              <w:right w:type="dxa" w:w="100"/>
            </w:tcMar>
          </w:tcPr>
          <w:p>
            <w:pPr>
              <w:jc w:val="right"/>
            </w:pPr>
            <w:r>
              <w:rPr>
                <w:rFonts w:ascii="Times New Roman" w:cs="Times New Roman" w:eastAsia="Times New Roman" w:hAnsi="Times New Roman"/>
                <w:b w:val="false"/>
                <w:bCs w:val="false"/>
                <w:sz w:val="22"/>
                <w:szCs w:val="22"/>
              </w:rPr>
              <w:t xml:space="preserve">8,0 s</w:t>
            </w:r>
          </w:p>
        </w:tc>
        <w:tc>
          <w:tcPr>
            <w:tcW w:type="dxa" w:w="2400"/>
            <w:tcBorders>
              <w:top w:val="single" w:color="000000" w:sz="6"/>
              <w:left w:val="none" w:color="FFFFFF" w:sz="0"/>
              <w:bottom w:val="none" w:color="FFFFFF" w:sz="0"/>
              <w:right w:val="none" w:color="FFFFFF" w:sz="0"/>
            </w:tcBorders>
            <w:tcMar>
              <w:top w:type="dxa" w:w="60"/>
              <w:left w:type="dxa" w:w="100"/>
              <w:bottom w:type="dxa" w:w="60"/>
              <w:right w:type="dxa" w:w="100"/>
            </w:tcMar>
          </w:tcPr>
          <w:p>
            <w:pPr>
              <w:jc w:val="right"/>
            </w:pPr>
            <w:r>
              <w:rPr>
                <w:rFonts w:ascii="Times New Roman" w:cs="Times New Roman" w:eastAsia="Times New Roman" w:hAnsi="Times New Roman"/>
                <w:b w:val="false"/>
                <w:bCs w:val="false"/>
                <w:sz w:val="22"/>
                <w:szCs w:val="22"/>
              </w:rPr>
              <w:t xml:space="preserve">2.037 MB</w:t>
            </w:r>
          </w:p>
        </w:tc>
      </w:tr>
      <w:tr>
        <w:trPr>
          <w:cantSplit/>
          <w:tblHeader w:val="false"/>
        </w:trPr>
        <w:tc>
          <w:tcPr>
            <w:tcW w:type="dxa" w:w="4560"/>
            <w:tcBorders>
              <w:top w:val="none" w:color="FFFFFF" w:sz="0"/>
              <w:left w:val="none" w:color="FFFFFF" w:sz="0"/>
              <w:bottom w:val="single" w:color="000000" w:sz="6"/>
              <w:right w:val="none" w:color="FFFFFF" w:sz="0"/>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2"/>
                <w:szCs w:val="22"/>
              </w:rPr>
              <w:t xml:space="preserve">B: 4 workers, 1 hilo, 1 GB cada uno</w:t>
            </w:r>
          </w:p>
        </w:tc>
        <w:tc>
          <w:tcPr>
            <w:tcW w:type="dxa" w:w="2400"/>
            <w:tcBorders>
              <w:top w:val="none" w:color="FFFFFF" w:sz="0"/>
              <w:left w:val="none" w:color="FFFFFF" w:sz="0"/>
              <w:bottom w:val="single" w:color="000000" w:sz="6"/>
              <w:right w:val="none" w:color="FFFFFF" w:sz="0"/>
            </w:tcBorders>
            <w:tcMar>
              <w:top w:type="dxa" w:w="60"/>
              <w:left w:type="dxa" w:w="100"/>
              <w:bottom w:type="dxa" w:w="60"/>
              <w:right w:type="dxa" w:w="100"/>
            </w:tcMar>
          </w:tcPr>
          <w:p>
            <w:pPr>
              <w:jc w:val="right"/>
            </w:pPr>
            <w:r>
              <w:rPr>
                <w:rFonts w:ascii="Times New Roman" w:cs="Times New Roman" w:eastAsia="Times New Roman" w:hAnsi="Times New Roman"/>
                <w:b w:val="false"/>
                <w:bCs w:val="false"/>
                <w:sz w:val="22"/>
                <w:szCs w:val="22"/>
              </w:rPr>
              <w:t xml:space="preserve">9,4 s</w:t>
            </w:r>
          </w:p>
        </w:tc>
        <w:tc>
          <w:tcPr>
            <w:tcW w:type="dxa" w:w="2400"/>
            <w:tcBorders>
              <w:top w:val="none" w:color="FFFFFF" w:sz="0"/>
              <w:left w:val="none" w:color="FFFFFF" w:sz="0"/>
              <w:bottom w:val="single" w:color="000000" w:sz="6"/>
              <w:right w:val="none" w:color="FFFFFF" w:sz="0"/>
            </w:tcBorders>
            <w:tcMar>
              <w:top w:type="dxa" w:w="60"/>
              <w:left w:type="dxa" w:w="100"/>
              <w:bottom w:type="dxa" w:w="60"/>
              <w:right w:type="dxa" w:w="100"/>
            </w:tcMar>
          </w:tcPr>
          <w:p>
            <w:pPr>
              <w:jc w:val="right"/>
            </w:pPr>
            <w:r>
              <w:rPr>
                <w:rFonts w:ascii="Times New Roman" w:cs="Times New Roman" w:eastAsia="Times New Roman" w:hAnsi="Times New Roman"/>
                <w:b w:val="false"/>
                <w:bCs w:val="false"/>
                <w:sz w:val="22"/>
                <w:szCs w:val="22"/>
              </w:rPr>
              <w:t xml:space="preserve">2.558 MB</w:t>
            </w:r>
          </w:p>
        </w:tc>
      </w:tr>
    </w:tbl>
    <w:p>
      <w:pPr>
        <w:spacing w:after="200" w:before="80"/>
      </w:pPr>
      <w:r>
        <w:rPr>
          <w:rFonts w:ascii="Times New Roman" w:cs="Times New Roman" w:eastAsia="Times New Roman" w:hAnsi="Times New Roman"/>
          <w:i/>
          <w:iCs/>
          <w:sz w:val="22"/>
          <w:szCs w:val="22"/>
        </w:rPr>
        <w:t xml:space="preserve">Nota. </w:t>
      </w:r>
      <w:r>
        <w:rPr>
          <w:rFonts w:ascii="Times New Roman" w:cs="Times New Roman" w:eastAsia="Times New Roman" w:hAnsi="Times New Roman"/>
          <w:sz w:val="22"/>
          <w:szCs w:val="22"/>
        </w:rPr>
        <w:t xml:space="preserve">Ejecución sobre el Parquet completo; valores del archivo </w:t>
      </w:r>
      <w:r>
        <w:rPr>
          <w:rFonts w:ascii="Consolas" w:cs="Consolas" w:eastAsia="Consolas" w:hAnsi="Consolas"/>
          <w:sz w:val="21"/>
          <w:szCs w:val="21"/>
        </w:rPr>
        <w:t xml:space="preserve">benchmark_dask.csv</w:t>
      </w:r>
      <w:r>
        <w:rPr>
          <w:rFonts w:ascii="Times New Roman" w:cs="Times New Roman" w:eastAsia="Times New Roman" w:hAnsi="Times New Roman"/>
          <w:sz w:val="22"/>
          <w:szCs w:val="22"/>
        </w:rPr>
        <w:t xml:space="preserve">.</w:t>
      </w:r>
    </w:p>
    <w:p>
      <w:pPr>
        <w:spacing w:after="120" w:line="360"/>
        <w:ind w:firstLine="720"/>
        <w:jc w:val="left"/>
      </w:pPr>
      <w:r>
        <w:rPr>
          <w:rFonts w:ascii="Times New Roman" w:cs="Times New Roman" w:eastAsia="Times New Roman" w:hAnsi="Times New Roman"/>
          <w:sz w:val="24"/>
          <w:szCs w:val="24"/>
        </w:rPr>
        <w:t xml:space="preserve">De nuevo resultó más rápida la configuración con menos procesos y más hilos por proceso, y también usó menos memoria en su pico. Con este volumen de datos, el costo de coordinar procesos supera al de calcular. La configuración C (4 workers × 2 GB) no se ejecutó, pues había 4,1 GB libres y el script exige al menos 8 GB para no dejar el equipo sin memoria.</w:t>
      </w:r>
    </w:p>
    <w:p>
      <w:pPr>
        <w:keepNext/>
        <w:spacing w:after="0" w:before="200"/>
      </w:pPr>
      <w:r>
        <w:rPr>
          <w:rFonts w:ascii="Times New Roman" w:cs="Times New Roman" w:eastAsia="Times New Roman" w:hAnsi="Times New Roman"/>
          <w:b/>
          <w:bCs/>
          <w:sz w:val="24"/>
          <w:szCs w:val="24"/>
        </w:rPr>
        <w:t xml:space="preserve">Figura 3</w:t>
      </w:r>
    </w:p>
    <w:p>
      <w:pPr>
        <w:keepNext/>
        <w:spacing w:after="100"/>
      </w:pPr>
      <w:r>
        <w:rPr>
          <w:rFonts w:ascii="Times New Roman" w:cs="Times New Roman" w:eastAsia="Times New Roman" w:hAnsi="Times New Roman"/>
          <w:i/>
          <w:iCs/>
          <w:sz w:val="24"/>
          <w:szCs w:val="24"/>
        </w:rPr>
        <w:t xml:space="preserve">Panel de diagnóstico de Dask durante la ejecución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0000" w:sz="6"/>
              <w:left w:val="single" w:color="000000" w:sz="6"/>
              <w:bottom w:val="single" w:color="000000" w:sz="6"/>
              <w:right w:val="single" w:color="000000" w:sz="6"/>
            </w:tcBorders>
            <w:shd w:fill="FFF9C4" w:color="auto" w:val="clear"/>
            <w:tcMar>
              <w:top w:type="dxa" w:w="400"/>
              <w:left w:type="dxa" w:w="200"/>
              <w:bottom w:type="dxa" w:w="400"/>
              <w:right w:type="dxa" w:w="200"/>
            </w:tcMar>
          </w:tcPr>
          <w:p>
            <w:pPr>
              <w:jc w:val="center"/>
            </w:pPr>
            <w:r>
              <w:rPr>
                <w:rFonts w:ascii="Times New Roman" w:cs="Times New Roman" w:eastAsia="Times New Roman" w:hAnsi="Times New Roman"/>
                <w:i/>
                <w:iCs/>
                <w:sz w:val="22"/>
                <w:szCs w:val="22"/>
              </w:rPr>
              <w:t xml:space="preserve">[Insertar captura: dashboard de Dask (localhost:8787) de las configuraciones A y B]</w:t>
            </w:r>
          </w:p>
        </w:tc>
      </w:tr>
    </w:tbl>
    <w:p>
      <w:r>
        <w:rPr>
          <w:rFonts w:ascii="Times New Roman" w:cs="Times New Roman" w:eastAsia="Times New Roman" w:hAnsi="Times New Roman"/>
          <w:sz w:val="24"/>
          <w:szCs w:val="24"/>
        </w:rPr>
        <w:t xml:space="preserve"/>
      </w:r>
    </w:p>
    <w:p>
      <w:pPr>
        <w:pStyle w:val="Heading1"/>
        <w:keepNext/>
        <w:spacing w:after="200" w:before="360" w:line="360"/>
        <w:jc w:val="center"/>
      </w:pPr>
      <w:r>
        <w:rPr>
          <w:rFonts w:ascii="Times New Roman" w:cs="Times New Roman" w:eastAsia="Times New Roman" w:hAnsi="Times New Roman"/>
          <w:b/>
          <w:bCs/>
          <w:sz w:val="24"/>
          <w:szCs w:val="24"/>
        </w:rPr>
        <w:t xml:space="preserve">Efecto del clima</w:t>
      </w:r>
    </w:p>
    <w:p>
      <w:pPr>
        <w:spacing w:after="120" w:line="360"/>
        <w:ind w:firstLine="720"/>
        <w:jc w:val="left"/>
      </w:pPr>
      <w:r>
        <w:rPr>
          <w:rFonts w:ascii="Times New Roman" w:cs="Times New Roman" w:eastAsia="Times New Roman" w:hAnsi="Times New Roman"/>
          <w:sz w:val="24"/>
          <w:szCs w:val="24"/>
        </w:rPr>
        <w:t xml:space="preserve">En los 20 aeropuertos con clima diario, y analizando cada fenómeno por separado, el rodaje de salida se alarga así:</w:t>
      </w:r>
    </w:p>
    <w:p>
      <w:pPr>
        <w:pStyle w:val="ListParagraph"/>
        <w:numPr>
          <w:ilvl w:val="0"/>
          <w:numId w:val="3"/>
        </w:numPr>
        <w:spacing w:after="60" w:line="360"/>
      </w:pPr>
      <w:r>
        <w:rPr>
          <w:rFonts w:ascii="Times New Roman" w:cs="Times New Roman" w:eastAsia="Times New Roman" w:hAnsi="Times New Roman"/>
          <w:b/>
          <w:bCs/>
          <w:sz w:val="24"/>
          <w:szCs w:val="24"/>
        </w:rPr>
        <w:t xml:space="preserve">Nieve:</w:t>
      </w:r>
      <w:r>
        <w:rPr>
          <w:rFonts w:ascii="Times New Roman" w:cs="Times New Roman" w:eastAsia="Times New Roman" w:hAnsi="Times New Roman"/>
          <w:sz w:val="24"/>
          <w:szCs w:val="24"/>
        </w:rPr>
        <w:t xml:space="preserve"> 26,40 min, frente a 19,70 min sin nieve.</w:t>
      </w:r>
    </w:p>
    <w:p>
      <w:pPr>
        <w:pStyle w:val="ListParagraph"/>
        <w:numPr>
          <w:ilvl w:val="0"/>
          <w:numId w:val="3"/>
        </w:numPr>
        <w:spacing w:after="60" w:line="360"/>
      </w:pPr>
      <w:r>
        <w:rPr>
          <w:rFonts w:ascii="Times New Roman" w:cs="Times New Roman" w:eastAsia="Times New Roman" w:hAnsi="Times New Roman"/>
          <w:b/>
          <w:bCs/>
          <w:sz w:val="24"/>
          <w:szCs w:val="24"/>
        </w:rPr>
        <w:t xml:space="preserve">Lluvia fuerte</w:t>
      </w:r>
      <w:r>
        <w:rPr>
          <w:rFonts w:ascii="Times New Roman" w:cs="Times New Roman" w:eastAsia="Times New Roman" w:hAnsi="Times New Roman"/>
          <w:sz w:val="24"/>
          <w:szCs w:val="24"/>
        </w:rPr>
        <w:t xml:space="preserve"> (más de 5 mm): 22,66 min, frente a 18,88 min en un día seco y sin nieve.</w:t>
      </w:r>
    </w:p>
    <w:p>
      <w:pPr>
        <w:pStyle w:val="ListParagraph"/>
        <w:numPr>
          <w:ilvl w:val="0"/>
          <w:numId w:val="3"/>
        </w:numPr>
        <w:spacing w:after="60" w:line="360"/>
      </w:pPr>
      <w:r>
        <w:rPr>
          <w:rFonts w:ascii="Times New Roman" w:cs="Times New Roman" w:eastAsia="Times New Roman" w:hAnsi="Times New Roman"/>
          <w:b/>
          <w:bCs/>
          <w:sz w:val="24"/>
          <w:szCs w:val="24"/>
        </w:rPr>
        <w:t xml:space="preserve">Viento</w:t>
      </w:r>
      <w:r>
        <w:rPr>
          <w:rFonts w:ascii="Times New Roman" w:cs="Times New Roman" w:eastAsia="Times New Roman" w:hAnsi="Times New Roman"/>
          <w:sz w:val="24"/>
          <w:szCs w:val="24"/>
        </w:rPr>
        <w:t xml:space="preserve"> de 40 km/h o más: 22,27 min, frente a 19,96 min.</w:t>
      </w:r>
    </w:p>
    <w:p>
      <w:pPr>
        <w:spacing w:after="120" w:line="360"/>
        <w:ind w:firstLine="720"/>
        <w:jc w:val="left"/>
      </w:pPr>
      <w:r>
        <w:rPr>
          <w:rFonts w:ascii="Times New Roman" w:cs="Times New Roman" w:eastAsia="Times New Roman" w:hAnsi="Times New Roman"/>
          <w:sz w:val="24"/>
          <w:szCs w:val="24"/>
        </w:rPr>
        <w:t xml:space="preserve">No puede afirmarse que el clima sea la causa única, pues un día de nieve también desordena la operación de pistas. Sí es claro que el rodaje se alarga y que un reporte no debería promediar todos los días como si fueran equivalentes. Los datos de clima son diarios (no corresponden a la hora del vuelo) y no cubren toda la red.</w:t>
      </w:r>
    </w:p>
    <w:p>
      <w:pPr>
        <w:pStyle w:val="Heading1"/>
        <w:keepNext/>
        <w:spacing w:after="200" w:before="360" w:line="360"/>
        <w:jc w:val="center"/>
      </w:pPr>
      <w:r>
        <w:rPr>
          <w:rFonts w:ascii="Times New Roman" w:cs="Times New Roman" w:eastAsia="Times New Roman" w:hAnsi="Times New Roman"/>
          <w:b/>
          <w:bCs/>
          <w:sz w:val="24"/>
          <w:szCs w:val="24"/>
        </w:rPr>
        <w:t xml:space="preserve">Cálculo de CO2 y supuestos</w:t>
      </w:r>
    </w:p>
    <w:p>
      <w:pPr>
        <w:spacing w:after="120" w:line="360"/>
        <w:ind w:firstLine="720"/>
        <w:jc w:val="left"/>
      </w:pPr>
      <w:r>
        <w:rPr>
          <w:rFonts w:ascii="Times New Roman" w:cs="Times New Roman" w:eastAsia="Times New Roman" w:hAnsi="Times New Roman"/>
          <w:sz w:val="24"/>
          <w:szCs w:val="24"/>
        </w:rPr>
        <w:t xml:space="preserve">El cálculo parte de dos ecuaciones: </w:t>
      </w:r>
      <w:r>
        <w:rPr>
          <w:rFonts w:ascii="Consolas" w:cs="Consolas" w:eastAsia="Consolas" w:hAnsi="Consolas"/>
          <w:sz w:val="21"/>
          <w:szCs w:val="21"/>
        </w:rPr>
        <w:t xml:space="preserve">combustible_kg = minutos × kg_por_minuto</w:t>
      </w:r>
      <w:r>
        <w:rPr>
          <w:rFonts w:ascii="Times New Roman" w:cs="Times New Roman" w:eastAsia="Times New Roman" w:hAnsi="Times New Roman"/>
          <w:sz w:val="24"/>
          <w:szCs w:val="24"/>
        </w:rPr>
        <w:t xml:space="preserve"> y </w:t>
      </w:r>
      <w:r>
        <w:rPr>
          <w:rFonts w:ascii="Consolas" w:cs="Consolas" w:eastAsia="Consolas" w:hAnsi="Consolas"/>
          <w:sz w:val="21"/>
          <w:szCs w:val="21"/>
        </w:rPr>
        <w:t xml:space="preserve">co2_kg = combustible_kg × 3,16</w:t>
      </w:r>
      <w:r>
        <w:rPr>
          <w:rFonts w:ascii="Times New Roman" w:cs="Times New Roman" w:eastAsia="Times New Roman" w:hAnsi="Times New Roman"/>
          <w:sz w:val="24"/>
          <w:szCs w:val="24"/>
        </w:rPr>
        <w:t xml:space="preserve">.</w:t>
      </w:r>
    </w:p>
    <w:p>
      <w:pPr>
        <w:keepNext/>
        <w:spacing w:after="0" w:before="200"/>
      </w:pPr>
      <w:r>
        <w:rPr>
          <w:rFonts w:ascii="Times New Roman" w:cs="Times New Roman" w:eastAsia="Times New Roman" w:hAnsi="Times New Roman"/>
          <w:b/>
          <w:bCs/>
          <w:sz w:val="24"/>
          <w:szCs w:val="24"/>
        </w:rPr>
        <w:t xml:space="preserve">Tabla 2</w:t>
      </w:r>
    </w:p>
    <w:p>
      <w:pPr>
        <w:keepNext/>
        <w:spacing w:after="100"/>
      </w:pPr>
      <w:r>
        <w:rPr>
          <w:rFonts w:ascii="Times New Roman" w:cs="Times New Roman" w:eastAsia="Times New Roman" w:hAnsi="Times New Roman"/>
          <w:i/>
          <w:iCs/>
          <w:sz w:val="24"/>
          <w:szCs w:val="24"/>
        </w:rPr>
        <w:t xml:space="preserve">Rodaje y emisiones de CO2 por año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60"/>
        <w:gridCol w:w="2100"/>
        <w:gridCol w:w="1900"/>
        <w:gridCol w:w="2050"/>
        <w:gridCol w:w="2050"/>
      </w:tblGrid>
      <w:tr>
        <w:trPr>
          <w:cantSplit/>
          <w:tblHeader/>
        </w:trPr>
        <w:tc>
          <w:tcPr>
            <w:tcW w:type="dxa" w:w="1260"/>
            <w:tcBorders>
              <w:top w:val="single" w:color="000000" w:sz="6"/>
              <w:left w:val="none" w:color="FFFFFF" w:sz="0"/>
              <w:bottom w:val="single" w:color="000000" w:sz="6"/>
              <w:right w:val="none" w:color="FFFFFF" w:sz="0"/>
            </w:tcBorders>
            <w:tcMar>
              <w:top w:type="dxa" w:w="60"/>
              <w:left w:type="dxa" w:w="100"/>
              <w:bottom w:type="dxa" w:w="60"/>
              <w:right w:type="dxa" w:w="100"/>
            </w:tcMar>
          </w:tcPr>
          <w:p>
            <w:pPr>
              <w:jc w:val="left"/>
            </w:pPr>
            <w:r>
              <w:rPr>
                <w:rFonts w:ascii="Times New Roman" w:cs="Times New Roman" w:eastAsia="Times New Roman" w:hAnsi="Times New Roman"/>
                <w:b/>
                <w:bCs/>
                <w:sz w:val="22"/>
                <w:szCs w:val="22"/>
              </w:rPr>
              <w:t xml:space="preserve">Año</w:t>
            </w:r>
          </w:p>
        </w:tc>
        <w:tc>
          <w:tcPr>
            <w:tcW w:type="dxa" w:w="2100"/>
            <w:tcBorders>
              <w:top w:val="single" w:color="000000" w:sz="6"/>
              <w:left w:val="none" w:color="FFFFFF" w:sz="0"/>
              <w:bottom w:val="single" w:color="000000" w:sz="6"/>
              <w:right w:val="none" w:color="FFFFFF" w:sz="0"/>
            </w:tcBorders>
            <w:tcMar>
              <w:top w:type="dxa" w:w="60"/>
              <w:left w:type="dxa" w:w="100"/>
              <w:bottom w:type="dxa" w:w="60"/>
              <w:right w:type="dxa" w:w="100"/>
            </w:tcMar>
          </w:tcPr>
          <w:p>
            <w:pPr>
              <w:jc w:val="right"/>
            </w:pPr>
            <w:r>
              <w:rPr>
                <w:rFonts w:ascii="Times New Roman" w:cs="Times New Roman" w:eastAsia="Times New Roman" w:hAnsi="Times New Roman"/>
                <w:b/>
                <w:bCs/>
                <w:sz w:val="22"/>
                <w:szCs w:val="22"/>
              </w:rPr>
              <w:t xml:space="preserve">Vuelos válidos</w:t>
            </w:r>
          </w:p>
        </w:tc>
        <w:tc>
          <w:tcPr>
            <w:tcW w:type="dxa" w:w="1900"/>
            <w:tcBorders>
              <w:top w:val="single" w:color="000000" w:sz="6"/>
              <w:left w:val="none" w:color="FFFFFF" w:sz="0"/>
              <w:bottom w:val="single" w:color="000000" w:sz="6"/>
              <w:right w:val="none" w:color="FFFFFF" w:sz="0"/>
            </w:tcBorders>
            <w:tcMar>
              <w:top w:type="dxa" w:w="60"/>
              <w:left w:type="dxa" w:w="100"/>
              <w:bottom w:type="dxa" w:w="60"/>
              <w:right w:type="dxa" w:w="100"/>
            </w:tcMar>
          </w:tcPr>
          <w:p>
            <w:pPr>
              <w:jc w:val="right"/>
            </w:pPr>
            <w:r>
              <w:rPr>
                <w:rFonts w:ascii="Times New Roman" w:cs="Times New Roman" w:eastAsia="Times New Roman" w:hAnsi="Times New Roman"/>
                <w:b/>
                <w:bCs/>
                <w:sz w:val="22"/>
                <w:szCs w:val="22"/>
              </w:rPr>
              <w:t xml:space="preserve">Horas de rodaje</w:t>
            </w:r>
          </w:p>
        </w:tc>
        <w:tc>
          <w:tcPr>
            <w:tcW w:type="dxa" w:w="2050"/>
            <w:tcBorders>
              <w:top w:val="single" w:color="000000" w:sz="6"/>
              <w:left w:val="none" w:color="FFFFFF" w:sz="0"/>
              <w:bottom w:val="single" w:color="000000" w:sz="6"/>
              <w:right w:val="none" w:color="FFFFFF" w:sz="0"/>
            </w:tcBorders>
            <w:tcMar>
              <w:top w:type="dxa" w:w="60"/>
              <w:left w:type="dxa" w:w="100"/>
              <w:bottom w:type="dxa" w:w="60"/>
              <w:right w:type="dxa" w:w="100"/>
            </w:tcMar>
          </w:tcPr>
          <w:p>
            <w:pPr>
              <w:jc w:val="right"/>
            </w:pPr>
            <w:r>
              <w:rPr>
                <w:rFonts w:ascii="Times New Roman" w:cs="Times New Roman" w:eastAsia="Times New Roman" w:hAnsi="Times New Roman"/>
                <w:b/>
                <w:bCs/>
                <w:sz w:val="22"/>
                <w:szCs w:val="22"/>
              </w:rPr>
              <w:t xml:space="preserve">CO2, 6 kg/min (t)</w:t>
            </w:r>
          </w:p>
        </w:tc>
        <w:tc>
          <w:tcPr>
            <w:tcW w:type="dxa" w:w="2050"/>
            <w:tcBorders>
              <w:top w:val="single" w:color="000000" w:sz="6"/>
              <w:left w:val="none" w:color="FFFFFF" w:sz="0"/>
              <w:bottom w:val="single" w:color="000000" w:sz="6"/>
              <w:right w:val="none" w:color="FFFFFF" w:sz="0"/>
            </w:tcBorders>
            <w:tcMar>
              <w:top w:type="dxa" w:w="60"/>
              <w:left w:type="dxa" w:w="100"/>
              <w:bottom w:type="dxa" w:w="60"/>
              <w:right w:type="dxa" w:w="100"/>
            </w:tcMar>
          </w:tcPr>
          <w:p>
            <w:pPr>
              <w:jc w:val="right"/>
            </w:pPr>
            <w:r>
              <w:rPr>
                <w:rFonts w:ascii="Times New Roman" w:cs="Times New Roman" w:eastAsia="Times New Roman" w:hAnsi="Times New Roman"/>
                <w:b/>
                <w:bCs/>
                <w:sz w:val="22"/>
                <w:szCs w:val="22"/>
              </w:rPr>
              <w:t xml:space="preserve">CO2, 12 kg/min (t)</w:t>
            </w:r>
          </w:p>
        </w:tc>
      </w:tr>
      <w:tr>
        <w:trPr>
          <w:cantSplit/>
          <w:tblHeader w:val="false"/>
        </w:trPr>
        <w:tc>
          <w:tcPr>
            <w:tcW w:type="dxa" w:w="1260"/>
            <w:tcBorders>
              <w:top w:val="single" w:color="000000" w:sz="6"/>
              <w:left w:val="none" w:color="FFFFFF" w:sz="0"/>
              <w:bottom w:val="none" w:color="FFFFFF" w:sz="0"/>
              <w:right w:val="none" w:color="FFFFFF" w:sz="0"/>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2"/>
                <w:szCs w:val="22"/>
              </w:rPr>
              <w:t xml:space="preserve">2023</w:t>
            </w:r>
          </w:p>
        </w:tc>
        <w:tc>
          <w:tcPr>
            <w:tcW w:type="dxa" w:w="2100"/>
            <w:tcBorders>
              <w:top w:val="single" w:color="000000" w:sz="6"/>
              <w:left w:val="none" w:color="FFFFFF" w:sz="0"/>
              <w:bottom w:val="none" w:color="FFFFFF" w:sz="0"/>
              <w:right w:val="none" w:color="FFFFFF" w:sz="0"/>
            </w:tcBorders>
            <w:tcMar>
              <w:top w:type="dxa" w:w="60"/>
              <w:left w:type="dxa" w:w="100"/>
              <w:bottom w:type="dxa" w:w="60"/>
              <w:right w:type="dxa" w:w="100"/>
            </w:tcMar>
          </w:tcPr>
          <w:p>
            <w:pPr>
              <w:jc w:val="right"/>
            </w:pPr>
            <w:r>
              <w:rPr>
                <w:rFonts w:ascii="Times New Roman" w:cs="Times New Roman" w:eastAsia="Times New Roman" w:hAnsi="Times New Roman"/>
                <w:b w:val="false"/>
                <w:bCs w:val="false"/>
                <w:sz w:val="22"/>
                <w:szCs w:val="22"/>
              </w:rPr>
              <w:t xml:space="preserve">6.758.238</w:t>
            </w:r>
          </w:p>
        </w:tc>
        <w:tc>
          <w:tcPr>
            <w:tcW w:type="dxa" w:w="1900"/>
            <w:tcBorders>
              <w:top w:val="single" w:color="000000" w:sz="6"/>
              <w:left w:val="none" w:color="FFFFFF" w:sz="0"/>
              <w:bottom w:val="none" w:color="FFFFFF" w:sz="0"/>
              <w:right w:val="none" w:color="FFFFFF" w:sz="0"/>
            </w:tcBorders>
            <w:tcMar>
              <w:top w:type="dxa" w:w="60"/>
              <w:left w:type="dxa" w:w="100"/>
              <w:bottom w:type="dxa" w:w="60"/>
              <w:right w:type="dxa" w:w="100"/>
            </w:tcMar>
          </w:tcPr>
          <w:p>
            <w:pPr>
              <w:jc w:val="right"/>
            </w:pPr>
            <w:r>
              <w:rPr>
                <w:rFonts w:ascii="Times New Roman" w:cs="Times New Roman" w:eastAsia="Times New Roman" w:hAnsi="Times New Roman"/>
                <w:b w:val="false"/>
                <w:bCs w:val="false"/>
                <w:sz w:val="22"/>
                <w:szCs w:val="22"/>
              </w:rPr>
              <w:t xml:space="preserve">2.873.412</w:t>
            </w:r>
          </w:p>
        </w:tc>
        <w:tc>
          <w:tcPr>
            <w:tcW w:type="dxa" w:w="2050"/>
            <w:tcBorders>
              <w:top w:val="single" w:color="000000" w:sz="6"/>
              <w:left w:val="none" w:color="FFFFFF" w:sz="0"/>
              <w:bottom w:val="none" w:color="FFFFFF" w:sz="0"/>
              <w:right w:val="none" w:color="FFFFFF" w:sz="0"/>
            </w:tcBorders>
            <w:tcMar>
              <w:top w:type="dxa" w:w="60"/>
              <w:left w:type="dxa" w:w="100"/>
              <w:bottom w:type="dxa" w:w="60"/>
              <w:right w:type="dxa" w:w="100"/>
            </w:tcMar>
          </w:tcPr>
          <w:p>
            <w:pPr>
              <w:jc w:val="right"/>
            </w:pPr>
            <w:r>
              <w:rPr>
                <w:rFonts w:ascii="Times New Roman" w:cs="Times New Roman" w:eastAsia="Times New Roman" w:hAnsi="Times New Roman"/>
                <w:b w:val="false"/>
                <w:bCs w:val="false"/>
                <w:sz w:val="22"/>
                <w:szCs w:val="22"/>
              </w:rPr>
              <w:t xml:space="preserve">3.268.794</w:t>
            </w:r>
          </w:p>
        </w:tc>
        <w:tc>
          <w:tcPr>
            <w:tcW w:type="dxa" w:w="2050"/>
            <w:tcBorders>
              <w:top w:val="single" w:color="000000" w:sz="6"/>
              <w:left w:val="none" w:color="FFFFFF" w:sz="0"/>
              <w:bottom w:val="none" w:color="FFFFFF" w:sz="0"/>
              <w:right w:val="none" w:color="FFFFFF" w:sz="0"/>
            </w:tcBorders>
            <w:tcMar>
              <w:top w:type="dxa" w:w="60"/>
              <w:left w:type="dxa" w:w="100"/>
              <w:bottom w:type="dxa" w:w="60"/>
              <w:right w:type="dxa" w:w="100"/>
            </w:tcMar>
          </w:tcPr>
          <w:p>
            <w:pPr>
              <w:jc w:val="right"/>
            </w:pPr>
            <w:r>
              <w:rPr>
                <w:rFonts w:ascii="Times New Roman" w:cs="Times New Roman" w:eastAsia="Times New Roman" w:hAnsi="Times New Roman"/>
                <w:b w:val="false"/>
                <w:bCs w:val="false"/>
                <w:sz w:val="22"/>
                <w:szCs w:val="22"/>
              </w:rPr>
              <w:t xml:space="preserve">6.537.587</w:t>
            </w:r>
          </w:p>
        </w:tc>
      </w:tr>
      <w:tr>
        <w:trPr>
          <w:cantSplit/>
          <w:tblHeader w:val="false"/>
        </w:trPr>
        <w:tc>
          <w:tcPr>
            <w:tcW w:type="dxa" w:w="1260"/>
            <w:tcBorders>
              <w:top w:val="none" w:color="FFFFFF" w:sz="0"/>
              <w:left w:val="none" w:color="FFFFFF" w:sz="0"/>
              <w:bottom w:val="none" w:color="FFFFFF" w:sz="0"/>
              <w:right w:val="none" w:color="FFFFFF" w:sz="0"/>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2"/>
                <w:szCs w:val="22"/>
              </w:rPr>
              <w:t xml:space="preserve">2024</w:t>
            </w:r>
          </w:p>
        </w:tc>
        <w:tc>
          <w:tcPr>
            <w:tcW w:type="dxa" w:w="2100"/>
            <w:tcBorders>
              <w:top w:val="none" w:color="FFFFFF" w:sz="0"/>
              <w:left w:val="none" w:color="FFFFFF" w:sz="0"/>
              <w:bottom w:val="none" w:color="FFFFFF" w:sz="0"/>
              <w:right w:val="none" w:color="FFFFFF" w:sz="0"/>
            </w:tcBorders>
            <w:tcMar>
              <w:top w:type="dxa" w:w="60"/>
              <w:left w:type="dxa" w:w="100"/>
              <w:bottom w:type="dxa" w:w="60"/>
              <w:right w:type="dxa" w:w="100"/>
            </w:tcMar>
          </w:tcPr>
          <w:p>
            <w:pPr>
              <w:jc w:val="right"/>
            </w:pPr>
            <w:r>
              <w:rPr>
                <w:rFonts w:ascii="Times New Roman" w:cs="Times New Roman" w:eastAsia="Times New Roman" w:hAnsi="Times New Roman"/>
                <w:b w:val="false"/>
                <w:bCs w:val="false"/>
                <w:sz w:val="22"/>
                <w:szCs w:val="22"/>
              </w:rPr>
              <w:t xml:space="preserve">6.981.102</w:t>
            </w:r>
          </w:p>
        </w:tc>
        <w:tc>
          <w:tcPr>
            <w:tcW w:type="dxa" w:w="1900"/>
            <w:tcBorders>
              <w:top w:val="none" w:color="FFFFFF" w:sz="0"/>
              <w:left w:val="none" w:color="FFFFFF" w:sz="0"/>
              <w:bottom w:val="none" w:color="FFFFFF" w:sz="0"/>
              <w:right w:val="none" w:color="FFFFFF" w:sz="0"/>
            </w:tcBorders>
            <w:tcMar>
              <w:top w:type="dxa" w:w="60"/>
              <w:left w:type="dxa" w:w="100"/>
              <w:bottom w:type="dxa" w:w="60"/>
              <w:right w:type="dxa" w:w="100"/>
            </w:tcMar>
          </w:tcPr>
          <w:p>
            <w:pPr>
              <w:jc w:val="right"/>
            </w:pPr>
            <w:r>
              <w:rPr>
                <w:rFonts w:ascii="Times New Roman" w:cs="Times New Roman" w:eastAsia="Times New Roman" w:hAnsi="Times New Roman"/>
                <w:b w:val="false"/>
                <w:bCs w:val="false"/>
                <w:sz w:val="22"/>
                <w:szCs w:val="22"/>
              </w:rPr>
              <w:t xml:space="preserve">3.051.436</w:t>
            </w:r>
          </w:p>
        </w:tc>
        <w:tc>
          <w:tcPr>
            <w:tcW w:type="dxa" w:w="2050"/>
            <w:tcBorders>
              <w:top w:val="none" w:color="FFFFFF" w:sz="0"/>
              <w:left w:val="none" w:color="FFFFFF" w:sz="0"/>
              <w:bottom w:val="none" w:color="FFFFFF" w:sz="0"/>
              <w:right w:val="none" w:color="FFFFFF" w:sz="0"/>
            </w:tcBorders>
            <w:tcMar>
              <w:top w:type="dxa" w:w="60"/>
              <w:left w:type="dxa" w:w="100"/>
              <w:bottom w:type="dxa" w:w="60"/>
              <w:right w:type="dxa" w:w="100"/>
            </w:tcMar>
          </w:tcPr>
          <w:p>
            <w:pPr>
              <w:jc w:val="right"/>
            </w:pPr>
            <w:r>
              <w:rPr>
                <w:rFonts w:ascii="Times New Roman" w:cs="Times New Roman" w:eastAsia="Times New Roman" w:hAnsi="Times New Roman"/>
                <w:b w:val="false"/>
                <w:bCs w:val="false"/>
                <w:sz w:val="22"/>
                <w:szCs w:val="22"/>
              </w:rPr>
              <w:t xml:space="preserve">3.471.314</w:t>
            </w:r>
          </w:p>
        </w:tc>
        <w:tc>
          <w:tcPr>
            <w:tcW w:type="dxa" w:w="2050"/>
            <w:tcBorders>
              <w:top w:val="none" w:color="FFFFFF" w:sz="0"/>
              <w:left w:val="none" w:color="FFFFFF" w:sz="0"/>
              <w:bottom w:val="none" w:color="FFFFFF" w:sz="0"/>
              <w:right w:val="none" w:color="FFFFFF" w:sz="0"/>
            </w:tcBorders>
            <w:tcMar>
              <w:top w:type="dxa" w:w="60"/>
              <w:left w:type="dxa" w:w="100"/>
              <w:bottom w:type="dxa" w:w="60"/>
              <w:right w:type="dxa" w:w="100"/>
            </w:tcMar>
          </w:tcPr>
          <w:p>
            <w:pPr>
              <w:jc w:val="right"/>
            </w:pPr>
            <w:r>
              <w:rPr>
                <w:rFonts w:ascii="Times New Roman" w:cs="Times New Roman" w:eastAsia="Times New Roman" w:hAnsi="Times New Roman"/>
                <w:b w:val="false"/>
                <w:bCs w:val="false"/>
                <w:sz w:val="22"/>
                <w:szCs w:val="22"/>
              </w:rPr>
              <w:t xml:space="preserve">6.942.628</w:t>
            </w:r>
          </w:p>
        </w:tc>
      </w:tr>
      <w:tr>
        <w:trPr>
          <w:cantSplit/>
          <w:tblHeader w:val="false"/>
        </w:trPr>
        <w:tc>
          <w:tcPr>
            <w:tcW w:type="dxa" w:w="1260"/>
            <w:tcBorders>
              <w:top w:val="none" w:color="FFFFFF" w:sz="0"/>
              <w:left w:val="none" w:color="FFFFFF" w:sz="0"/>
              <w:bottom w:val="none" w:color="FFFFFF" w:sz="0"/>
              <w:right w:val="none" w:color="FFFFFF" w:sz="0"/>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2"/>
                <w:szCs w:val="22"/>
              </w:rPr>
              <w:t xml:space="preserve">2025</w:t>
            </w:r>
          </w:p>
        </w:tc>
        <w:tc>
          <w:tcPr>
            <w:tcW w:type="dxa" w:w="2100"/>
            <w:tcBorders>
              <w:top w:val="none" w:color="FFFFFF" w:sz="0"/>
              <w:left w:val="none" w:color="FFFFFF" w:sz="0"/>
              <w:bottom w:val="none" w:color="FFFFFF" w:sz="0"/>
              <w:right w:val="none" w:color="FFFFFF" w:sz="0"/>
            </w:tcBorders>
            <w:tcMar>
              <w:top w:type="dxa" w:w="60"/>
              <w:left w:type="dxa" w:w="100"/>
              <w:bottom w:type="dxa" w:w="60"/>
              <w:right w:type="dxa" w:w="100"/>
            </w:tcMar>
          </w:tcPr>
          <w:p>
            <w:pPr>
              <w:jc w:val="right"/>
            </w:pPr>
            <w:r>
              <w:rPr>
                <w:rFonts w:ascii="Times New Roman" w:cs="Times New Roman" w:eastAsia="Times New Roman" w:hAnsi="Times New Roman"/>
                <w:b w:val="false"/>
                <w:bCs w:val="false"/>
                <w:sz w:val="22"/>
                <w:szCs w:val="22"/>
              </w:rPr>
              <w:t xml:space="preserve">6.896.882</w:t>
            </w:r>
          </w:p>
        </w:tc>
        <w:tc>
          <w:tcPr>
            <w:tcW w:type="dxa" w:w="1900"/>
            <w:tcBorders>
              <w:top w:val="none" w:color="FFFFFF" w:sz="0"/>
              <w:left w:val="none" w:color="FFFFFF" w:sz="0"/>
              <w:bottom w:val="none" w:color="FFFFFF" w:sz="0"/>
              <w:right w:val="none" w:color="FFFFFF" w:sz="0"/>
            </w:tcBorders>
            <w:tcMar>
              <w:top w:type="dxa" w:w="60"/>
              <w:left w:type="dxa" w:w="100"/>
              <w:bottom w:type="dxa" w:w="60"/>
              <w:right w:type="dxa" w:w="100"/>
            </w:tcMar>
          </w:tcPr>
          <w:p>
            <w:pPr>
              <w:jc w:val="right"/>
            </w:pPr>
            <w:r>
              <w:rPr>
                <w:rFonts w:ascii="Times New Roman" w:cs="Times New Roman" w:eastAsia="Times New Roman" w:hAnsi="Times New Roman"/>
                <w:b w:val="false"/>
                <w:bCs w:val="false"/>
                <w:sz w:val="22"/>
                <w:szCs w:val="22"/>
              </w:rPr>
              <w:t xml:space="preserve">3.132.488</w:t>
            </w:r>
          </w:p>
        </w:tc>
        <w:tc>
          <w:tcPr>
            <w:tcW w:type="dxa" w:w="2050"/>
            <w:tcBorders>
              <w:top w:val="none" w:color="FFFFFF" w:sz="0"/>
              <w:left w:val="none" w:color="FFFFFF" w:sz="0"/>
              <w:bottom w:val="none" w:color="FFFFFF" w:sz="0"/>
              <w:right w:val="none" w:color="FFFFFF" w:sz="0"/>
            </w:tcBorders>
            <w:tcMar>
              <w:top w:type="dxa" w:w="60"/>
              <w:left w:type="dxa" w:w="100"/>
              <w:bottom w:type="dxa" w:w="60"/>
              <w:right w:type="dxa" w:w="100"/>
            </w:tcMar>
          </w:tcPr>
          <w:p>
            <w:pPr>
              <w:jc w:val="right"/>
            </w:pPr>
            <w:r>
              <w:rPr>
                <w:rFonts w:ascii="Times New Roman" w:cs="Times New Roman" w:eastAsia="Times New Roman" w:hAnsi="Times New Roman"/>
                <w:b w:val="false"/>
                <w:bCs w:val="false"/>
                <w:sz w:val="22"/>
                <w:szCs w:val="22"/>
              </w:rPr>
              <w:t xml:space="preserve">3.563.518</w:t>
            </w:r>
          </w:p>
        </w:tc>
        <w:tc>
          <w:tcPr>
            <w:tcW w:type="dxa" w:w="2050"/>
            <w:tcBorders>
              <w:top w:val="none" w:color="FFFFFF" w:sz="0"/>
              <w:left w:val="none" w:color="FFFFFF" w:sz="0"/>
              <w:bottom w:val="none" w:color="FFFFFF" w:sz="0"/>
              <w:right w:val="none" w:color="FFFFFF" w:sz="0"/>
            </w:tcBorders>
            <w:tcMar>
              <w:top w:type="dxa" w:w="60"/>
              <w:left w:type="dxa" w:w="100"/>
              <w:bottom w:type="dxa" w:w="60"/>
              <w:right w:type="dxa" w:w="100"/>
            </w:tcMar>
          </w:tcPr>
          <w:p>
            <w:pPr>
              <w:jc w:val="right"/>
            </w:pPr>
            <w:r>
              <w:rPr>
                <w:rFonts w:ascii="Times New Roman" w:cs="Times New Roman" w:eastAsia="Times New Roman" w:hAnsi="Times New Roman"/>
                <w:b w:val="false"/>
                <w:bCs w:val="false"/>
                <w:sz w:val="22"/>
                <w:szCs w:val="22"/>
              </w:rPr>
              <w:t xml:space="preserve">7.127.036</w:t>
            </w:r>
          </w:p>
        </w:tc>
      </w:tr>
      <w:tr>
        <w:trPr>
          <w:cantSplit/>
          <w:tblHeader w:val="false"/>
        </w:trPr>
        <w:tc>
          <w:tcPr>
            <w:tcW w:type="dxa" w:w="1260"/>
            <w:tcBorders>
              <w:top w:val="none" w:color="FFFFFF" w:sz="0"/>
              <w:left w:val="none" w:color="FFFFFF" w:sz="0"/>
              <w:bottom w:val="single" w:color="000000" w:sz="6"/>
              <w:right w:val="none" w:color="FFFFFF" w:sz="0"/>
            </w:tcBorders>
            <w:tcMar>
              <w:top w:type="dxa" w:w="60"/>
              <w:left w:type="dxa" w:w="100"/>
              <w:bottom w:type="dxa" w:w="60"/>
              <w:right w:type="dxa" w:w="100"/>
            </w:tcMar>
          </w:tcPr>
          <w:p>
            <w:pPr>
              <w:jc w:val="left"/>
            </w:pPr>
            <w:r>
              <w:rPr>
                <w:rFonts w:ascii="Times New Roman" w:cs="Times New Roman" w:eastAsia="Times New Roman" w:hAnsi="Times New Roman"/>
                <w:b/>
                <w:bCs/>
                <w:sz w:val="22"/>
                <w:szCs w:val="22"/>
              </w:rPr>
              <w:t xml:space="preserve">Total</w:t>
            </w:r>
          </w:p>
        </w:tc>
        <w:tc>
          <w:tcPr>
            <w:tcW w:type="dxa" w:w="2100"/>
            <w:tcBorders>
              <w:top w:val="none" w:color="FFFFFF" w:sz="0"/>
              <w:left w:val="none" w:color="FFFFFF" w:sz="0"/>
              <w:bottom w:val="single" w:color="000000" w:sz="6"/>
              <w:right w:val="none" w:color="FFFFFF" w:sz="0"/>
            </w:tcBorders>
            <w:tcMar>
              <w:top w:type="dxa" w:w="60"/>
              <w:left w:type="dxa" w:w="100"/>
              <w:bottom w:type="dxa" w:w="60"/>
              <w:right w:type="dxa" w:w="100"/>
            </w:tcMar>
          </w:tcPr>
          <w:p>
            <w:pPr>
              <w:jc w:val="right"/>
            </w:pPr>
            <w:r>
              <w:rPr>
                <w:rFonts w:ascii="Times New Roman" w:cs="Times New Roman" w:eastAsia="Times New Roman" w:hAnsi="Times New Roman"/>
                <w:b w:val="false"/>
                <w:bCs w:val="false"/>
                <w:sz w:val="22"/>
                <w:szCs w:val="22"/>
              </w:rPr>
              <w:t xml:space="preserve">20.636.222</w:t>
            </w:r>
          </w:p>
        </w:tc>
        <w:tc>
          <w:tcPr>
            <w:tcW w:type="dxa" w:w="1900"/>
            <w:tcBorders>
              <w:top w:val="none" w:color="FFFFFF" w:sz="0"/>
              <w:left w:val="none" w:color="FFFFFF" w:sz="0"/>
              <w:bottom w:val="single" w:color="000000" w:sz="6"/>
              <w:right w:val="none" w:color="FFFFFF" w:sz="0"/>
            </w:tcBorders>
            <w:tcMar>
              <w:top w:type="dxa" w:w="60"/>
              <w:left w:type="dxa" w:w="100"/>
              <w:bottom w:type="dxa" w:w="60"/>
              <w:right w:type="dxa" w:w="100"/>
            </w:tcMar>
          </w:tcPr>
          <w:p>
            <w:pPr>
              <w:jc w:val="right"/>
            </w:pPr>
            <w:r>
              <w:rPr>
                <w:rFonts w:ascii="Times New Roman" w:cs="Times New Roman" w:eastAsia="Times New Roman" w:hAnsi="Times New Roman"/>
                <w:b w:val="false"/>
                <w:bCs w:val="false"/>
                <w:sz w:val="22"/>
                <w:szCs w:val="22"/>
              </w:rPr>
              <w:t xml:space="preserve">9.057.336</w:t>
            </w:r>
          </w:p>
        </w:tc>
        <w:tc>
          <w:tcPr>
            <w:tcW w:type="dxa" w:w="2050"/>
            <w:tcBorders>
              <w:top w:val="none" w:color="FFFFFF" w:sz="0"/>
              <w:left w:val="none" w:color="FFFFFF" w:sz="0"/>
              <w:bottom w:val="single" w:color="000000" w:sz="6"/>
              <w:right w:val="none" w:color="FFFFFF" w:sz="0"/>
            </w:tcBorders>
            <w:tcMar>
              <w:top w:type="dxa" w:w="60"/>
              <w:left w:type="dxa" w:w="100"/>
              <w:bottom w:type="dxa" w:w="60"/>
              <w:right w:type="dxa" w:w="100"/>
            </w:tcMar>
          </w:tcPr>
          <w:p>
            <w:pPr>
              <w:jc w:val="right"/>
            </w:pPr>
            <w:r>
              <w:rPr>
                <w:rFonts w:ascii="Times New Roman" w:cs="Times New Roman" w:eastAsia="Times New Roman" w:hAnsi="Times New Roman"/>
                <w:b w:val="false"/>
                <w:bCs w:val="false"/>
                <w:sz w:val="22"/>
                <w:szCs w:val="22"/>
              </w:rPr>
              <w:t xml:space="preserve">10.303.625</w:t>
            </w:r>
          </w:p>
        </w:tc>
        <w:tc>
          <w:tcPr>
            <w:tcW w:type="dxa" w:w="2050"/>
            <w:tcBorders>
              <w:top w:val="none" w:color="FFFFFF" w:sz="0"/>
              <w:left w:val="none" w:color="FFFFFF" w:sz="0"/>
              <w:bottom w:val="single" w:color="000000" w:sz="6"/>
              <w:right w:val="none" w:color="FFFFFF" w:sz="0"/>
            </w:tcBorders>
            <w:tcMar>
              <w:top w:type="dxa" w:w="60"/>
              <w:left w:type="dxa" w:w="100"/>
              <w:bottom w:type="dxa" w:w="60"/>
              <w:right w:type="dxa" w:w="100"/>
            </w:tcMar>
          </w:tcPr>
          <w:p>
            <w:pPr>
              <w:jc w:val="right"/>
            </w:pPr>
            <w:r>
              <w:rPr>
                <w:rFonts w:ascii="Times New Roman" w:cs="Times New Roman" w:eastAsia="Times New Roman" w:hAnsi="Times New Roman"/>
                <w:b w:val="false"/>
                <w:bCs w:val="false"/>
                <w:sz w:val="22"/>
                <w:szCs w:val="22"/>
              </w:rPr>
              <w:t xml:space="preserve">20.607.251</w:t>
            </w:r>
          </w:p>
        </w:tc>
      </w:tr>
    </w:tbl>
    <w:p>
      <w:pPr>
        <w:spacing w:after="200" w:before="80"/>
      </w:pPr>
      <w:r>
        <w:rPr>
          <w:rFonts w:ascii="Times New Roman" w:cs="Times New Roman" w:eastAsia="Times New Roman" w:hAnsi="Times New Roman"/>
          <w:i/>
          <w:iCs/>
          <w:sz w:val="22"/>
          <w:szCs w:val="22"/>
        </w:rPr>
        <w:t xml:space="preserve">Nota. </w:t>
      </w:r>
      <w:r>
        <w:rPr>
          <w:rFonts w:ascii="Times New Roman" w:cs="Times New Roman" w:eastAsia="Times New Roman" w:hAnsi="Times New Roman"/>
          <w:sz w:val="22"/>
          <w:szCs w:val="22"/>
        </w:rPr>
        <w:t xml:space="preserve">Cálculo propio con base en BTS On-Time Performance. t = toneladas métricas.</w:t>
      </w:r>
    </w:p>
    <w:p>
      <w:pPr>
        <w:spacing w:after="120" w:line="360"/>
        <w:ind w:firstLine="720"/>
        <w:jc w:val="left"/>
      </w:pPr>
      <w:r>
        <w:rPr>
          <w:rFonts w:ascii="Times New Roman" w:cs="Times New Roman" w:eastAsia="Times New Roman" w:hAnsi="Times New Roman"/>
          <w:sz w:val="24"/>
          <w:szCs w:val="24"/>
        </w:rPr>
        <w:t xml:space="preserve">La Figura 4 presenta los diez aeropuertos con mayor CO2 de </w:t>
      </w:r>
      <w:r>
        <w:rPr>
          <w:rFonts w:ascii="Times New Roman" w:cs="Times New Roman" w:eastAsia="Times New Roman" w:hAnsi="Times New Roman"/>
          <w:b/>
          <w:bCs/>
          <w:sz w:val="24"/>
          <w:szCs w:val="24"/>
        </w:rPr>
        <w:t xml:space="preserve">salida</w:t>
      </w:r>
      <w:r>
        <w:rPr>
          <w:rFonts w:ascii="Times New Roman" w:cs="Times New Roman" w:eastAsia="Times New Roman" w:hAnsi="Times New Roman"/>
          <w:sz w:val="24"/>
          <w:szCs w:val="24"/>
        </w:rPr>
        <w:t xml:space="preserve"> en el escenario bajo.</w:t>
      </w:r>
    </w:p>
    <w:p>
      <w:pPr>
        <w:keepNext/>
        <w:spacing w:after="0" w:before="200"/>
      </w:pPr>
      <w:r>
        <w:rPr>
          <w:rFonts w:ascii="Times New Roman" w:cs="Times New Roman" w:eastAsia="Times New Roman" w:hAnsi="Times New Roman"/>
          <w:b/>
          <w:bCs/>
          <w:sz w:val="24"/>
          <w:szCs w:val="24"/>
        </w:rPr>
        <w:t xml:space="preserve">Figura 4</w:t>
      </w:r>
    </w:p>
    <w:p>
      <w:pPr>
        <w:keepNext/>
        <w:spacing w:after="100"/>
      </w:pPr>
      <w:r>
        <w:rPr>
          <w:rFonts w:ascii="Times New Roman" w:cs="Times New Roman" w:eastAsia="Times New Roman" w:hAnsi="Times New Roman"/>
          <w:i/>
          <w:iCs/>
          <w:sz w:val="24"/>
          <w:szCs w:val="24"/>
        </w:rPr>
        <w:t xml:space="preserve">Diez aeropuertos con mayor CO2 de salida (escenario bajo)</w:t>
      </w:r>
    </w:p>
    <w:p>
      <w:pPr>
        <w:spacing w:after="60"/>
        <w:jc w:val="center"/>
      </w:pPr>
      <w:r>
        <w:drawing>
          <wp:inline distT="0" distB="0" distL="0" distR="0">
            <wp:extent cx="5334000" cy="2705100"/>
            <wp:effectExtent t="0" r="0" b="0" l="0"/>
            <wp:docPr id="1" name="/tmp/claude-0/fig_top10.png" descr="/tmp/claude-0/fig_top10.png" title="/tmp/claude-0/fig_top1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334000" cy="2705100"/>
                    </a:xfrm>
                    <a:prstGeom prst="rect">
                      <a:avLst/>
                    </a:prstGeom>
                  </pic:spPr>
                </pic:pic>
              </a:graphicData>
            </a:graphic>
          </wp:inline>
        </w:drawing>
      </w:r>
    </w:p>
    <w:p>
      <w:pPr>
        <w:spacing w:after="200" w:before="80"/>
      </w:pPr>
      <w:r>
        <w:rPr>
          <w:rFonts w:ascii="Times New Roman" w:cs="Times New Roman" w:eastAsia="Times New Roman" w:hAnsi="Times New Roman"/>
          <w:i/>
          <w:iCs/>
          <w:sz w:val="22"/>
          <w:szCs w:val="22"/>
        </w:rPr>
        <w:t xml:space="preserve">Nota. </w:t>
      </w:r>
      <w:r>
        <w:rPr>
          <w:rFonts w:ascii="Times New Roman" w:cs="Times New Roman" w:eastAsia="Times New Roman" w:hAnsi="Times New Roman"/>
          <w:sz w:val="22"/>
          <w:szCs w:val="22"/>
        </w:rPr>
        <w:t xml:space="preserve">Toneladas de CO2 en miles. ORD = 392.002; DFW = 335.161; DEN = 321.352; ATL = 306.815; CLT = 239.863; LGA = 206.315; SEA = 198.740; LAX = 196.097; LAS = 192.275; JFK = 181.070.</w:t>
      </w:r>
    </w:p>
    <w:p>
      <w:pPr>
        <w:spacing w:after="120" w:line="360"/>
        <w:ind w:firstLine="720"/>
        <w:jc w:val="left"/>
      </w:pPr>
      <w:r>
        <w:rPr>
          <w:rFonts w:ascii="Times New Roman" w:cs="Times New Roman" w:eastAsia="Times New Roman" w:hAnsi="Times New Roman"/>
          <w:sz w:val="24"/>
          <w:szCs w:val="24"/>
        </w:rPr>
        <w:t xml:space="preserve">Se evaluaron dos escenarios de ahorro hipotéticos, ambos en el escenario bajo de 6 kg/min. Reducir todo el rodaje en 10 % sobre el universo principal evitaría 1.030.363 toneladas de CO2 estimadas, porque el factor es lineal. Llevar hasta la mediana (15,7 min) a los aeropuertos con más de 50.000 salidas cuyo promedio la supera evitaría 1.007.869 toneladas en el cálculo publicado, que usa la población de salidas válidas (no exige TaxiIn). Nota de sensibilidad: si esa segunda intervención se recalcula exigiendo ambos tiempos válidos, el CO2 potencialmente evitado baja en 690 t (0,07 % respecto de 1.007.869 t) y queda en 1.007.179 t. Las dos intervenciones no deben sumarse. Estas cifras son estimaciones de escenario, no combustible ni CO2 medidos directamente.</w:t>
      </w:r>
    </w:p>
    <w:p>
      <w:pPr>
        <w:spacing w:after="120" w:line="360"/>
        <w:ind w:firstLine="720"/>
        <w:jc w:val="left"/>
      </w:pPr>
      <w:r>
        <w:rPr>
          <w:rFonts w:ascii="Times New Roman" w:cs="Times New Roman" w:eastAsia="Times New Roman" w:hAnsi="Times New Roman"/>
          <w:sz w:val="24"/>
          <w:szCs w:val="24"/>
        </w:rPr>
        <w:t xml:space="preserve">Los resultados dependen de los siguientes supuestos, que deben quedar explícitos:</w:t>
      </w:r>
    </w:p>
    <w:p>
      <w:pPr>
        <w:pStyle w:val="ListParagraph"/>
        <w:numPr>
          <w:ilvl w:val="0"/>
          <w:numId w:val="3"/>
        </w:numPr>
        <w:spacing w:after="60" w:line="360"/>
      </w:pPr>
      <w:r>
        <w:rPr>
          <w:rFonts w:ascii="Times New Roman" w:cs="Times New Roman" w:eastAsia="Times New Roman" w:hAnsi="Times New Roman"/>
          <w:sz w:val="24"/>
          <w:szCs w:val="24"/>
        </w:rPr>
        <w:t xml:space="preserve">El valor de 6 kg/min es una referencia para un A320, no el consumo real del motor de cada vuelo.</w:t>
      </w:r>
    </w:p>
    <w:p>
      <w:pPr>
        <w:pStyle w:val="ListParagraph"/>
        <w:numPr>
          <w:ilvl w:val="0"/>
          <w:numId w:val="3"/>
        </w:numPr>
        <w:spacing w:after="60" w:line="360"/>
      </w:pPr>
      <w:r>
        <w:rPr>
          <w:rFonts w:ascii="Times New Roman" w:cs="Times New Roman" w:eastAsia="Times New Roman" w:hAnsi="Times New Roman"/>
          <w:sz w:val="24"/>
          <w:szCs w:val="24"/>
        </w:rPr>
        <w:t xml:space="preserve">El valor de 12 kg/min </w:t>
      </w:r>
      <w:r>
        <w:rPr>
          <w:rFonts w:ascii="Times New Roman" w:cs="Times New Roman" w:eastAsia="Times New Roman" w:hAnsi="Times New Roman"/>
          <w:b/>
          <w:bCs/>
          <w:sz w:val="24"/>
          <w:szCs w:val="24"/>
        </w:rPr>
        <w:t xml:space="preserve">está por validar</w:t>
      </w:r>
      <w:r>
        <w:rPr>
          <w:rFonts w:ascii="Times New Roman" w:cs="Times New Roman" w:eastAsia="Times New Roman" w:hAnsi="Times New Roman"/>
          <w:sz w:val="24"/>
          <w:szCs w:val="24"/>
        </w:rPr>
        <w:t xml:space="preserve"> frente a la base de datos de motores de la OACI/EASA.</w:t>
      </w:r>
    </w:p>
    <w:p>
      <w:pPr>
        <w:pStyle w:val="ListParagraph"/>
        <w:numPr>
          <w:ilvl w:val="0"/>
          <w:numId w:val="3"/>
        </w:numPr>
        <w:spacing w:after="60" w:line="360"/>
      </w:pPr>
      <w:r>
        <w:rPr>
          <w:rFonts w:ascii="Times New Roman" w:cs="Times New Roman" w:eastAsia="Times New Roman" w:hAnsi="Times New Roman"/>
          <w:sz w:val="24"/>
          <w:szCs w:val="24"/>
        </w:rPr>
        <w:t xml:space="preserve">El empuje en rodaje varía entre 3 % y 10 %, frente al 7 % que asume la OACI.</w:t>
      </w:r>
    </w:p>
    <w:p>
      <w:pPr>
        <w:pStyle w:val="ListParagraph"/>
        <w:numPr>
          <w:ilvl w:val="0"/>
          <w:numId w:val="3"/>
        </w:numPr>
        <w:spacing w:after="60" w:line="360"/>
      </w:pPr>
      <w:r>
        <w:rPr>
          <w:rFonts w:ascii="Times New Roman" w:cs="Times New Roman" w:eastAsia="Times New Roman" w:hAnsi="Times New Roman"/>
          <w:sz w:val="24"/>
          <w:szCs w:val="24"/>
        </w:rPr>
        <w:t xml:space="preserve">EUROCONTROL usa 3,15 en lugar de 3,16; la diferencia no altera el ranking.</w:t>
      </w:r>
    </w:p>
    <w:p>
      <w:pPr>
        <w:pStyle w:val="Heading1"/>
        <w:keepNext/>
        <w:spacing w:after="200" w:before="360" w:line="360"/>
        <w:jc w:val="center"/>
      </w:pPr>
      <w:r>
        <w:rPr>
          <w:rFonts w:ascii="Times New Roman" w:cs="Times New Roman" w:eastAsia="Times New Roman" w:hAnsi="Times New Roman"/>
          <w:b/>
          <w:bCs/>
          <w:sz w:val="24"/>
          <w:szCs w:val="24"/>
        </w:rPr>
        <w:t xml:space="preserve">Verificación de exactitud</w:t>
      </w:r>
    </w:p>
    <w:p>
      <w:pPr>
        <w:spacing w:after="120" w:line="360"/>
        <w:ind w:firstLine="720"/>
        <w:jc w:val="left"/>
      </w:pPr>
      <w:r>
        <w:rPr>
          <w:rFonts w:ascii="Times New Roman" w:cs="Times New Roman" w:eastAsia="Times New Roman" w:hAnsi="Times New Roman"/>
          <w:sz w:val="24"/>
          <w:szCs w:val="24"/>
        </w:rPr>
        <w:t xml:space="preserve">Antes de usar cualquier cifra, el script de cálculo la compara con valores ya medidos sobre el mismo Parquet. Son 23 comparaciones y todas coinciden; si una falla, el script se detiene. La Tabla 3 muestra las más importantes.</w:t>
      </w:r>
    </w:p>
    <w:p>
      <w:pPr>
        <w:keepNext/>
        <w:spacing w:after="0" w:before="200"/>
      </w:pPr>
      <w:r>
        <w:rPr>
          <w:rFonts w:ascii="Times New Roman" w:cs="Times New Roman" w:eastAsia="Times New Roman" w:hAnsi="Times New Roman"/>
          <w:b/>
          <w:bCs/>
          <w:sz w:val="24"/>
          <w:szCs w:val="24"/>
        </w:rPr>
        <w:t xml:space="preserve">Tabla 3</w:t>
      </w:r>
    </w:p>
    <w:p>
      <w:pPr>
        <w:keepNext/>
        <w:spacing w:after="100"/>
      </w:pPr>
      <w:r>
        <w:rPr>
          <w:rFonts w:ascii="Times New Roman" w:cs="Times New Roman" w:eastAsia="Times New Roman" w:hAnsi="Times New Roman"/>
          <w:i/>
          <w:iCs/>
          <w:sz w:val="24"/>
          <w:szCs w:val="24"/>
        </w:rPr>
        <w:t xml:space="preserve">Verificación de cifras clave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360"/>
        <w:gridCol w:w="3000"/>
        <w:gridCol w:w="3000"/>
      </w:tblGrid>
      <w:tr>
        <w:trPr>
          <w:cantSplit/>
          <w:tblHeader/>
        </w:trPr>
        <w:tc>
          <w:tcPr>
            <w:tcW w:type="dxa" w:w="3360"/>
            <w:tcBorders>
              <w:top w:val="single" w:color="000000" w:sz="6"/>
              <w:left w:val="none" w:color="FFFFFF" w:sz="0"/>
              <w:bottom w:val="single" w:color="000000" w:sz="6"/>
              <w:right w:val="none" w:color="FFFFFF" w:sz="0"/>
            </w:tcBorders>
            <w:tcMar>
              <w:top w:type="dxa" w:w="60"/>
              <w:left w:type="dxa" w:w="100"/>
              <w:bottom w:type="dxa" w:w="60"/>
              <w:right w:type="dxa" w:w="100"/>
            </w:tcMar>
          </w:tcPr>
          <w:p>
            <w:pPr>
              <w:jc w:val="left"/>
            </w:pPr>
            <w:r>
              <w:rPr>
                <w:rFonts w:ascii="Times New Roman" w:cs="Times New Roman" w:eastAsia="Times New Roman" w:hAnsi="Times New Roman"/>
                <w:b/>
                <w:bCs/>
                <w:sz w:val="22"/>
                <w:szCs w:val="22"/>
              </w:rPr>
              <w:t xml:space="preserve">Medida</w:t>
            </w:r>
          </w:p>
        </w:tc>
        <w:tc>
          <w:tcPr>
            <w:tcW w:type="dxa" w:w="3000"/>
            <w:tcBorders>
              <w:top w:val="single" w:color="000000" w:sz="6"/>
              <w:left w:val="none" w:color="FFFFFF" w:sz="0"/>
              <w:bottom w:val="single" w:color="000000" w:sz="6"/>
              <w:right w:val="none" w:color="FFFFFF" w:sz="0"/>
            </w:tcBorders>
            <w:tcMar>
              <w:top w:type="dxa" w:w="60"/>
              <w:left w:type="dxa" w:w="100"/>
              <w:bottom w:type="dxa" w:w="60"/>
              <w:right w:type="dxa" w:w="100"/>
            </w:tcMar>
          </w:tcPr>
          <w:p>
            <w:pPr>
              <w:jc w:val="right"/>
            </w:pPr>
            <w:r>
              <w:rPr>
                <w:rFonts w:ascii="Times New Roman" w:cs="Times New Roman" w:eastAsia="Times New Roman" w:hAnsi="Times New Roman"/>
                <w:b/>
                <w:bCs/>
                <w:sz w:val="22"/>
                <w:szCs w:val="22"/>
              </w:rPr>
              <w:t xml:space="preserve">Esperado</w:t>
            </w:r>
          </w:p>
        </w:tc>
        <w:tc>
          <w:tcPr>
            <w:tcW w:type="dxa" w:w="3000"/>
            <w:tcBorders>
              <w:top w:val="single" w:color="000000" w:sz="6"/>
              <w:left w:val="none" w:color="FFFFFF" w:sz="0"/>
              <w:bottom w:val="single" w:color="000000" w:sz="6"/>
              <w:right w:val="none" w:color="FFFFFF" w:sz="0"/>
            </w:tcBorders>
            <w:tcMar>
              <w:top w:type="dxa" w:w="60"/>
              <w:left w:type="dxa" w:w="100"/>
              <w:bottom w:type="dxa" w:w="60"/>
              <w:right w:type="dxa" w:w="100"/>
            </w:tcMar>
          </w:tcPr>
          <w:p>
            <w:pPr>
              <w:jc w:val="right"/>
            </w:pPr>
            <w:r>
              <w:rPr>
                <w:rFonts w:ascii="Times New Roman" w:cs="Times New Roman" w:eastAsia="Times New Roman" w:hAnsi="Times New Roman"/>
                <w:b/>
                <w:bCs/>
                <w:sz w:val="22"/>
                <w:szCs w:val="22"/>
              </w:rPr>
              <w:t xml:space="preserve">Obtenido</w:t>
            </w:r>
          </w:p>
        </w:tc>
      </w:tr>
      <w:tr>
        <w:trPr>
          <w:cantSplit/>
          <w:tblHeader w:val="false"/>
        </w:trPr>
        <w:tc>
          <w:tcPr>
            <w:tcW w:type="dxa" w:w="3360"/>
            <w:tcBorders>
              <w:top w:val="single" w:color="000000" w:sz="6"/>
              <w:left w:val="none" w:color="FFFFFF" w:sz="0"/>
              <w:bottom w:val="none" w:color="FFFFFF" w:sz="0"/>
              <w:right w:val="none" w:color="FFFFFF" w:sz="0"/>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2"/>
                <w:szCs w:val="22"/>
              </w:rPr>
              <w:t xml:space="preserve">Filas del Parquet</w:t>
            </w:r>
          </w:p>
        </w:tc>
        <w:tc>
          <w:tcPr>
            <w:tcW w:type="dxa" w:w="3000"/>
            <w:tcBorders>
              <w:top w:val="single" w:color="000000" w:sz="6"/>
              <w:left w:val="none" w:color="FFFFFF" w:sz="0"/>
              <w:bottom w:val="none" w:color="FFFFFF" w:sz="0"/>
              <w:right w:val="none" w:color="FFFFFF" w:sz="0"/>
            </w:tcBorders>
            <w:tcMar>
              <w:top w:type="dxa" w:w="60"/>
              <w:left w:type="dxa" w:w="100"/>
              <w:bottom w:type="dxa" w:w="60"/>
              <w:right w:type="dxa" w:w="100"/>
            </w:tcMar>
          </w:tcPr>
          <w:p>
            <w:pPr>
              <w:jc w:val="right"/>
            </w:pPr>
            <w:r>
              <w:rPr>
                <w:rFonts w:ascii="Times New Roman" w:cs="Times New Roman" w:eastAsia="Times New Roman" w:hAnsi="Times New Roman"/>
                <w:b w:val="false"/>
                <w:bCs w:val="false"/>
                <w:sz w:val="22"/>
                <w:szCs w:val="22"/>
              </w:rPr>
              <w:t xml:space="preserve">20.928.579</w:t>
            </w:r>
          </w:p>
        </w:tc>
        <w:tc>
          <w:tcPr>
            <w:tcW w:type="dxa" w:w="3000"/>
            <w:tcBorders>
              <w:top w:val="single" w:color="000000" w:sz="6"/>
              <w:left w:val="none" w:color="FFFFFF" w:sz="0"/>
              <w:bottom w:val="none" w:color="FFFFFF" w:sz="0"/>
              <w:right w:val="none" w:color="FFFFFF" w:sz="0"/>
            </w:tcBorders>
            <w:tcMar>
              <w:top w:type="dxa" w:w="60"/>
              <w:left w:type="dxa" w:w="100"/>
              <w:bottom w:type="dxa" w:w="60"/>
              <w:right w:type="dxa" w:w="100"/>
            </w:tcMar>
          </w:tcPr>
          <w:p>
            <w:pPr>
              <w:jc w:val="right"/>
            </w:pPr>
            <w:r>
              <w:rPr>
                <w:rFonts w:ascii="Times New Roman" w:cs="Times New Roman" w:eastAsia="Times New Roman" w:hAnsi="Times New Roman"/>
                <w:b w:val="false"/>
                <w:bCs w:val="false"/>
                <w:sz w:val="22"/>
                <w:szCs w:val="22"/>
              </w:rPr>
              <w:t xml:space="preserve">20.928.579</w:t>
            </w:r>
          </w:p>
        </w:tc>
      </w:tr>
      <w:tr>
        <w:trPr>
          <w:cantSplit/>
          <w:tblHeader w:val="false"/>
        </w:trPr>
        <w:tc>
          <w:tcPr>
            <w:tcW w:type="dxa" w:w="3360"/>
            <w:tcBorders>
              <w:top w:val="none" w:color="FFFFFF" w:sz="0"/>
              <w:left w:val="none" w:color="FFFFFF" w:sz="0"/>
              <w:bottom w:val="none" w:color="FFFFFF" w:sz="0"/>
              <w:right w:val="none" w:color="FFFFFF" w:sz="0"/>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2"/>
                <w:szCs w:val="22"/>
              </w:rPr>
              <w:t xml:space="preserve">Vuelos válidos</w:t>
            </w:r>
          </w:p>
        </w:tc>
        <w:tc>
          <w:tcPr>
            <w:tcW w:type="dxa" w:w="3000"/>
            <w:tcBorders>
              <w:top w:val="none" w:color="FFFFFF" w:sz="0"/>
              <w:left w:val="none" w:color="FFFFFF" w:sz="0"/>
              <w:bottom w:val="none" w:color="FFFFFF" w:sz="0"/>
              <w:right w:val="none" w:color="FFFFFF" w:sz="0"/>
            </w:tcBorders>
            <w:tcMar>
              <w:top w:type="dxa" w:w="60"/>
              <w:left w:type="dxa" w:w="100"/>
              <w:bottom w:type="dxa" w:w="60"/>
              <w:right w:type="dxa" w:w="100"/>
            </w:tcMar>
          </w:tcPr>
          <w:p>
            <w:pPr>
              <w:jc w:val="right"/>
            </w:pPr>
            <w:r>
              <w:rPr>
                <w:rFonts w:ascii="Times New Roman" w:cs="Times New Roman" w:eastAsia="Times New Roman" w:hAnsi="Times New Roman"/>
                <w:b w:val="false"/>
                <w:bCs w:val="false"/>
                <w:sz w:val="22"/>
                <w:szCs w:val="22"/>
              </w:rPr>
              <w:t xml:space="preserve">20.636.222</w:t>
            </w:r>
          </w:p>
        </w:tc>
        <w:tc>
          <w:tcPr>
            <w:tcW w:type="dxa" w:w="3000"/>
            <w:tcBorders>
              <w:top w:val="none" w:color="FFFFFF" w:sz="0"/>
              <w:left w:val="none" w:color="FFFFFF" w:sz="0"/>
              <w:bottom w:val="none" w:color="FFFFFF" w:sz="0"/>
              <w:right w:val="none" w:color="FFFFFF" w:sz="0"/>
            </w:tcBorders>
            <w:tcMar>
              <w:top w:type="dxa" w:w="60"/>
              <w:left w:type="dxa" w:w="100"/>
              <w:bottom w:type="dxa" w:w="60"/>
              <w:right w:type="dxa" w:w="100"/>
            </w:tcMar>
          </w:tcPr>
          <w:p>
            <w:pPr>
              <w:jc w:val="right"/>
            </w:pPr>
            <w:r>
              <w:rPr>
                <w:rFonts w:ascii="Times New Roman" w:cs="Times New Roman" w:eastAsia="Times New Roman" w:hAnsi="Times New Roman"/>
                <w:b w:val="false"/>
                <w:bCs w:val="false"/>
                <w:sz w:val="22"/>
                <w:szCs w:val="22"/>
              </w:rPr>
              <w:t xml:space="preserve">20.636.222</w:t>
            </w:r>
          </w:p>
        </w:tc>
      </w:tr>
      <w:tr>
        <w:trPr>
          <w:cantSplit/>
          <w:tblHeader w:val="false"/>
        </w:trPr>
        <w:tc>
          <w:tcPr>
            <w:tcW w:type="dxa" w:w="3360"/>
            <w:tcBorders>
              <w:top w:val="none" w:color="FFFFFF" w:sz="0"/>
              <w:left w:val="none" w:color="FFFFFF" w:sz="0"/>
              <w:bottom w:val="none" w:color="FFFFFF" w:sz="0"/>
              <w:right w:val="none" w:color="FFFFFF" w:sz="0"/>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2"/>
                <w:szCs w:val="22"/>
              </w:rPr>
              <w:t xml:space="preserve">Horas de rodaje</w:t>
            </w:r>
          </w:p>
        </w:tc>
        <w:tc>
          <w:tcPr>
            <w:tcW w:type="dxa" w:w="3000"/>
            <w:tcBorders>
              <w:top w:val="none" w:color="FFFFFF" w:sz="0"/>
              <w:left w:val="none" w:color="FFFFFF" w:sz="0"/>
              <w:bottom w:val="none" w:color="FFFFFF" w:sz="0"/>
              <w:right w:val="none" w:color="FFFFFF" w:sz="0"/>
            </w:tcBorders>
            <w:tcMar>
              <w:top w:type="dxa" w:w="60"/>
              <w:left w:type="dxa" w:w="100"/>
              <w:bottom w:type="dxa" w:w="60"/>
              <w:right w:type="dxa" w:w="100"/>
            </w:tcMar>
          </w:tcPr>
          <w:p>
            <w:pPr>
              <w:jc w:val="right"/>
            </w:pPr>
            <w:r>
              <w:rPr>
                <w:rFonts w:ascii="Times New Roman" w:cs="Times New Roman" w:eastAsia="Times New Roman" w:hAnsi="Times New Roman"/>
                <w:b w:val="false"/>
                <w:bCs w:val="false"/>
                <w:sz w:val="22"/>
                <w:szCs w:val="22"/>
              </w:rPr>
              <w:t xml:space="preserve">9.057.336</w:t>
            </w:r>
          </w:p>
        </w:tc>
        <w:tc>
          <w:tcPr>
            <w:tcW w:type="dxa" w:w="3000"/>
            <w:tcBorders>
              <w:top w:val="none" w:color="FFFFFF" w:sz="0"/>
              <w:left w:val="none" w:color="FFFFFF" w:sz="0"/>
              <w:bottom w:val="none" w:color="FFFFFF" w:sz="0"/>
              <w:right w:val="none" w:color="FFFFFF" w:sz="0"/>
            </w:tcBorders>
            <w:tcMar>
              <w:top w:type="dxa" w:w="60"/>
              <w:left w:type="dxa" w:w="100"/>
              <w:bottom w:type="dxa" w:w="60"/>
              <w:right w:type="dxa" w:w="100"/>
            </w:tcMar>
          </w:tcPr>
          <w:p>
            <w:pPr>
              <w:jc w:val="right"/>
            </w:pPr>
            <w:r>
              <w:rPr>
                <w:rFonts w:ascii="Times New Roman" w:cs="Times New Roman" w:eastAsia="Times New Roman" w:hAnsi="Times New Roman"/>
                <w:b w:val="false"/>
                <w:bCs w:val="false"/>
                <w:sz w:val="22"/>
                <w:szCs w:val="22"/>
              </w:rPr>
              <w:t xml:space="preserve">9.057.336</w:t>
            </w:r>
          </w:p>
        </w:tc>
      </w:tr>
      <w:tr>
        <w:trPr>
          <w:cantSplit/>
          <w:tblHeader w:val="false"/>
        </w:trPr>
        <w:tc>
          <w:tcPr>
            <w:tcW w:type="dxa" w:w="3360"/>
            <w:tcBorders>
              <w:top w:val="none" w:color="FFFFFF" w:sz="0"/>
              <w:left w:val="none" w:color="FFFFFF" w:sz="0"/>
              <w:bottom w:val="none" w:color="FFFFFF" w:sz="0"/>
              <w:right w:val="none" w:color="FFFFFF" w:sz="0"/>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2"/>
                <w:szCs w:val="22"/>
              </w:rPr>
              <w:t xml:space="preserve">CO2, escenario bajo (t)</w:t>
            </w:r>
          </w:p>
        </w:tc>
        <w:tc>
          <w:tcPr>
            <w:tcW w:type="dxa" w:w="3000"/>
            <w:tcBorders>
              <w:top w:val="none" w:color="FFFFFF" w:sz="0"/>
              <w:left w:val="none" w:color="FFFFFF" w:sz="0"/>
              <w:bottom w:val="none" w:color="FFFFFF" w:sz="0"/>
              <w:right w:val="none" w:color="FFFFFF" w:sz="0"/>
            </w:tcBorders>
            <w:tcMar>
              <w:top w:type="dxa" w:w="60"/>
              <w:left w:type="dxa" w:w="100"/>
              <w:bottom w:type="dxa" w:w="60"/>
              <w:right w:type="dxa" w:w="100"/>
            </w:tcMar>
          </w:tcPr>
          <w:p>
            <w:pPr>
              <w:jc w:val="right"/>
            </w:pPr>
            <w:r>
              <w:rPr>
                <w:rFonts w:ascii="Times New Roman" w:cs="Times New Roman" w:eastAsia="Times New Roman" w:hAnsi="Times New Roman"/>
                <w:b w:val="false"/>
                <w:bCs w:val="false"/>
                <w:sz w:val="22"/>
                <w:szCs w:val="22"/>
              </w:rPr>
              <w:t xml:space="preserve">10.303.625</w:t>
            </w:r>
          </w:p>
        </w:tc>
        <w:tc>
          <w:tcPr>
            <w:tcW w:type="dxa" w:w="3000"/>
            <w:tcBorders>
              <w:top w:val="none" w:color="FFFFFF" w:sz="0"/>
              <w:left w:val="none" w:color="FFFFFF" w:sz="0"/>
              <w:bottom w:val="none" w:color="FFFFFF" w:sz="0"/>
              <w:right w:val="none" w:color="FFFFFF" w:sz="0"/>
            </w:tcBorders>
            <w:tcMar>
              <w:top w:type="dxa" w:w="60"/>
              <w:left w:type="dxa" w:w="100"/>
              <w:bottom w:type="dxa" w:w="60"/>
              <w:right w:type="dxa" w:w="100"/>
            </w:tcMar>
          </w:tcPr>
          <w:p>
            <w:pPr>
              <w:jc w:val="right"/>
            </w:pPr>
            <w:r>
              <w:rPr>
                <w:rFonts w:ascii="Times New Roman" w:cs="Times New Roman" w:eastAsia="Times New Roman" w:hAnsi="Times New Roman"/>
                <w:b w:val="false"/>
                <w:bCs w:val="false"/>
                <w:sz w:val="22"/>
                <w:szCs w:val="22"/>
              </w:rPr>
              <w:t xml:space="preserve">10.303.625</w:t>
            </w:r>
          </w:p>
        </w:tc>
      </w:tr>
      <w:tr>
        <w:trPr>
          <w:cantSplit/>
          <w:tblHeader w:val="false"/>
        </w:trPr>
        <w:tc>
          <w:tcPr>
            <w:tcW w:type="dxa" w:w="3360"/>
            <w:tcBorders>
              <w:top w:val="none" w:color="FFFFFF" w:sz="0"/>
              <w:left w:val="none" w:color="FFFFFF" w:sz="0"/>
              <w:bottom w:val="none" w:color="FFFFFF" w:sz="0"/>
              <w:right w:val="none" w:color="FFFFFF" w:sz="0"/>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2"/>
                <w:szCs w:val="22"/>
              </w:rPr>
              <w:t xml:space="preserve">CO2, escenario alto (t)</w:t>
            </w:r>
          </w:p>
        </w:tc>
        <w:tc>
          <w:tcPr>
            <w:tcW w:type="dxa" w:w="3000"/>
            <w:tcBorders>
              <w:top w:val="none" w:color="FFFFFF" w:sz="0"/>
              <w:left w:val="none" w:color="FFFFFF" w:sz="0"/>
              <w:bottom w:val="none" w:color="FFFFFF" w:sz="0"/>
              <w:right w:val="none" w:color="FFFFFF" w:sz="0"/>
            </w:tcBorders>
            <w:tcMar>
              <w:top w:type="dxa" w:w="60"/>
              <w:left w:type="dxa" w:w="100"/>
              <w:bottom w:type="dxa" w:w="60"/>
              <w:right w:type="dxa" w:w="100"/>
            </w:tcMar>
          </w:tcPr>
          <w:p>
            <w:pPr>
              <w:jc w:val="right"/>
            </w:pPr>
            <w:r>
              <w:rPr>
                <w:rFonts w:ascii="Times New Roman" w:cs="Times New Roman" w:eastAsia="Times New Roman" w:hAnsi="Times New Roman"/>
                <w:b w:val="false"/>
                <w:bCs w:val="false"/>
                <w:sz w:val="22"/>
                <w:szCs w:val="22"/>
              </w:rPr>
              <w:t xml:space="preserve">20.607.251</w:t>
            </w:r>
          </w:p>
        </w:tc>
        <w:tc>
          <w:tcPr>
            <w:tcW w:type="dxa" w:w="3000"/>
            <w:tcBorders>
              <w:top w:val="none" w:color="FFFFFF" w:sz="0"/>
              <w:left w:val="none" w:color="FFFFFF" w:sz="0"/>
              <w:bottom w:val="none" w:color="FFFFFF" w:sz="0"/>
              <w:right w:val="none" w:color="FFFFFF" w:sz="0"/>
            </w:tcBorders>
            <w:tcMar>
              <w:top w:type="dxa" w:w="60"/>
              <w:left w:type="dxa" w:w="100"/>
              <w:bottom w:type="dxa" w:w="60"/>
              <w:right w:type="dxa" w:w="100"/>
            </w:tcMar>
          </w:tcPr>
          <w:p>
            <w:pPr>
              <w:jc w:val="right"/>
            </w:pPr>
            <w:r>
              <w:rPr>
                <w:rFonts w:ascii="Times New Roman" w:cs="Times New Roman" w:eastAsia="Times New Roman" w:hAnsi="Times New Roman"/>
                <w:b w:val="false"/>
                <w:bCs w:val="false"/>
                <w:sz w:val="22"/>
                <w:szCs w:val="22"/>
              </w:rPr>
              <w:t xml:space="preserve">20.607.251</w:t>
            </w:r>
          </w:p>
        </w:tc>
      </w:tr>
      <w:tr>
        <w:trPr>
          <w:cantSplit/>
          <w:tblHeader w:val="false"/>
        </w:trPr>
        <w:tc>
          <w:tcPr>
            <w:tcW w:type="dxa" w:w="3360"/>
            <w:tcBorders>
              <w:top w:val="none" w:color="FFFFFF" w:sz="0"/>
              <w:left w:val="none" w:color="FFFFFF" w:sz="0"/>
              <w:bottom w:val="none" w:color="FFFFFF" w:sz="0"/>
              <w:right w:val="none" w:color="FFFFFF" w:sz="0"/>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2"/>
                <w:szCs w:val="22"/>
              </w:rPr>
              <w:t xml:space="preserve">Media de TaxiOut (min)</w:t>
            </w:r>
          </w:p>
        </w:tc>
        <w:tc>
          <w:tcPr>
            <w:tcW w:type="dxa" w:w="3000"/>
            <w:tcBorders>
              <w:top w:val="none" w:color="FFFFFF" w:sz="0"/>
              <w:left w:val="none" w:color="FFFFFF" w:sz="0"/>
              <w:bottom w:val="none" w:color="FFFFFF" w:sz="0"/>
              <w:right w:val="none" w:color="FFFFFF" w:sz="0"/>
            </w:tcBorders>
            <w:tcMar>
              <w:top w:type="dxa" w:w="60"/>
              <w:left w:type="dxa" w:w="100"/>
              <w:bottom w:type="dxa" w:w="60"/>
              <w:right w:type="dxa" w:w="100"/>
            </w:tcMar>
          </w:tcPr>
          <w:p>
            <w:pPr>
              <w:jc w:val="right"/>
            </w:pPr>
            <w:r>
              <w:rPr>
                <w:rFonts w:ascii="Times New Roman" w:cs="Times New Roman" w:eastAsia="Times New Roman" w:hAnsi="Times New Roman"/>
                <w:b w:val="false"/>
                <w:bCs w:val="false"/>
                <w:sz w:val="22"/>
                <w:szCs w:val="22"/>
              </w:rPr>
              <w:t xml:space="preserve">17,99</w:t>
            </w:r>
          </w:p>
        </w:tc>
        <w:tc>
          <w:tcPr>
            <w:tcW w:type="dxa" w:w="3000"/>
            <w:tcBorders>
              <w:top w:val="none" w:color="FFFFFF" w:sz="0"/>
              <w:left w:val="none" w:color="FFFFFF" w:sz="0"/>
              <w:bottom w:val="none" w:color="FFFFFF" w:sz="0"/>
              <w:right w:val="none" w:color="FFFFFF" w:sz="0"/>
            </w:tcBorders>
            <w:tcMar>
              <w:top w:type="dxa" w:w="60"/>
              <w:left w:type="dxa" w:w="100"/>
              <w:bottom w:type="dxa" w:w="60"/>
              <w:right w:type="dxa" w:w="100"/>
            </w:tcMar>
          </w:tcPr>
          <w:p>
            <w:pPr>
              <w:jc w:val="right"/>
            </w:pPr>
            <w:r>
              <w:rPr>
                <w:rFonts w:ascii="Times New Roman" w:cs="Times New Roman" w:eastAsia="Times New Roman" w:hAnsi="Times New Roman"/>
                <w:b w:val="false"/>
                <w:bCs w:val="false"/>
                <w:sz w:val="22"/>
                <w:szCs w:val="22"/>
              </w:rPr>
              <w:t xml:space="preserve">17,99</w:t>
            </w:r>
          </w:p>
        </w:tc>
      </w:tr>
      <w:tr>
        <w:trPr>
          <w:cantSplit/>
          <w:tblHeader w:val="false"/>
        </w:trPr>
        <w:tc>
          <w:tcPr>
            <w:tcW w:type="dxa" w:w="3360"/>
            <w:tcBorders>
              <w:top w:val="none" w:color="FFFFFF" w:sz="0"/>
              <w:left w:val="none" w:color="FFFFFF" w:sz="0"/>
              <w:bottom w:val="none" w:color="FFFFFF" w:sz="0"/>
              <w:right w:val="none" w:color="FFFFFF" w:sz="0"/>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2"/>
                <w:szCs w:val="22"/>
              </w:rPr>
              <w:t xml:space="preserve">Media de TaxiIn (min)</w:t>
            </w:r>
          </w:p>
        </w:tc>
        <w:tc>
          <w:tcPr>
            <w:tcW w:type="dxa" w:w="3000"/>
            <w:tcBorders>
              <w:top w:val="none" w:color="FFFFFF" w:sz="0"/>
              <w:left w:val="none" w:color="FFFFFF" w:sz="0"/>
              <w:bottom w:val="none" w:color="FFFFFF" w:sz="0"/>
              <w:right w:val="none" w:color="FFFFFF" w:sz="0"/>
            </w:tcBorders>
            <w:tcMar>
              <w:top w:type="dxa" w:w="60"/>
              <w:left w:type="dxa" w:w="100"/>
              <w:bottom w:type="dxa" w:w="60"/>
              <w:right w:type="dxa" w:w="100"/>
            </w:tcMar>
          </w:tcPr>
          <w:p>
            <w:pPr>
              <w:jc w:val="right"/>
            </w:pPr>
            <w:r>
              <w:rPr>
                <w:rFonts w:ascii="Times New Roman" w:cs="Times New Roman" w:eastAsia="Times New Roman" w:hAnsi="Times New Roman"/>
                <w:b w:val="false"/>
                <w:bCs w:val="false"/>
                <w:sz w:val="22"/>
                <w:szCs w:val="22"/>
              </w:rPr>
              <w:t xml:space="preserve">8,35</w:t>
            </w:r>
          </w:p>
        </w:tc>
        <w:tc>
          <w:tcPr>
            <w:tcW w:type="dxa" w:w="3000"/>
            <w:tcBorders>
              <w:top w:val="none" w:color="FFFFFF" w:sz="0"/>
              <w:left w:val="none" w:color="FFFFFF" w:sz="0"/>
              <w:bottom w:val="none" w:color="FFFFFF" w:sz="0"/>
              <w:right w:val="none" w:color="FFFFFF" w:sz="0"/>
            </w:tcBorders>
            <w:tcMar>
              <w:top w:type="dxa" w:w="60"/>
              <w:left w:type="dxa" w:w="100"/>
              <w:bottom w:type="dxa" w:w="60"/>
              <w:right w:type="dxa" w:w="100"/>
            </w:tcMar>
          </w:tcPr>
          <w:p>
            <w:pPr>
              <w:jc w:val="right"/>
            </w:pPr>
            <w:r>
              <w:rPr>
                <w:rFonts w:ascii="Times New Roman" w:cs="Times New Roman" w:eastAsia="Times New Roman" w:hAnsi="Times New Roman"/>
                <w:b w:val="false"/>
                <w:bCs w:val="false"/>
                <w:sz w:val="22"/>
                <w:szCs w:val="22"/>
              </w:rPr>
              <w:t xml:space="preserve">8,35</w:t>
            </w:r>
          </w:p>
        </w:tc>
      </w:tr>
      <w:tr>
        <w:trPr>
          <w:cantSplit/>
          <w:tblHeader w:val="false"/>
        </w:trPr>
        <w:tc>
          <w:tcPr>
            <w:tcW w:type="dxa" w:w="3360"/>
            <w:tcBorders>
              <w:top w:val="none" w:color="FFFFFF" w:sz="0"/>
              <w:left w:val="none" w:color="FFFFFF" w:sz="0"/>
              <w:bottom w:val="single" w:color="000000" w:sz="6"/>
              <w:right w:val="none" w:color="FFFFFF" w:sz="0"/>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2"/>
                <w:szCs w:val="22"/>
              </w:rPr>
              <w:t xml:space="preserve">CO2 de salida en ORD (t)</w:t>
            </w:r>
          </w:p>
        </w:tc>
        <w:tc>
          <w:tcPr>
            <w:tcW w:type="dxa" w:w="3000"/>
            <w:tcBorders>
              <w:top w:val="none" w:color="FFFFFF" w:sz="0"/>
              <w:left w:val="none" w:color="FFFFFF" w:sz="0"/>
              <w:bottom w:val="single" w:color="000000" w:sz="6"/>
              <w:right w:val="none" w:color="FFFFFF" w:sz="0"/>
            </w:tcBorders>
            <w:tcMar>
              <w:top w:type="dxa" w:w="60"/>
              <w:left w:type="dxa" w:w="100"/>
              <w:bottom w:type="dxa" w:w="60"/>
              <w:right w:type="dxa" w:w="100"/>
            </w:tcMar>
          </w:tcPr>
          <w:p>
            <w:pPr>
              <w:jc w:val="right"/>
            </w:pPr>
            <w:r>
              <w:rPr>
                <w:rFonts w:ascii="Times New Roman" w:cs="Times New Roman" w:eastAsia="Times New Roman" w:hAnsi="Times New Roman"/>
                <w:b w:val="false"/>
                <w:bCs w:val="false"/>
                <w:sz w:val="22"/>
                <w:szCs w:val="22"/>
              </w:rPr>
              <w:t xml:space="preserve">392.002</w:t>
            </w:r>
          </w:p>
        </w:tc>
        <w:tc>
          <w:tcPr>
            <w:tcW w:type="dxa" w:w="3000"/>
            <w:tcBorders>
              <w:top w:val="none" w:color="FFFFFF" w:sz="0"/>
              <w:left w:val="none" w:color="FFFFFF" w:sz="0"/>
              <w:bottom w:val="single" w:color="000000" w:sz="6"/>
              <w:right w:val="none" w:color="FFFFFF" w:sz="0"/>
            </w:tcBorders>
            <w:tcMar>
              <w:top w:type="dxa" w:w="60"/>
              <w:left w:type="dxa" w:w="100"/>
              <w:bottom w:type="dxa" w:w="60"/>
              <w:right w:type="dxa" w:w="100"/>
            </w:tcMar>
          </w:tcPr>
          <w:p>
            <w:pPr>
              <w:jc w:val="right"/>
            </w:pPr>
            <w:r>
              <w:rPr>
                <w:rFonts w:ascii="Times New Roman" w:cs="Times New Roman" w:eastAsia="Times New Roman" w:hAnsi="Times New Roman"/>
                <w:b w:val="false"/>
                <w:bCs w:val="false"/>
                <w:sz w:val="22"/>
                <w:szCs w:val="22"/>
              </w:rPr>
              <w:t xml:space="preserve">392.002</w:t>
            </w:r>
          </w:p>
        </w:tc>
      </w:tr>
    </w:tbl>
    <w:p>
      <w:pPr>
        <w:spacing w:after="200" w:before="80"/>
      </w:pPr>
      <w:r>
        <w:rPr>
          <w:rFonts w:ascii="Times New Roman" w:cs="Times New Roman" w:eastAsia="Times New Roman" w:hAnsi="Times New Roman"/>
          <w:i/>
          <w:iCs/>
          <w:sz w:val="22"/>
          <w:szCs w:val="22"/>
        </w:rPr>
        <w:t xml:space="preserve">Nota. </w:t>
      </w:r>
      <w:r>
        <w:rPr>
          <w:rFonts w:ascii="Times New Roman" w:cs="Times New Roman" w:eastAsia="Times New Roman" w:hAnsi="Times New Roman"/>
          <w:sz w:val="22"/>
          <w:szCs w:val="22"/>
        </w:rPr>
        <w:t xml:space="preserve">Archivo </w:t>
      </w:r>
      <w:r>
        <w:rPr>
          <w:rFonts w:ascii="Consolas" w:cs="Consolas" w:eastAsia="Consolas" w:hAnsi="Consolas"/>
          <w:sz w:val="21"/>
          <w:szCs w:val="21"/>
        </w:rPr>
        <w:t xml:space="preserve">verificacion_exactitud.csv</w:t>
      </w:r>
      <w:r>
        <w:rPr>
          <w:rFonts w:ascii="Times New Roman" w:cs="Times New Roman" w:eastAsia="Times New Roman" w:hAnsi="Times New Roman"/>
          <w:sz w:val="22"/>
          <w:szCs w:val="22"/>
        </w:rPr>
        <w:t xml:space="preserve">. Un mes (enero de 2023) se recalculó además con pandas, sin DuckDB, y la suma de minutos coincidió.</w:t>
      </w:r>
    </w:p>
    <w:p>
      <w:pPr>
        <w:pStyle w:val="Heading1"/>
        <w:keepNext/>
        <w:spacing w:after="200" w:before="360" w:line="360"/>
        <w:jc w:val="center"/>
      </w:pPr>
      <w:r>
        <w:rPr>
          <w:rFonts w:ascii="Times New Roman" w:cs="Times New Roman" w:eastAsia="Times New Roman" w:hAnsi="Times New Roman"/>
          <w:b/>
          <w:bCs/>
          <w:sz w:val="24"/>
          <w:szCs w:val="24"/>
        </w:rPr>
        <w:t xml:space="preserve">Base de datos en AWS y tablero en Grafana</w:t>
      </w:r>
    </w:p>
    <w:p>
      <w:pPr>
        <w:spacing w:after="120" w:line="360"/>
        <w:ind w:firstLine="720"/>
        <w:jc w:val="left"/>
      </w:pPr>
      <w:r>
        <w:rPr>
          <w:rFonts w:ascii="Times New Roman" w:cs="Times New Roman" w:eastAsia="Times New Roman" w:hAnsi="Times New Roman"/>
          <w:sz w:val="24"/>
          <w:szCs w:val="24"/>
        </w:rPr>
        <w:t xml:space="preserve">A la base de datos solo ingresan las tablas agregadas, nunca los datos originales. El script </w:t>
      </w:r>
      <w:r>
        <w:rPr>
          <w:rFonts w:ascii="Consolas" w:cs="Consolas" w:eastAsia="Consolas" w:hAnsi="Consolas"/>
          <w:sz w:val="21"/>
          <w:szCs w:val="21"/>
        </w:rPr>
        <w:t xml:space="preserve">scripts/subir_resultados_aws.py</w:t>
      </w:r>
      <w:r>
        <w:rPr>
          <w:rFonts w:ascii="Times New Roman" w:cs="Times New Roman" w:eastAsia="Times New Roman" w:hAnsi="Times New Roman"/>
          <w:sz w:val="24"/>
          <w:szCs w:val="24"/>
        </w:rPr>
        <w:t xml:space="preserve"> lee el servidor y la clave desde un archivo </w:t>
      </w:r>
      <w:r>
        <w:rPr>
          <w:rFonts w:ascii="Consolas" w:cs="Consolas" w:eastAsia="Consolas" w:hAnsi="Consolas"/>
          <w:sz w:val="21"/>
          <w:szCs w:val="21"/>
        </w:rPr>
        <w:t xml:space="preserve">.env</w:t>
      </w:r>
      <w:r>
        <w:rPr>
          <w:rFonts w:ascii="Times New Roman" w:cs="Times New Roman" w:eastAsia="Times New Roman" w:hAnsi="Times New Roman"/>
          <w:sz w:val="24"/>
          <w:szCs w:val="24"/>
        </w:rPr>
        <w:t xml:space="preserve">, puede ejecutarse nuevamente si el laboratorio se reinicia e incluye la opción </w:t>
      </w:r>
      <w:r>
        <w:rPr>
          <w:rFonts w:ascii="Consolas" w:cs="Consolas" w:eastAsia="Consolas" w:hAnsi="Consolas"/>
          <w:sz w:val="21"/>
          <w:szCs w:val="21"/>
        </w:rPr>
        <w:t xml:space="preserve">--dry-run</w:t>
      </w:r>
      <w:r>
        <w:rPr>
          <w:rFonts w:ascii="Times New Roman" w:cs="Times New Roman" w:eastAsia="Times New Roman" w:hAnsi="Times New Roman"/>
          <w:sz w:val="24"/>
          <w:szCs w:val="24"/>
        </w:rPr>
        <w:t xml:space="preserve">, que no establece conexión. La guía de configuración está en </w:t>
      </w:r>
      <w:r>
        <w:rPr>
          <w:rFonts w:ascii="Consolas" w:cs="Consolas" w:eastAsia="Consolas" w:hAnsi="Consolas"/>
          <w:sz w:val="21"/>
          <w:szCs w:val="21"/>
        </w:rPr>
        <w:t xml:space="preserve">docs/guia_aws_grafana.md</w:t>
      </w:r>
      <w:r>
        <w:rPr>
          <w:rFonts w:ascii="Times New Roman" w:cs="Times New Roman" w:eastAsia="Times New Roman" w:hAnsi="Times New Roman"/>
          <w:sz w:val="24"/>
          <w:szCs w:val="24"/>
        </w:rPr>
        <w:t xml:space="preserve">. Los paneles del tablero (total, top 10, hora, aeropuertos lentos y ahorro potencial) se describen en </w:t>
      </w:r>
      <w:r>
        <w:rPr>
          <w:rFonts w:ascii="Consolas" w:cs="Consolas" w:eastAsia="Consolas" w:hAnsi="Consolas"/>
          <w:sz w:val="21"/>
          <w:szCs w:val="21"/>
        </w:rPr>
        <w:t xml:space="preserve">docs/grafana_paneles.md</w:t>
      </w:r>
      <w:r>
        <w:rPr>
          <w:rFonts w:ascii="Times New Roman" w:cs="Times New Roman" w:eastAsia="Times New Roman" w:hAnsi="Times New Roman"/>
          <w:sz w:val="24"/>
          <w:szCs w:val="24"/>
        </w:rPr>
        <w:t xml:space="preserve">, junto con un archivo JSON para importarlos.</w:t>
      </w:r>
    </w:p>
    <w:p>
      <w:pPr>
        <w:keepNext/>
        <w:spacing w:after="0" w:before="200"/>
      </w:pPr>
      <w:r>
        <w:rPr>
          <w:rFonts w:ascii="Times New Roman" w:cs="Times New Roman" w:eastAsia="Times New Roman" w:hAnsi="Times New Roman"/>
          <w:b/>
          <w:bCs/>
          <w:sz w:val="24"/>
          <w:szCs w:val="24"/>
        </w:rPr>
        <w:t xml:space="preserve">Figura 5</w:t>
      </w:r>
    </w:p>
    <w:p>
      <w:pPr>
        <w:keepNext/>
        <w:spacing w:after="100"/>
      </w:pPr>
      <w:r>
        <w:rPr>
          <w:rFonts w:ascii="Times New Roman" w:cs="Times New Roman" w:eastAsia="Times New Roman" w:hAnsi="Times New Roman"/>
          <w:i/>
          <w:iCs/>
          <w:sz w:val="24"/>
          <w:szCs w:val="24"/>
        </w:rPr>
        <w:t xml:space="preserve">Tablas de resultados en la base de datos AWS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0000" w:sz="6"/>
              <w:left w:val="single" w:color="000000" w:sz="6"/>
              <w:bottom w:val="single" w:color="000000" w:sz="6"/>
              <w:right w:val="single" w:color="000000" w:sz="6"/>
            </w:tcBorders>
            <w:shd w:fill="FFF9C4" w:color="auto" w:val="clear"/>
            <w:tcMar>
              <w:top w:type="dxa" w:w="400"/>
              <w:left w:type="dxa" w:w="200"/>
              <w:bottom w:type="dxa" w:w="400"/>
              <w:right w:type="dxa" w:w="200"/>
            </w:tcMar>
          </w:tcPr>
          <w:p>
            <w:pPr>
              <w:jc w:val="center"/>
            </w:pPr>
            <w:r>
              <w:rPr>
                <w:rFonts w:ascii="Times New Roman" w:cs="Times New Roman" w:eastAsia="Times New Roman" w:hAnsi="Times New Roman"/>
                <w:i/>
                <w:iCs/>
                <w:sz w:val="22"/>
                <w:szCs w:val="22"/>
              </w:rPr>
              <w:t xml:space="preserve">[Insertar captura: tablas agregadas en Amazon RDS]</w:t>
            </w:r>
          </w:p>
        </w:tc>
      </w:tr>
    </w:tbl>
    <w:p>
      <w:pPr>
        <w:keepNext/>
        <w:spacing w:after="0" w:before="200"/>
      </w:pPr>
      <w:r>
        <w:rPr>
          <w:rFonts w:ascii="Times New Roman" w:cs="Times New Roman" w:eastAsia="Times New Roman" w:hAnsi="Times New Roman"/>
          <w:b/>
          <w:bCs/>
          <w:sz w:val="24"/>
          <w:szCs w:val="24"/>
        </w:rPr>
        <w:t xml:space="preserve">Figura 6</w:t>
      </w:r>
    </w:p>
    <w:p>
      <w:pPr>
        <w:keepNext/>
        <w:spacing w:after="100"/>
      </w:pPr>
      <w:r>
        <w:rPr>
          <w:rFonts w:ascii="Times New Roman" w:cs="Times New Roman" w:eastAsia="Times New Roman" w:hAnsi="Times New Roman"/>
          <w:i/>
          <w:iCs/>
          <w:sz w:val="24"/>
          <w:szCs w:val="24"/>
        </w:rPr>
        <w:t xml:space="preserve">Tablero gerencial en Grafana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0000" w:sz="6"/>
              <w:left w:val="single" w:color="000000" w:sz="6"/>
              <w:bottom w:val="single" w:color="000000" w:sz="6"/>
              <w:right w:val="single" w:color="000000" w:sz="6"/>
            </w:tcBorders>
            <w:shd w:fill="FFF9C4" w:color="auto" w:val="clear"/>
            <w:tcMar>
              <w:top w:type="dxa" w:w="400"/>
              <w:left w:type="dxa" w:w="200"/>
              <w:bottom w:type="dxa" w:w="400"/>
              <w:right w:type="dxa" w:w="200"/>
            </w:tcMar>
          </w:tcPr>
          <w:p>
            <w:pPr>
              <w:jc w:val="center"/>
            </w:pPr>
            <w:r>
              <w:rPr>
                <w:rFonts w:ascii="Times New Roman" w:cs="Times New Roman" w:eastAsia="Times New Roman" w:hAnsi="Times New Roman"/>
                <w:i/>
                <w:iCs/>
                <w:sz w:val="22"/>
                <w:szCs w:val="22"/>
              </w:rPr>
              <w:t xml:space="preserve">[Insertar captura: tablero de Grafana con los paneles gerenciales]</w:t>
            </w:r>
          </w:p>
        </w:tc>
      </w:tr>
    </w:tbl>
    <w:p>
      <w:r>
        <w:rPr>
          <w:rFonts w:ascii="Times New Roman" w:cs="Times New Roman" w:eastAsia="Times New Roman" w:hAnsi="Times New Roman"/>
          <w:sz w:val="24"/>
          <w:szCs w:val="24"/>
        </w:rPr>
        <w:t xml:space="preserve"/>
      </w:r>
    </w:p>
    <w:p>
      <w:pPr>
        <w:pStyle w:val="Heading1"/>
        <w:keepNext/>
        <w:spacing w:after="200" w:before="360" w:line="360"/>
        <w:jc w:val="center"/>
      </w:pPr>
      <w:r>
        <w:rPr>
          <w:rFonts w:ascii="Times New Roman" w:cs="Times New Roman" w:eastAsia="Times New Roman" w:hAnsi="Times New Roman"/>
          <w:b/>
          <w:bCs/>
          <w:sz w:val="24"/>
          <w:szCs w:val="24"/>
        </w:rPr>
        <w:t xml:space="preserve">Conclusiones</w:t>
      </w:r>
    </w:p>
    <w:p>
      <w:pPr>
        <w:pStyle w:val="ListParagraph"/>
        <w:numPr>
          <w:ilvl w:val="0"/>
          <w:numId w:val="4"/>
        </w:numPr>
        <w:spacing w:after="80" w:line="360"/>
      </w:pPr>
      <w:r>
        <w:rPr>
          <w:rFonts w:ascii="Times New Roman" w:cs="Times New Roman" w:eastAsia="Times New Roman" w:hAnsi="Times New Roman"/>
          <w:sz w:val="24"/>
          <w:szCs w:val="24"/>
        </w:rPr>
        <w:t xml:space="preserve">En tres años, el rodaje válido representa </w:t>
      </w:r>
      <w:r>
        <w:rPr>
          <w:rFonts w:ascii="Times New Roman" w:cs="Times New Roman" w:eastAsia="Times New Roman" w:hAnsi="Times New Roman"/>
          <w:b/>
          <w:bCs/>
          <w:sz w:val="24"/>
          <w:szCs w:val="24"/>
        </w:rPr>
        <w:t xml:space="preserve">10,3 millones de toneladas</w:t>
      </w:r>
      <w:r>
        <w:rPr>
          <w:rFonts w:ascii="Times New Roman" w:cs="Times New Roman" w:eastAsia="Times New Roman" w:hAnsi="Times New Roman"/>
          <w:sz w:val="24"/>
          <w:szCs w:val="24"/>
        </w:rPr>
        <w:t xml:space="preserve"> de CO2 en el escenario bajo, y el doble si se acepta el escenario alto.</w:t>
      </w:r>
    </w:p>
    <w:p>
      <w:pPr>
        <w:pStyle w:val="ListParagraph"/>
        <w:numPr>
          <w:ilvl w:val="0"/>
          <w:numId w:val="4"/>
        </w:numPr>
        <w:spacing w:after="80" w:line="360"/>
      </w:pPr>
      <w:r>
        <w:rPr>
          <w:rFonts w:ascii="Times New Roman" w:cs="Times New Roman" w:eastAsia="Times New Roman" w:hAnsi="Times New Roman"/>
          <w:sz w:val="24"/>
          <w:szCs w:val="24"/>
        </w:rPr>
        <w:t xml:space="preserve">Actuar sobre ORD, DFW, DEN y ATL ataca el volumen de emisiones; actuar sobre JFK, EWR, LGA y ORD ataca los minutos de rodaje. ORD aparece en ambas listas.</w:t>
      </w:r>
    </w:p>
    <w:p>
      <w:pPr>
        <w:pStyle w:val="ListParagraph"/>
        <w:numPr>
          <w:ilvl w:val="0"/>
          <w:numId w:val="4"/>
        </w:numPr>
        <w:spacing w:after="80" w:line="360"/>
      </w:pPr>
      <w:r>
        <w:rPr>
          <w:rFonts w:ascii="Times New Roman" w:cs="Times New Roman" w:eastAsia="Times New Roman" w:hAnsi="Times New Roman"/>
          <w:sz w:val="24"/>
          <w:szCs w:val="24"/>
        </w:rPr>
        <w:t xml:space="preserve">La mañana (de 6:00 a 8:59) concentra más CO2 de salida que la tarde.</w:t>
      </w:r>
    </w:p>
    <w:p>
      <w:pPr>
        <w:pStyle w:val="ListParagraph"/>
        <w:numPr>
          <w:ilvl w:val="0"/>
          <w:numId w:val="4"/>
        </w:numPr>
        <w:spacing w:after="80" w:line="360"/>
      </w:pPr>
      <w:r>
        <w:rPr>
          <w:rFonts w:ascii="Times New Roman" w:cs="Times New Roman" w:eastAsia="Times New Roman" w:hAnsi="Times New Roman"/>
          <w:sz w:val="24"/>
          <w:szCs w:val="24"/>
        </w:rPr>
        <w:t xml:space="preserve">Las horas de rodaje crecieron más rápido que el número de vuelos.</w:t>
      </w:r>
    </w:p>
    <w:p>
      <w:pPr>
        <w:pStyle w:val="ListParagraph"/>
        <w:numPr>
          <w:ilvl w:val="0"/>
          <w:numId w:val="4"/>
        </w:numPr>
        <w:spacing w:after="80" w:line="360"/>
      </w:pPr>
      <w:r>
        <w:rPr>
          <w:rFonts w:ascii="Times New Roman" w:cs="Times New Roman" w:eastAsia="Times New Roman" w:hAnsi="Times New Roman"/>
          <w:sz w:val="24"/>
          <w:szCs w:val="24"/>
        </w:rPr>
        <w:t xml:space="preserve">La nieve y la lluvia fuerte alargan el rodaje de salida en los 20 aeropuertos medidos, aunque los datos no permiten atribuirles toda la causa.</w:t>
      </w:r>
    </w:p>
    <w:p>
      <w:pPr>
        <w:pStyle w:val="ListParagraph"/>
        <w:numPr>
          <w:ilvl w:val="0"/>
          <w:numId w:val="4"/>
        </w:numPr>
        <w:spacing w:after="80" w:line="360"/>
      </w:pPr>
      <w:r>
        <w:rPr>
          <w:rFonts w:ascii="Times New Roman" w:cs="Times New Roman" w:eastAsia="Times New Roman" w:hAnsi="Times New Roman"/>
          <w:sz w:val="24"/>
          <w:szCs w:val="24"/>
        </w:rPr>
        <w:t xml:space="preserve">El grupo “hora 24” era un error de redondeo, no una hora real.</w:t>
      </w:r>
    </w:p>
    <w:p>
      <w:pPr>
        <w:pStyle w:val="Heading2"/>
        <w:keepNext/>
        <w:spacing w:after="120" w:before="240" w:line="360"/>
      </w:pPr>
      <w:r>
        <w:rPr>
          <w:rFonts w:ascii="Times New Roman" w:cs="Times New Roman" w:eastAsia="Times New Roman" w:hAnsi="Times New Roman"/>
          <w:b/>
          <w:bCs/>
          <w:sz w:val="24"/>
          <w:szCs w:val="24"/>
        </w:rPr>
        <w:t xml:space="preserve">Limitaciones</w:t>
      </w:r>
    </w:p>
    <w:p>
      <w:pPr>
        <w:spacing w:after="120" w:line="360"/>
        <w:ind w:firstLine="720"/>
        <w:jc w:val="left"/>
      </w:pPr>
      <w:r>
        <w:rPr>
          <w:rFonts w:ascii="Times New Roman" w:cs="Times New Roman" w:eastAsia="Times New Roman" w:hAnsi="Times New Roman"/>
          <w:sz w:val="24"/>
          <w:szCs w:val="24"/>
        </w:rPr>
        <w:t xml:space="preserve">Sin información del tipo de avión, el factor de consumo es común a todos los vuelos; los datos de clima no son horarios ni cubren todo el país; y todas las cifras corresponden a Estados Unidos.</w:t>
      </w:r>
    </w:p>
    <w:p>
      <w:pPr>
        <w:pStyle w:val="Heading2"/>
        <w:keepNext/>
        <w:spacing w:after="120" w:before="240" w:line="360"/>
      </w:pPr>
      <w:r>
        <w:rPr>
          <w:rFonts w:ascii="Times New Roman" w:cs="Times New Roman" w:eastAsia="Times New Roman" w:hAnsi="Times New Roman"/>
          <w:b/>
          <w:bCs/>
          <w:sz w:val="24"/>
          <w:szCs w:val="24"/>
        </w:rPr>
        <w:t xml:space="preserve">Trabajo futuro</w:t>
      </w:r>
    </w:p>
    <w:p>
      <w:pPr>
        <w:spacing w:after="120" w:line="360"/>
        <w:ind w:firstLine="720"/>
        <w:jc w:val="left"/>
      </w:pPr>
      <w:r>
        <w:rPr>
          <w:rFonts w:ascii="Times New Roman" w:cs="Times New Roman" w:eastAsia="Times New Roman" w:hAnsi="Times New Roman"/>
          <w:sz w:val="24"/>
          <w:szCs w:val="24"/>
        </w:rPr>
        <w:t xml:space="preserve">Se propone repetir la metodología con datos de la Aerocivil para el aeropuerto El Dorado, incorporar el tipo de motor cuando esté disponible y evaluar si un pronóstico meteorológico (y no el clima ya ocurrido) ayuda a planificar la franja de 6:00 a 8:00.</w:t>
      </w:r>
    </w:p>
    <w:p>
      <w:pPr>
        <w:pStyle w:val="Heading1"/>
        <w:keepNext/>
        <w:pageBreakBefore/>
        <w:spacing w:after="200" w:before="0" w:line="360"/>
        <w:jc w:val="center"/>
      </w:pPr>
      <w:r>
        <w:rPr>
          <w:rFonts w:ascii="Times New Roman" w:cs="Times New Roman" w:eastAsia="Times New Roman" w:hAnsi="Times New Roman"/>
          <w:b/>
          <w:bCs/>
          <w:sz w:val="24"/>
          <w:szCs w:val="24"/>
        </w:rPr>
        <w:t xml:space="preserve">Registro de uso de inteligencia artificial</w:t>
      </w:r>
    </w:p>
    <w:p>
      <w:pPr>
        <w:spacing w:after="120" w:line="360"/>
        <w:ind w:firstLine="720"/>
        <w:jc w:val="left"/>
      </w:pPr>
      <w:r>
        <w:rPr>
          <w:rFonts w:ascii="Times New Roman" w:cs="Times New Roman" w:eastAsia="Times New Roman" w:hAnsi="Times New Roman"/>
          <w:sz w:val="24"/>
          <w:szCs w:val="24"/>
        </w:rPr>
        <w:t xml:space="preserve">Se usó Cursor, con un modelo de lenguaje, como asistente de programación. Una persona del grupo revisa, ejecuta y explica cada resultado; la herramienta no reemplaza esa revisión. El registro completo está en </w:t>
      </w:r>
      <w:r>
        <w:rPr>
          <w:rFonts w:ascii="Consolas" w:cs="Consolas" w:eastAsia="Consolas" w:hAnsi="Consolas"/>
          <w:sz w:val="21"/>
          <w:szCs w:val="21"/>
        </w:rPr>
        <w:t xml:space="preserve">docs/registro_uso_ia.md</w:t>
      </w:r>
      <w:r>
        <w:rPr>
          <w:rFonts w:ascii="Times New Roman" w:cs="Times New Roman" w:eastAsia="Times New Roman" w:hAnsi="Times New Roman"/>
          <w:sz w:val="24"/>
          <w:szCs w:val="24"/>
        </w:rPr>
        <w:t xml:space="preserve">.</w:t>
      </w:r>
    </w:p>
    <w:p>
      <w:pPr>
        <w:keepNext/>
        <w:spacing w:after="0" w:before="200"/>
      </w:pPr>
      <w:r>
        <w:rPr>
          <w:rFonts w:ascii="Times New Roman" w:cs="Times New Roman" w:eastAsia="Times New Roman" w:hAnsi="Times New Roman"/>
          <w:b/>
          <w:bCs/>
          <w:sz w:val="24"/>
          <w:szCs w:val="24"/>
        </w:rPr>
        <w:t xml:space="preserve">Tabla 4</w:t>
      </w:r>
    </w:p>
    <w:p>
      <w:pPr>
        <w:keepNext/>
        <w:spacing w:after="100"/>
      </w:pPr>
      <w:r>
        <w:rPr>
          <w:rFonts w:ascii="Times New Roman" w:cs="Times New Roman" w:eastAsia="Times New Roman" w:hAnsi="Times New Roman"/>
          <w:i/>
          <w:iCs/>
          <w:sz w:val="24"/>
          <w:szCs w:val="24"/>
        </w:rPr>
        <w:t xml:space="preserve">Uso de inteligencia artificial y verificación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3300"/>
        <w:gridCol w:w="3360"/>
      </w:tblGrid>
      <w:tr>
        <w:trPr>
          <w:cantSplit/>
          <w:tblHeader/>
        </w:trPr>
        <w:tc>
          <w:tcPr>
            <w:tcW w:type="dxa" w:w="2700"/>
            <w:tcBorders>
              <w:top w:val="single" w:color="000000" w:sz="6"/>
              <w:left w:val="none" w:color="FFFFFF" w:sz="0"/>
              <w:bottom w:val="single" w:color="000000" w:sz="6"/>
              <w:right w:val="none" w:color="FFFFFF" w:sz="0"/>
            </w:tcBorders>
            <w:tcMar>
              <w:top w:type="dxa" w:w="60"/>
              <w:left w:type="dxa" w:w="100"/>
              <w:bottom w:type="dxa" w:w="60"/>
              <w:right w:type="dxa" w:w="100"/>
            </w:tcMar>
          </w:tcPr>
          <w:p>
            <w:pPr>
              <w:jc w:val="left"/>
            </w:pPr>
            <w:r>
              <w:rPr>
                <w:rFonts w:ascii="Times New Roman" w:cs="Times New Roman" w:eastAsia="Times New Roman" w:hAnsi="Times New Roman"/>
                <w:b/>
                <w:bCs/>
                <w:sz w:val="22"/>
                <w:szCs w:val="22"/>
              </w:rPr>
              <w:t xml:space="preserve">Qué se pidió</w:t>
            </w:r>
          </w:p>
        </w:tc>
        <w:tc>
          <w:tcPr>
            <w:tcW w:type="dxa" w:w="3300"/>
            <w:tcBorders>
              <w:top w:val="single" w:color="000000" w:sz="6"/>
              <w:left w:val="none" w:color="FFFFFF" w:sz="0"/>
              <w:bottom w:val="single" w:color="000000" w:sz="6"/>
              <w:right w:val="none" w:color="FFFFFF" w:sz="0"/>
            </w:tcBorders>
            <w:tcMar>
              <w:top w:type="dxa" w:w="60"/>
              <w:left w:type="dxa" w:w="100"/>
              <w:bottom w:type="dxa" w:w="60"/>
              <w:right w:type="dxa" w:w="100"/>
            </w:tcMar>
          </w:tcPr>
          <w:p>
            <w:pPr>
              <w:jc w:val="left"/>
            </w:pPr>
            <w:r>
              <w:rPr>
                <w:rFonts w:ascii="Times New Roman" w:cs="Times New Roman" w:eastAsia="Times New Roman" w:hAnsi="Times New Roman"/>
                <w:b/>
                <w:bCs/>
                <w:sz w:val="22"/>
                <w:szCs w:val="22"/>
              </w:rPr>
              <w:t xml:space="preserve">Qué se hizo</w:t>
            </w:r>
          </w:p>
        </w:tc>
        <w:tc>
          <w:tcPr>
            <w:tcW w:type="dxa" w:w="3360"/>
            <w:tcBorders>
              <w:top w:val="single" w:color="000000" w:sz="6"/>
              <w:left w:val="none" w:color="FFFFFF" w:sz="0"/>
              <w:bottom w:val="single" w:color="000000" w:sz="6"/>
              <w:right w:val="none" w:color="FFFFFF" w:sz="0"/>
            </w:tcBorders>
            <w:tcMar>
              <w:top w:type="dxa" w:w="60"/>
              <w:left w:type="dxa" w:w="100"/>
              <w:bottom w:type="dxa" w:w="60"/>
              <w:right w:type="dxa" w:w="100"/>
            </w:tcMar>
          </w:tcPr>
          <w:p>
            <w:pPr>
              <w:jc w:val="left"/>
            </w:pPr>
            <w:r>
              <w:rPr>
                <w:rFonts w:ascii="Times New Roman" w:cs="Times New Roman" w:eastAsia="Times New Roman" w:hAnsi="Times New Roman"/>
                <w:b/>
                <w:bCs/>
                <w:sz w:val="22"/>
                <w:szCs w:val="22"/>
              </w:rPr>
              <w:t xml:space="preserve">Cómo se verificó</w:t>
            </w:r>
          </w:p>
        </w:tc>
      </w:tr>
      <w:tr>
        <w:trPr>
          <w:cantSplit/>
          <w:tblHeader w:val="false"/>
        </w:trPr>
        <w:tc>
          <w:tcPr>
            <w:tcW w:type="dxa" w:w="2700"/>
            <w:tcBorders>
              <w:top w:val="single" w:color="000000" w:sz="6"/>
              <w:left w:val="none" w:color="FFFFFF" w:sz="0"/>
              <w:bottom w:val="none" w:color="FFFFFF" w:sz="0"/>
              <w:right w:val="none" w:color="FFFFFF" w:sz="0"/>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2"/>
                <w:szCs w:val="22"/>
              </w:rPr>
              <w:t xml:space="preserve">Pasar de predecir atrasos a medir el CO2 del rodaje</w:t>
            </w:r>
          </w:p>
        </w:tc>
        <w:tc>
          <w:tcPr>
            <w:tcW w:type="dxa" w:w="3300"/>
            <w:tcBorders>
              <w:top w:val="single" w:color="000000" w:sz="6"/>
              <w:left w:val="none" w:color="FFFFFF" w:sz="0"/>
              <w:bottom w:val="none" w:color="FFFFFF" w:sz="0"/>
              <w:right w:val="none" w:color="FFFFFF" w:sz="0"/>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2"/>
                <w:szCs w:val="22"/>
              </w:rPr>
              <w:t xml:space="preserve">Configuración, script de cálculo, cuaderno, ajuste de Prefect y Dask, script de AWS y documentos</w:t>
            </w:r>
          </w:p>
        </w:tc>
        <w:tc>
          <w:tcPr>
            <w:tcW w:type="dxa" w:w="3360"/>
            <w:tcBorders>
              <w:top w:val="single" w:color="000000" w:sz="6"/>
              <w:left w:val="none" w:color="FFFFFF" w:sz="0"/>
              <w:bottom w:val="none" w:color="FFFFFF" w:sz="0"/>
              <w:right w:val="none" w:color="FFFFFF" w:sz="0"/>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2"/>
                <w:szCs w:val="22"/>
              </w:rPr>
              <w:t xml:space="preserve">23 comparaciones contra cifras ya medidas y recálculo de un mes con pandas</w:t>
            </w:r>
          </w:p>
        </w:tc>
      </w:tr>
      <w:tr>
        <w:trPr>
          <w:cantSplit/>
          <w:tblHeader w:val="false"/>
        </w:trPr>
        <w:tc>
          <w:tcPr>
            <w:tcW w:type="dxa" w:w="2700"/>
            <w:tcBorders>
              <w:top w:val="none" w:color="FFFFFF" w:sz="0"/>
              <w:left w:val="none" w:color="FFFFFF" w:sz="0"/>
              <w:bottom w:val="none" w:color="FFFFFF" w:sz="0"/>
              <w:right w:val="none" w:color="FFFFFF" w:sz="0"/>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2"/>
                <w:szCs w:val="22"/>
              </w:rPr>
              <w:t xml:space="preserve">Explicar el grupo “hora 24”</w:t>
            </w:r>
          </w:p>
        </w:tc>
        <w:tc>
          <w:tcPr>
            <w:tcW w:type="dxa" w:w="3300"/>
            <w:tcBorders>
              <w:top w:val="none" w:color="FFFFFF" w:sz="0"/>
              <w:left w:val="none" w:color="FFFFFF" w:sz="0"/>
              <w:bottom w:val="none" w:color="FFFFFF" w:sz="0"/>
              <w:right w:val="none" w:color="FFFFFF" w:sz="0"/>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2"/>
                <w:szCs w:val="22"/>
              </w:rPr>
              <w:t xml:space="preserve">Revisar el tipo de `CRSDepTime` y la división</w:t>
            </w:r>
          </w:p>
        </w:tc>
        <w:tc>
          <w:tcPr>
            <w:tcW w:type="dxa" w:w="3360"/>
            <w:tcBorders>
              <w:top w:val="none" w:color="FFFFFF" w:sz="0"/>
              <w:left w:val="none" w:color="FFFFFF" w:sz="0"/>
              <w:bottom w:val="none" w:color="FFFFFF" w:sz="0"/>
              <w:right w:val="none" w:color="FFFFFF" w:sz="0"/>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2"/>
                <w:szCs w:val="22"/>
              </w:rPr>
              <w:t xml:space="preserve">`DESCRIBE` muestra BIGINT; el CAST redondea 23:50–23:59; se usa división entera</w:t>
            </w:r>
          </w:p>
        </w:tc>
      </w:tr>
      <w:tr>
        <w:trPr>
          <w:cantSplit/>
          <w:tblHeader w:val="false"/>
        </w:trPr>
        <w:tc>
          <w:tcPr>
            <w:tcW w:type="dxa" w:w="2700"/>
            <w:tcBorders>
              <w:top w:val="none" w:color="FFFFFF" w:sz="0"/>
              <w:left w:val="none" w:color="FFFFFF" w:sz="0"/>
              <w:bottom w:val="single" w:color="000000" w:sz="6"/>
              <w:right w:val="none" w:color="FFFFFF" w:sz="0"/>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2"/>
                <w:szCs w:val="22"/>
              </w:rPr>
              <w:t xml:space="preserve">No inventar cifras</w:t>
            </w:r>
          </w:p>
        </w:tc>
        <w:tc>
          <w:tcPr>
            <w:tcW w:type="dxa" w:w="3300"/>
            <w:tcBorders>
              <w:top w:val="none" w:color="FFFFFF" w:sz="0"/>
              <w:left w:val="none" w:color="FFFFFF" w:sz="0"/>
              <w:bottom w:val="single" w:color="000000" w:sz="6"/>
              <w:right w:val="none" w:color="FFFFFF" w:sz="0"/>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2"/>
                <w:szCs w:val="22"/>
              </w:rPr>
              <w:t xml:space="preserve">Los textos citan solo salidas de las corridas</w:t>
            </w:r>
          </w:p>
        </w:tc>
        <w:tc>
          <w:tcPr>
            <w:tcW w:type="dxa" w:w="3360"/>
            <w:tcBorders>
              <w:top w:val="none" w:color="FFFFFF" w:sz="0"/>
              <w:left w:val="none" w:color="FFFFFF" w:sz="0"/>
              <w:bottom w:val="single" w:color="000000" w:sz="6"/>
              <w:right w:val="none" w:color="FFFFFF" w:sz="0"/>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2"/>
                <w:szCs w:val="22"/>
              </w:rPr>
              <w:t xml:space="preserve">Si una prueba falla, el script se detiene</w:t>
            </w:r>
          </w:p>
        </w:tc>
      </w:tr>
    </w:tbl>
    <w:p>
      <w:pPr>
        <w:spacing w:after="200" w:before="80"/>
      </w:pPr>
      <w:r>
        <w:rPr>
          <w:rFonts w:ascii="Times New Roman" w:cs="Times New Roman" w:eastAsia="Times New Roman" w:hAnsi="Times New Roman"/>
          <w:i/>
          <w:iCs/>
          <w:sz w:val="22"/>
          <w:szCs w:val="22"/>
        </w:rPr>
        <w:t xml:space="preserve">Nota. </w:t>
      </w:r>
      <w:r>
        <w:rPr>
          <w:rFonts w:ascii="Times New Roman" w:cs="Times New Roman" w:eastAsia="Times New Roman" w:hAnsi="Times New Roman"/>
          <w:sz w:val="22"/>
          <w:szCs w:val="22"/>
        </w:rPr>
        <w:t xml:space="preserve">La herramienta no creó la base en AWS, no armó los paneles de Grafana ni compartió el documento.</w:t>
      </w:r>
    </w:p>
    <w:p>
      <w:r>
        <w:br w:type="page"/>
      </w:r>
    </w:p>
    <w:p>
      <w:pPr>
        <w:pStyle w:val="Heading1"/>
        <w:keepNext/>
        <w:spacing w:after="200" w:before="360" w:line="360"/>
        <w:jc w:val="center"/>
      </w:pPr>
      <w:r>
        <w:rPr>
          <w:rFonts w:ascii="Times New Roman" w:cs="Times New Roman" w:eastAsia="Times New Roman" w:hAnsi="Times New Roman"/>
          <w:b/>
          <w:bCs/>
          <w:sz w:val="24"/>
          <w:szCs w:val="24"/>
        </w:rPr>
        <w:t xml:space="preserve">Referencias</w:t>
      </w:r>
    </w:p>
    <w:p>
      <w:pPr>
        <w:spacing w:after="120" w:line="360"/>
        <w:ind w:left="720" w:hanging="720"/>
      </w:pPr>
      <w:r>
        <w:rPr>
          <w:rFonts w:ascii="Times New Roman" w:cs="Times New Roman" w:eastAsia="Times New Roman" w:hAnsi="Times New Roman"/>
          <w:sz w:val="24"/>
          <w:szCs w:val="24"/>
        </w:rPr>
        <w:t xml:space="preserve">Bureau of Transportation Statistics. (s. f.). </w:t>
      </w:r>
      <w:r>
        <w:rPr>
          <w:rFonts w:ascii="Times New Roman" w:cs="Times New Roman" w:eastAsia="Times New Roman" w:hAnsi="Times New Roman"/>
          <w:i/>
          <w:iCs/>
          <w:sz w:val="24"/>
          <w:szCs w:val="24"/>
        </w:rPr>
        <w:t xml:space="preserve">Reporting carrier on-time performance</w:t>
      </w:r>
      <w:r>
        <w:rPr>
          <w:rFonts w:ascii="Times New Roman" w:cs="Times New Roman" w:eastAsia="Times New Roman" w:hAnsi="Times New Roman"/>
          <w:sz w:val="24"/>
          <w:szCs w:val="24"/>
        </w:rPr>
        <w:t xml:space="preserve"> [Conjunto de datos]. U.S. Department of Transportation. https://www.transtats.bts.gov</w:t>
      </w:r>
    </w:p>
    <w:p>
      <w:pPr>
        <w:spacing w:after="120" w:line="360"/>
        <w:ind w:left="720" w:hanging="720"/>
      </w:pPr>
      <w:r>
        <w:rPr>
          <w:rFonts w:ascii="Times New Roman" w:cs="Times New Roman" w:eastAsia="Times New Roman" w:hAnsi="Times New Roman"/>
          <w:sz w:val="24"/>
          <w:szCs w:val="24"/>
        </w:rPr>
        <w:t xml:space="preserve">Open-Meteo. (s. f.). </w:t>
      </w:r>
      <w:r>
        <w:rPr>
          <w:rFonts w:ascii="Times New Roman" w:cs="Times New Roman" w:eastAsia="Times New Roman" w:hAnsi="Times New Roman"/>
          <w:i/>
          <w:iCs/>
          <w:sz w:val="24"/>
          <w:szCs w:val="24"/>
        </w:rPr>
        <w:t xml:space="preserve">Historical weather API</w:t>
      </w:r>
      <w:r>
        <w:rPr>
          <w:rFonts w:ascii="Times New Roman" w:cs="Times New Roman" w:eastAsia="Times New Roman" w:hAnsi="Times New Roman"/>
          <w:sz w:val="24"/>
          <w:szCs w:val="24"/>
        </w:rPr>
        <w:t xml:space="preserve">. https://open-meteo.com</w:t>
      </w:r>
    </w:p>
    <w:p>
      <w:pPr>
        <w:spacing w:after="120" w:line="360"/>
        <w:ind w:left="720" w:hanging="720"/>
      </w:pPr>
      <w:r>
        <w:rPr>
          <w:rFonts w:ascii="Times New Roman" w:cs="Times New Roman" w:eastAsia="Times New Roman" w:hAnsi="Times New Roman"/>
          <w:sz w:val="24"/>
          <w:szCs w:val="24"/>
        </w:rPr>
        <w:t xml:space="preserve">Khadilkar, H., y Balakrishnan, H. (2011). Estimation of aircraft taxi fuel burn using flight data recorder archives. </w:t>
      </w:r>
      <w:r>
        <w:rPr>
          <w:rFonts w:ascii="Times New Roman" w:cs="Times New Roman" w:eastAsia="Times New Roman" w:hAnsi="Times New Roman"/>
          <w:i/>
          <w:iCs/>
          <w:sz w:val="24"/>
          <w:szCs w:val="24"/>
        </w:rPr>
        <w:t xml:space="preserve">Transportation Research Part D, 16</w:t>
      </w:r>
      <w:r>
        <w:rPr>
          <w:rFonts w:ascii="Times New Roman" w:cs="Times New Roman" w:eastAsia="Times New Roman" w:hAnsi="Times New Roman"/>
          <w:sz w:val="24"/>
          <w:szCs w:val="24"/>
        </w:rPr>
        <w:t xml:space="preserve">(7), 563–571. </w:t>
      </w:r>
      <w:r>
        <w:rPr>
          <w:rFonts w:ascii="Times New Roman" w:cs="Times New Roman" w:eastAsia="Times New Roman" w:hAnsi="Times New Roman"/>
          <w:sz w:val="24"/>
          <w:szCs w:val="24"/>
          <w:highlight w:val="yellow"/>
          <w:highlightCs w:val="yellow"/>
        </w:rPr>
        <w:t xml:space="preserve">verificar volumen, páginas y DOI antes de entregar</w:t>
      </w:r>
    </w:p>
    <w:p>
      <w:pPr>
        <w:spacing w:after="120" w:line="360"/>
        <w:ind w:left="720" w:hanging="720"/>
      </w:pPr>
      <w:r>
        <w:rPr>
          <w:rFonts w:ascii="Times New Roman" w:cs="Times New Roman" w:eastAsia="Times New Roman" w:hAnsi="Times New Roman"/>
          <w:sz w:val="24"/>
          <w:szCs w:val="24"/>
          <w:highlight w:val="yellow"/>
          <w:highlightCs w:val="yellow"/>
        </w:rPr>
        <w:t xml:space="preserve">Referencia de la OACI sobre el factor de emisión de 3,16 kg CO2/kg de combustible: completar con autor, año y enlace consultado</w:t>
      </w:r>
    </w:p>
    <w:p>
      <w:pPr>
        <w:spacing w:after="120" w:line="360"/>
        <w:ind w:left="720" w:hanging="720"/>
      </w:pPr>
      <w:r>
        <w:rPr>
          <w:rFonts w:ascii="Times New Roman" w:cs="Times New Roman" w:eastAsia="Times New Roman" w:hAnsi="Times New Roman"/>
          <w:sz w:val="24"/>
          <w:szCs w:val="24"/>
          <w:highlight w:val="yellow"/>
          <w:highlightCs w:val="yellow"/>
        </w:rPr>
        <w:t xml:space="preserve">Referencia de EUROCONTROL sobre el factor de 3,15: completar con autor, año y enlace consultado</w:t>
      </w:r>
    </w:p>
    <w:sectPr>
      <w:head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Times New Roman" w:cs="Times New Roman" w:eastAsia="Times New Roman" w:hAnsi="Times New Roman"/>
        <w:sz w:val="24"/>
        <w:szCs w:val="24"/>
      </w:rPr>
      <w:fldChar w:fldCharType="begin"/>
      <w:instrText xml:space="preserve">PAGE</w:instrText>
      <w:fldChar w:fldCharType="separate"/>
      <w:fldChar w:fldCharType="end"/>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1080" w:hanging="360"/>
      </w:pPr>
    </w:lvl>
  </w:abstractNum>
  <w:abstractNum w:abstractNumId="4" w15:restartNumberingAfterBreak="0">
    <w:multiLevelType w:val="hybridMultilevel"/>
    <w:lvl w:ilvl="0" w15:tentative="1">
      <w:start w:val="1"/>
      <w:numFmt w:val="decimal"/>
      <w:lvlText w:val="%1."/>
      <w:lvlJc w:val="left"/>
      <w:pPr>
        <w:ind w:left="108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Times New Roman" w:cs="Times New Roman" w:eastAsia="Times New Roman" w:hAnsi="Times New Roman"/>
      <w:b/>
      <w:bCs/>
      <w:sz w:val="24"/>
      <w:szCs w:val="24"/>
    </w:rPr>
  </w:style>
  <w:style w:type="paragraph" w:styleId="Heading2">
    <w:name w:val="Heading 2"/>
    <w:basedOn w:val="Normal"/>
    <w:next w:val="Normal"/>
    <w:qFormat/>
    <w:pPr>
      <w:spacing w:after="120" w:before="240"/>
      <w:outlineLvl w:val="1"/>
    </w:pPr>
    <w:rPr>
      <w:rFonts w:ascii="Times New Roman" w:cs="Times New Roman" w:eastAsia="Times New Roman" w:hAnsi="Times New Roman"/>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image" Target="media/4a200fa9b5a67c073c346b7f9b3d97cbb798878c.png"/><Relationship Id="rId9" Type="http://schemas.openxmlformats.org/officeDocument/2006/relationships/image" Target="media/264ca2a1fdd4611e5d08963b289e84c61c2dd9b6.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2026-10-08T20:31:17.078Z</dcterms:created>
  <dcterms:modified xsi:type="dcterms:W3CDTF">2026-10-08T20:31:17.078Z</dcterms:modified>
</cp:coreProperties>
</file>

<file path=docProps/custom.xml><?xml version="1.0" encoding="utf-8"?>
<Properties xmlns="http://schemas.openxmlformats.org/officeDocument/2006/custom-properties" xmlns:vt="http://schemas.openxmlformats.org/officeDocument/2006/docPropsVTypes"/>
</file>