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Vida artificial - Sistemas de Lindenmayer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53435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3869131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869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39052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34385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292646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2926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Aleatorio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