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23FA18">
      <w:pPr>
        <w:rPr>
          <w:rFonts w:hint="eastAsia"/>
        </w:rPr>
      </w:pPr>
      <w:r>
        <w:rPr>
          <w:rFonts w:hint="eastAsia"/>
        </w:rPr>
        <w:t># EduBench：教育场景下的大模型评估新标杆</w:t>
      </w:r>
    </w:p>
    <w:p w14:paraId="2FFF4CB6">
      <w:pPr>
        <w:rPr>
          <w:rFonts w:hint="eastAsia"/>
        </w:rPr>
      </w:pPr>
    </w:p>
    <w:p w14:paraId="24A337E7">
      <w:pPr>
        <w:rPr>
          <w:rFonts w:hint="eastAsia"/>
        </w:rPr>
      </w:pPr>
      <w:r>
        <w:rPr>
          <w:rFonts w:hint="eastAsia"/>
        </w:rPr>
        <w:t>论文标题：EduBench: A Comprehensive Benchmarking Dataset for Evaluating Large</w:t>
      </w:r>
    </w:p>
    <w:p w14:paraId="67322EBF">
      <w:pPr>
        <w:rPr>
          <w:rFonts w:hint="eastAsia"/>
        </w:rPr>
      </w:pPr>
      <w:r>
        <w:rPr>
          <w:rFonts w:hint="eastAsia"/>
        </w:rPr>
        <w:t xml:space="preserve"> Language Models in Diverse Educational Scenarios</w:t>
      </w:r>
    </w:p>
    <w:p w14:paraId="724E666B">
      <w:pPr>
        <w:rPr>
          <w:rFonts w:hint="eastAsia"/>
          <w:lang w:val="en-US" w:eastAsia="zh-CN"/>
        </w:rPr>
      </w:pPr>
      <w:r>
        <w:rPr>
          <w:rFonts w:hint="eastAsia"/>
        </w:rPr>
        <w:t>论文地址：</w:t>
      </w:r>
      <w:r>
        <w:rPr>
          <w:rFonts w:hint="eastAsia"/>
          <w:lang w:val="en-US" w:eastAsia="zh-CN"/>
        </w:rPr>
        <w:fldChar w:fldCharType="begin"/>
      </w:r>
      <w:r>
        <w:rPr>
          <w:rFonts w:hint="eastAsia"/>
          <w:lang w:val="en-US" w:eastAsia="zh-CN"/>
        </w:rPr>
        <w:instrText xml:space="preserve"> HYPERLINK "https://arxiv.org/pdf/2505.16160" </w:instrText>
      </w:r>
      <w:r>
        <w:rPr>
          <w:rFonts w:hint="eastAsia"/>
          <w:lang w:val="en-US" w:eastAsia="zh-CN"/>
        </w:rPr>
        <w:fldChar w:fldCharType="separate"/>
      </w:r>
      <w:r>
        <w:rPr>
          <w:rStyle w:val="4"/>
          <w:rFonts w:hint="eastAsia"/>
          <w:lang w:val="en-US" w:eastAsia="zh-CN"/>
        </w:rPr>
        <w:t>https://arxiv.org/pdf/2505.16160</w:t>
      </w:r>
      <w:r>
        <w:rPr>
          <w:rFonts w:hint="eastAsia"/>
          <w:lang w:val="en-US" w:eastAsia="zh-CN"/>
        </w:rPr>
        <w:fldChar w:fldCharType="end"/>
      </w:r>
    </w:p>
    <w:p w14:paraId="6024CB11">
      <w:pPr>
        <w:rPr>
          <w:rFonts w:hint="eastAsia"/>
        </w:rPr>
      </w:pPr>
      <w:r>
        <w:rPr>
          <w:rFonts w:hint="eastAsia"/>
        </w:rPr>
        <w:t>代码开源：https://github.com/DIRECT-BIT/</w:t>
      </w:r>
      <w:r>
        <w:rPr>
          <w:rFonts w:hint="eastAsia"/>
          <w:lang w:val="en-US" w:eastAsia="zh-CN"/>
        </w:rPr>
        <w:t>xxxxx</w:t>
      </w:r>
      <w:r>
        <w:rPr>
          <w:rFonts w:hint="eastAsia"/>
        </w:rPr>
        <w:t xml:space="preserve"> </w:t>
      </w:r>
    </w:p>
    <w:p w14:paraId="58E093B6">
      <w:pPr>
        <w:rPr>
          <w:rFonts w:hint="eastAsia"/>
        </w:rPr>
      </w:pPr>
      <w:r>
        <w:rPr>
          <w:rFonts w:hint="eastAsia"/>
        </w:rPr>
        <w:t>模型</w:t>
      </w:r>
      <w:r>
        <w:rPr>
          <w:rFonts w:hint="eastAsia"/>
          <w:lang w:val="en-US" w:eastAsia="zh-CN"/>
        </w:rPr>
        <w:t>及</w:t>
      </w:r>
      <w:r>
        <w:rPr>
          <w:rFonts w:hint="eastAsia"/>
        </w:rPr>
        <w:t>数据开源：</w:t>
      </w:r>
    </w:p>
    <w:p w14:paraId="21D8C92D">
      <w:pPr>
        <w:rPr>
          <w:rFonts w:hint="eastAsia"/>
          <w:lang w:val="en-US" w:eastAsia="zh-CN"/>
        </w:rPr>
      </w:pPr>
      <w:r>
        <w:rPr>
          <w:rFonts w:hint="eastAsia"/>
          <w:lang w:val="en-US" w:eastAsia="zh-CN"/>
        </w:rPr>
        <w:fldChar w:fldCharType="begin"/>
      </w:r>
      <w:r>
        <w:rPr>
          <w:rFonts w:hint="eastAsia"/>
          <w:lang w:val="en-US" w:eastAsia="zh-CN"/>
        </w:rPr>
        <w:instrText xml:space="preserve"> HYPERLINK "https://huggingface.co/DirectionAI/EDU-Qwen2.5-7B" </w:instrText>
      </w:r>
      <w:r>
        <w:rPr>
          <w:rFonts w:hint="eastAsia"/>
          <w:lang w:val="en-US" w:eastAsia="zh-CN"/>
        </w:rPr>
        <w:fldChar w:fldCharType="separate"/>
      </w:r>
      <w:r>
        <w:rPr>
          <w:rStyle w:val="4"/>
          <w:rFonts w:hint="eastAsia"/>
          <w:lang w:val="en-US" w:eastAsia="zh-CN"/>
        </w:rPr>
        <w:t>https://huggingface.co/DirectionAI/EDU-Qwen2.5-7B</w:t>
      </w:r>
      <w:r>
        <w:rPr>
          <w:rFonts w:hint="eastAsia"/>
          <w:lang w:val="en-US" w:eastAsia="zh-CN"/>
        </w:rPr>
        <w:fldChar w:fldCharType="end"/>
      </w:r>
    </w:p>
    <w:p w14:paraId="48DBD89A">
      <w:pPr>
        <w:rPr>
          <w:rFonts w:hint="default"/>
          <w:lang w:val="en-US" w:eastAsia="zh-CN"/>
        </w:rPr>
      </w:pPr>
      <w:r>
        <w:rPr>
          <w:rFonts w:hint="default"/>
          <w:lang w:val="en-US" w:eastAsia="zh-CN"/>
        </w:rPr>
        <w:t>https://huggingface.co/datasets/DirectionAI/EduBench</w:t>
      </w:r>
    </w:p>
    <w:p w14:paraId="55AC2CED">
      <w:pPr>
        <w:rPr>
          <w:rFonts w:hint="eastAsia"/>
        </w:rPr>
      </w:pPr>
      <w:r>
        <w:rPr>
          <w:rFonts w:hint="eastAsia"/>
        </w:rPr>
        <w:t>EduBench 官方网站（https://edubench.com/edublog/edubench-the-no-nonsense-benchmark）也提供了更多详细信息，包括数据集的下载链接、评估指标的具体说明以及如何参与贡献等内容。</w:t>
      </w:r>
    </w:p>
    <w:p w14:paraId="5A972B20">
      <w:pPr>
        <w:rPr>
          <w:rFonts w:hint="eastAsia"/>
        </w:rPr>
      </w:pPr>
      <w:bookmarkStart w:id="0" w:name="_GoBack"/>
      <w:bookmarkEnd w:id="0"/>
    </w:p>
    <w:p w14:paraId="192145AA">
      <w:pPr>
        <w:rPr>
          <w:rFonts w:hint="eastAsia"/>
        </w:rPr>
      </w:pPr>
    </w:p>
    <w:p w14:paraId="5AE470F5">
      <w:pPr>
        <w:rPr>
          <w:rFonts w:hint="eastAsia"/>
        </w:rPr>
      </w:pPr>
      <w:r>
        <w:rPr>
          <w:rFonts w:hint="eastAsia"/>
        </w:rPr>
        <w:t>在人工智能飞速发展的今天，大语言模型（LLMs）正逐渐渗透到各个领域，教育领域也不例外。然而，尽管大语言模型在教育中展现出巨大潜力，但其在教育场景中的应用仍面临诸多挑战，如缺乏针对性的评估基准、模型性能与教育需求的适配性不足等。近日，北京理工大学计算机学院的研究团队在这一领域取得了重要突破，他们推出了 EduBench，这是一个专为教育场景设计的综合性评估基准，旨在全面评估大语言模型在多样化教育场景中的表现，推动大语言模型在教育领域的应用与发展。</w:t>
      </w:r>
    </w:p>
    <w:p w14:paraId="2E9D8806">
      <w:pPr>
        <w:rPr>
          <w:rFonts w:hint="eastAsia"/>
        </w:rPr>
      </w:pPr>
    </w:p>
    <w:p w14:paraId="77710EF7">
      <w:pPr>
        <w:rPr>
          <w:rFonts w:hint="eastAsia"/>
        </w:rPr>
      </w:pPr>
      <w:r>
        <w:rPr>
          <w:rFonts w:hint="eastAsia"/>
        </w:rPr>
        <w:t>## EduBench：教育场景下的大模型评估新标杆</w:t>
      </w:r>
    </w:p>
    <w:p w14:paraId="69C289F2">
      <w:pPr>
        <w:rPr>
          <w:rFonts w:hint="eastAsia"/>
        </w:rPr>
      </w:pPr>
    </w:p>
    <w:p w14:paraId="2EEDB8B1">
      <w:pPr>
        <w:rPr>
          <w:rFonts w:hint="eastAsia"/>
        </w:rPr>
      </w:pPr>
      <w:r>
        <w:rPr>
          <w:rFonts w:hint="eastAsia"/>
        </w:rPr>
        <w:t>EduBench 是一个涵盖 9 大教育场景、超 4000 个不同教育情境的综合评估基准，包含 18821 个数据点。这些场景包括作业评判、制定学习计划、心理健康建议等，覆盖从基础教育到高等教育的多个学科和不同难度等级。为了确保评估的全面性和准确性，EduBench 设计了一套多维度的评估指标体系，涵盖 12 个关键方面，包括场景适应性、事实与推理准确性、教学应用效果等，这些指标能够从不同角度衡量大语言模型在教育场景中的表现。</w:t>
      </w:r>
    </w:p>
    <w:p w14:paraId="6060FD5D">
      <w:pPr>
        <w:rPr>
          <w:rFonts w:hint="eastAsia"/>
        </w:rPr>
      </w:pPr>
    </w:p>
    <w:p w14:paraId="3204B1ED">
      <w:pPr>
        <w:rPr>
          <w:rFonts w:hint="eastAsia"/>
        </w:rPr>
      </w:pPr>
      <w:r>
        <w:rPr>
          <w:rFonts w:hint="eastAsia"/>
        </w:rPr>
        <w:t>## 多维度评估指标：精准衡量模型性能</w:t>
      </w:r>
    </w:p>
    <w:p w14:paraId="72FFD5AF">
      <w:pPr>
        <w:rPr>
          <w:rFonts w:hint="eastAsia"/>
        </w:rPr>
      </w:pPr>
    </w:p>
    <w:p w14:paraId="38C01EB3">
      <w:pPr>
        <w:rPr>
          <w:rFonts w:hint="eastAsia"/>
        </w:rPr>
      </w:pPr>
      <w:r>
        <w:rPr>
          <w:rFonts w:hint="eastAsia"/>
        </w:rPr>
        <w:t>EduBench 的评估指标体系分为三个核心维度，每个维度下设有四个子指标，以实现对模型性能的精细化评估。例如，在场景适应性方面，评估模型是否能够准确理解并遵循教育场景中的任务指令、角色要求，以及是否能够将内容与场景元素有效结合；在事实与推理准确性方面，重点考察模型输出信息的事实正确性以及推理过程的逻辑性；在教学应用效果方面，则关注模型输出是否符合教育原则，能否对学生的学习产生积极影响。这种多维度的评估方式，不仅能够全面衡量大语言模型在教育场景中的表现，还能为模型的优化和改进提供明确的方向。</w:t>
      </w:r>
    </w:p>
    <w:p w14:paraId="3CC1E928">
      <w:pPr>
        <w:rPr>
          <w:rFonts w:hint="eastAsia"/>
        </w:rPr>
      </w:pPr>
    </w:p>
    <w:p w14:paraId="3E8039DA">
      <w:pPr>
        <w:rPr>
          <w:rFonts w:hint="eastAsia"/>
        </w:rPr>
      </w:pPr>
      <w:r>
        <w:rPr>
          <w:rFonts w:hint="eastAsia"/>
        </w:rPr>
        <w:t>## 实验验证：数据驱动的小模型也能有大作为</w:t>
      </w:r>
    </w:p>
    <w:p w14:paraId="5DE434D2">
      <w:pPr>
        <w:rPr>
          <w:rFonts w:hint="eastAsia"/>
        </w:rPr>
      </w:pPr>
    </w:p>
    <w:p w14:paraId="13EAB62C">
      <w:pPr>
        <w:rPr>
          <w:rFonts w:hint="eastAsia"/>
        </w:rPr>
      </w:pPr>
      <w:r>
        <w:rPr>
          <w:rFonts w:hint="eastAsia"/>
        </w:rPr>
        <w:t>为了验证 EduBench 的有效性，研究团队进行了广泛的实验。他们选择了多种不同规模和类型的大语言模型进行评估，包括 DeepSeek R1、DeepSeek V3、Qwen Max、Qwen2.5-14B-Instruct 和 Qwen2.5-7B-Instruct 等。实验结果表明，即使是较小规模的模型，通过在 EduBench 数据集上进行训练，也能在性能上与大型模型相媲美。特别是通过多源知识蒸馏策略，将不同场景下表现最佳的模型知识蒸馏到一个 7B 的小模型中，该小模型在多个评估指标上取得了与 671B 的 Deepseek V3 模型相当的性能，且仅使用了 4000 个训练样本。这一发现为资源受限环境下的教育应用提供了新的可能性，也为大语言模型的高效利用提供了新的思路。</w:t>
      </w:r>
    </w:p>
    <w:p w14:paraId="50195281">
      <w:pPr>
        <w:rPr>
          <w:rFonts w:hint="eastAsia"/>
        </w:rPr>
      </w:pPr>
    </w:p>
    <w:p w14:paraId="72A51F17">
      <w:pPr>
        <w:rPr>
          <w:rFonts w:hint="eastAsia"/>
        </w:rPr>
      </w:pPr>
      <w:r>
        <w:rPr>
          <w:rFonts w:hint="eastAsia"/>
        </w:rPr>
        <w:t>## 未来展望：推动教育 AI 的持续发展</w:t>
      </w:r>
    </w:p>
    <w:p w14:paraId="6FF2B80D">
      <w:pPr>
        <w:rPr>
          <w:rFonts w:hint="eastAsia"/>
        </w:rPr>
      </w:pPr>
    </w:p>
    <w:p w14:paraId="71293670">
      <w:pPr>
        <w:rPr>
          <w:rFonts w:hint="eastAsia"/>
        </w:rPr>
      </w:pPr>
      <w:r>
        <w:rPr>
          <w:rFonts w:hint="eastAsia"/>
        </w:rPr>
        <w:t>EduBench 的推出，为大语言模型在教育领域的应用提供了一个全新的评估框架和丰富的数据资源。它不仅能够帮助研究人员更好地理解和优化大语言模型在教育场景中的表现，还能为教育工作者提供有力的工具，以提高教学效率和质量。未来，随着更多教育场景的加入和评估指标的完善，EduBench 有望成为推动教育 AI 发展的重要平台。同时，研究团队也期待与更多对大语言模型教育应用感兴趣的学者和从业者合作，共同探索大语言模型在教育领域的更多可能性，为实现更加个性化、智能化的教育目标而努力。</w:t>
      </w:r>
    </w:p>
    <w:p w14:paraId="3F5C9922">
      <w:pPr>
        <w:rPr>
          <w:rFonts w:hint="eastAsia"/>
        </w:rPr>
      </w:pPr>
    </w:p>
    <w:p w14:paraId="2529D297">
      <w:pPr>
        <w:rPr>
          <w:rFonts w:hint="eastAsia"/>
        </w:rPr>
      </w:pPr>
      <w:r>
        <w:rPr>
          <w:rFonts w:hint="eastAsia"/>
        </w:rPr>
        <w:t>EduBench 的出现标志着大语言模型在教育领域应用的一个重要里程碑。它不仅为大语言模型的教育应用提供了一个全面、系统的评估基准，还通过实验验证了数据驱动的小模型在教育场景中的巨大潜力。随着这一领域的不断发展，我们有理由相信，大语言模型将在未来的教育中发挥更加重要的作用，为教育事业带来更多的创新和变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320418"/>
    <w:rsid w:val="3D581DFE"/>
    <w:rsid w:val="5C871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1157</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2025-05-25T07:41:26Z</dcterms:created>
  <dc:creator>lxy</dc:creator>
  <cp:lastModifiedBy>骆潇尧</cp:lastModifiedBy>
  <dcterms:modified xsi:type="dcterms:W3CDTF">2025-05-26T02:59:42Z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eyJoZGlkIjoiOWUwOWY1OThjOTBmY2I1M2U5OGEyOWE4OWU3MTI0MDIiLCJ1c2VySWQiOiI2OTIxOTMyNDkifQ==</vt:lpwstr>
  </property>
  <property fmtid="{D5CDD505-2E9C-101B-9397-08002B2CF9AE}" pid="4" name="ICV">
    <vt:lpwstr>88C42C1318A747599CE74889786952E2_12</vt:lpwstr>
  </property>
</Properties>
</file>