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v1xt5vxi7eu" w:id="0"/>
      <w:bookmarkEnd w:id="0"/>
      <w:r w:rsidDel="00000000" w:rsidR="00000000" w:rsidRPr="00000000">
        <w:rPr>
          <w:rtl w:val="0"/>
        </w:rPr>
        <w:t xml:space="preserve">1. Introducción y técnica utilizada</w:t>
      </w:r>
    </w:p>
    <w:p w:rsidR="00000000" w:rsidDel="00000000" w:rsidP="00000000" w:rsidRDefault="00000000" w:rsidRPr="00000000" w14:paraId="00000002">
      <w:pPr>
        <w:spacing w:after="240" w:before="240" w:lineRule="auto"/>
        <w:rPr/>
      </w:pPr>
      <w:r w:rsidDel="00000000" w:rsidR="00000000" w:rsidRPr="00000000">
        <w:rPr>
          <w:rtl w:val="0"/>
        </w:rPr>
        <w:t xml:space="preserve">En esta etapa del proyecto aplicamos el algoritmo </w:t>
      </w:r>
      <w:r w:rsidDel="00000000" w:rsidR="00000000" w:rsidRPr="00000000">
        <w:rPr>
          <w:b w:val="1"/>
          <w:bCs w:val="1"/>
          <w:rtl w:val="0"/>
        </w:rPr>
        <w:t xml:space="preserve">K-Means</w:t>
      </w:r>
      <w:r w:rsidDel="00000000" w:rsidR="00000000" w:rsidRPr="00000000">
        <w:rPr>
          <w:rtl w:val="0"/>
        </w:rPr>
        <w:t xml:space="preserve"> como técnica de aprendizaje no supervisado, con el objetivo de identificar segmentos homogéneos de clientes dentro del dataset de Home Credit. Esta técnica permite agrupar observaciones según su similitud numérica, sin utilizar la variable objetivo del modelo supervisado.</w:t>
      </w:r>
    </w:p>
    <w:p w:rsidR="00000000" w:rsidDel="00000000" w:rsidP="00000000" w:rsidRDefault="00000000" w:rsidRPr="00000000" w14:paraId="00000003">
      <w:pPr>
        <w:spacing w:after="240" w:before="240" w:lineRule="auto"/>
        <w:rPr/>
      </w:pPr>
      <w:r w:rsidDel="00000000" w:rsidR="00000000" w:rsidRPr="00000000">
        <w:rPr>
          <w:rtl w:val="0"/>
        </w:rPr>
        <w:t xml:space="preserve">Elegimos K-Means porque es: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eficiente incluso con grandes volúmenes de datos,</w:t>
        <w:br w:type="textWrapping"/>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fácil de interpretar a través de sus centroides,</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útil para descubrir patrones ocultos y posibles subpoblaciones de riesgo,</w:t>
        <w:br w:type="textWrapping"/>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rtl w:val="0"/>
        </w:rPr>
        <w:t xml:space="preserve">complementario al modelo de scoring crediticio.</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El método aporta una capa adicional de análisis que no depende del modelo supervisado, y por lo tanto ayuda a evaluar si existen segmentos donde el riesgo de incumplimiento presenta comportamientos inusuales.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1"/>
        <w:spacing w:after="240" w:before="240" w:lineRule="auto"/>
        <w:rPr/>
      </w:pPr>
      <w:bookmarkStart w:colFirst="0" w:colLast="0" w:name="_5p2xj7cayp8n" w:id="1"/>
      <w:bookmarkEnd w:id="1"/>
      <w:r w:rsidDel="00000000" w:rsidR="00000000" w:rsidRPr="00000000">
        <w:rPr>
          <w:rtl w:val="0"/>
        </w:rPr>
        <w:t xml:space="preserve">2. Datos utilizados y variables seleccionadas</w:t>
      </w:r>
    </w:p>
    <w:p w:rsidR="00000000" w:rsidDel="00000000" w:rsidP="00000000" w:rsidRDefault="00000000" w:rsidRPr="00000000" w14:paraId="0000000B">
      <w:pPr>
        <w:spacing w:after="240" w:before="240" w:lineRule="auto"/>
        <w:rPr/>
      </w:pPr>
      <w:r w:rsidDel="00000000" w:rsidR="00000000" w:rsidRPr="00000000">
        <w:rPr>
          <w:rtl w:val="0"/>
        </w:rPr>
        <w:t xml:space="preserve">El análisis se realizó utilizando exclusivamente el </w:t>
      </w:r>
      <w:r w:rsidDel="00000000" w:rsidR="00000000" w:rsidRPr="00000000">
        <w:rPr>
          <w:b w:val="1"/>
          <w:bCs w:val="1"/>
          <w:rtl w:val="0"/>
        </w:rPr>
        <w:t xml:space="preserve">conjunto de entrenamiento</w:t>
      </w:r>
      <w:r w:rsidDel="00000000" w:rsidR="00000000" w:rsidRPr="00000000">
        <w:rPr>
          <w:rtl w:val="0"/>
        </w:rPr>
        <w:t xml:space="preserve"> del proyecto de scoring crediticio, evitando cualquier riesgo de </w:t>
      </w:r>
      <w:r w:rsidDel="00000000" w:rsidR="00000000" w:rsidRPr="00000000">
        <w:rPr>
          <w:i w:val="1"/>
          <w:iCs w:val="1"/>
          <w:rtl w:val="0"/>
        </w:rPr>
        <w:t xml:space="preserve">data leakage</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Trabajamos principalmente con la tabla </w:t>
      </w:r>
      <w:r w:rsidDel="00000000" w:rsidR="00000000" w:rsidRPr="00000000">
        <w:rPr>
          <w:b w:val="1"/>
          <w:bCs w:val="1"/>
          <w:rtl w:val="0"/>
        </w:rPr>
        <w:t xml:space="preserve">application_train.parquet</w:t>
      </w:r>
      <w:r w:rsidDel="00000000" w:rsidR="00000000" w:rsidRPr="00000000">
        <w:rPr>
          <w:rtl w:val="0"/>
        </w:rPr>
        <w:t xml:space="preserve">, que contiene información socioeconómica, demográfica y financiera de cada solicitante.</w:t>
      </w:r>
    </w:p>
    <w:p w:rsidR="00000000" w:rsidDel="00000000" w:rsidP="00000000" w:rsidRDefault="00000000" w:rsidRPr="00000000" w14:paraId="0000000D">
      <w:pPr>
        <w:spacing w:after="240" w:before="240" w:lineRule="auto"/>
        <w:rPr/>
      </w:pPr>
      <w:r w:rsidDel="00000000" w:rsidR="00000000" w:rsidRPr="00000000">
        <w:rPr>
          <w:rtl w:val="0"/>
        </w:rPr>
        <w:t xml:space="preserve">Se seleccionaron variables numéricas relevantes para la segmentación, tales como:</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ingresos del cliente (</w:t>
      </w:r>
      <w:r w:rsidDel="00000000" w:rsidR="00000000" w:rsidRPr="00000000">
        <w:rPr>
          <w:rFonts w:ascii="Roboto Mono" w:cs="Roboto Mono" w:eastAsia="Roboto Mono" w:hAnsi="Roboto Mono"/>
          <w:color w:val="188038"/>
          <w:rtl w:val="0"/>
        </w:rPr>
        <w:t xml:space="preserve">AMT_INCOME_TOTAL</w:t>
      </w:r>
      <w:r w:rsidDel="00000000" w:rsidR="00000000" w:rsidRPr="00000000">
        <w:rPr>
          <w:rtl w:val="0"/>
        </w:rPr>
        <w:t xml:space="preserve">),</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monto del crédito solicitado (</w:t>
      </w:r>
      <w:r w:rsidDel="00000000" w:rsidR="00000000" w:rsidRPr="00000000">
        <w:rPr>
          <w:rFonts w:ascii="Roboto Mono" w:cs="Roboto Mono" w:eastAsia="Roboto Mono" w:hAnsi="Roboto Mono"/>
          <w:color w:val="188038"/>
          <w:rtl w:val="0"/>
        </w:rPr>
        <w:t xml:space="preserve">AMT_CREDIT</w:t>
      </w:r>
      <w:r w:rsidDel="00000000" w:rsidR="00000000" w:rsidRPr="00000000">
        <w:rPr>
          <w:rtl w:val="0"/>
        </w:rPr>
        <w:t xml:space="preserve">),</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razón crédito/ingreso,</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indicadores externos de riesgo (</w:t>
      </w:r>
      <w:r w:rsidDel="00000000" w:rsidR="00000000" w:rsidRPr="00000000">
        <w:rPr>
          <w:rFonts w:ascii="Roboto Mono" w:cs="Roboto Mono" w:eastAsia="Roboto Mono" w:hAnsi="Roboto Mono"/>
          <w:color w:val="188038"/>
          <w:rtl w:val="0"/>
        </w:rPr>
        <w:t xml:space="preserve">EXT_SOURCE_1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EXT_SOURCE_2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EXT_SOURCE_3</w:t>
      </w:r>
      <w:r w:rsidDel="00000000" w:rsidR="00000000" w:rsidRPr="00000000">
        <w:rPr>
          <w:rtl w:val="0"/>
        </w:rPr>
        <w:t xml:space="preserve">),</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edad,</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composición familiar (</w:t>
      </w:r>
      <w:r w:rsidDel="00000000" w:rsidR="00000000" w:rsidRPr="00000000">
        <w:rPr>
          <w:rFonts w:ascii="Roboto Mono" w:cs="Roboto Mono" w:eastAsia="Roboto Mono" w:hAnsi="Roboto Mono"/>
          <w:color w:val="188038"/>
          <w:rtl w:val="0"/>
        </w:rPr>
        <w:t xml:space="preserve">CNT_CHILDREN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CNT_FAM_MEMBERS</w:t>
      </w:r>
      <w:r w:rsidDel="00000000" w:rsidR="00000000" w:rsidRPr="00000000">
        <w:rPr>
          <w:rtl w:val="0"/>
        </w:rPr>
        <w:t xml:space="preserve">),</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razón de pagos y propiedades log-transformadas.</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Estas variables fueron normalizadas (estandarización Z-Score) para asegurar que todas contribuyeran de manera equivalente al cálculo de distancias en K-Means.</w:t>
      </w:r>
    </w:p>
    <w:p w:rsidR="00000000" w:rsidDel="00000000" w:rsidP="00000000" w:rsidRDefault="00000000" w:rsidRPr="00000000" w14:paraId="00000016">
      <w:pPr>
        <w:pStyle w:val="Heading1"/>
        <w:keepNext w:val="0"/>
        <w:keepLines w:val="0"/>
        <w:spacing w:after="80" w:lineRule="auto"/>
        <w:rPr/>
      </w:pPr>
      <w:bookmarkStart w:colFirst="0" w:colLast="0" w:name="_j7qovzz4nv7o" w:id="2"/>
      <w:bookmarkEnd w:id="2"/>
      <w:r w:rsidDel="00000000" w:rsidR="00000000" w:rsidRPr="00000000">
        <w:rPr>
          <w:rtl w:val="0"/>
        </w:rPr>
        <w:t xml:space="preserve">3. Proceso CRISP-DM aplicado</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fvweznp3rit" w:id="3"/>
      <w:bookmarkEnd w:id="3"/>
      <w:r w:rsidDel="00000000" w:rsidR="00000000" w:rsidRPr="00000000">
        <w:rPr>
          <w:b w:val="1"/>
          <w:bCs w:val="1"/>
          <w:color w:val="000000"/>
          <w:sz w:val="26"/>
          <w:szCs w:val="26"/>
          <w:rtl w:val="0"/>
        </w:rPr>
        <w:t xml:space="preserve">3.1 Comprensión del negocio</w:t>
      </w:r>
    </w:p>
    <w:p w:rsidR="00000000" w:rsidDel="00000000" w:rsidP="00000000" w:rsidRDefault="00000000" w:rsidRPr="00000000" w14:paraId="00000018">
      <w:pPr>
        <w:spacing w:after="240" w:before="240" w:lineRule="auto"/>
        <w:rPr/>
      </w:pPr>
      <w:r w:rsidDel="00000000" w:rsidR="00000000" w:rsidRPr="00000000">
        <w:rPr>
          <w:rtl w:val="0"/>
        </w:rPr>
        <w:t xml:space="preserve">El objetivo del proyecto es construir un score crediticio que estime la probabilidad de incumplimiento. En este contexto, la clusterización no supervisada permite:</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descubrir grupos de clientes con comportamientos financieros similares,</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evaluar si existen perfiles de riesgo diferenciados,</w:t>
        <w:br w:type="textWrapping"/>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detectar posibles sesgos o segmentos mal modelados por el algoritmo supervisado.</w:t>
        <w:br w:type="textWrapping"/>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qvlotjlim8q5" w:id="4"/>
      <w:bookmarkEnd w:id="4"/>
      <w:r w:rsidDel="00000000" w:rsidR="00000000" w:rsidRPr="00000000">
        <w:rPr>
          <w:b w:val="1"/>
          <w:bCs w:val="1"/>
          <w:color w:val="000000"/>
          <w:sz w:val="26"/>
          <w:szCs w:val="26"/>
          <w:rtl w:val="0"/>
        </w:rPr>
        <w:t xml:space="preserve">3.2 Comprensión de los datos</w:t>
      </w:r>
    </w:p>
    <w:p w:rsidR="00000000" w:rsidDel="00000000" w:rsidP="00000000" w:rsidRDefault="00000000" w:rsidRPr="00000000" w14:paraId="0000001D">
      <w:pPr>
        <w:spacing w:after="240" w:before="240" w:lineRule="auto"/>
        <w:rPr/>
      </w:pPr>
      <w:r w:rsidDel="00000000" w:rsidR="00000000" w:rsidRPr="00000000">
        <w:rPr>
          <w:rtl w:val="0"/>
        </w:rPr>
        <w:t xml:space="preserve">Se revisaron la distribución de las variables, la presencia de valores extremos, correlaciones y la calidad general del dataset. Posteriormente se seleccionaron aquellas variables que mejor representaban el perfil financiero del cliente, evitando leakage hacia la variable objetivo.</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j394r5beealo" w:id="5"/>
      <w:bookmarkEnd w:id="5"/>
      <w:r w:rsidDel="00000000" w:rsidR="00000000" w:rsidRPr="00000000">
        <w:rPr>
          <w:b w:val="1"/>
          <w:bCs w:val="1"/>
          <w:color w:val="000000"/>
          <w:sz w:val="26"/>
          <w:szCs w:val="26"/>
          <w:rtl w:val="0"/>
        </w:rPr>
        <w:t xml:space="preserve">3.3 Preparación de los datos</w:t>
      </w:r>
    </w:p>
    <w:p w:rsidR="00000000" w:rsidDel="00000000" w:rsidP="00000000" w:rsidRDefault="00000000" w:rsidRPr="00000000" w14:paraId="0000001F">
      <w:pPr>
        <w:spacing w:after="240" w:before="240" w:lineRule="auto"/>
        <w:rPr/>
      </w:pPr>
      <w:r w:rsidDel="00000000" w:rsidR="00000000" w:rsidRPr="00000000">
        <w:rPr>
          <w:rtl w:val="0"/>
        </w:rPr>
        <w:t xml:space="preserve">Incluyó:</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imputación de valores faltantes,</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estandarización de variables numéricas,</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creación de razones financieras relevantes,</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filtrado de columnas no útiles para clustering,</w:t>
        <w:br w:type="textWrapping"/>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one-hot encoding limitado cuando fue necesario.</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6aummwy71y8u" w:id="6"/>
      <w:bookmarkEnd w:id="6"/>
      <w:r w:rsidDel="00000000" w:rsidR="00000000" w:rsidRPr="00000000">
        <w:rPr>
          <w:b w:val="1"/>
          <w:bCs w:val="1"/>
          <w:color w:val="000000"/>
          <w:sz w:val="26"/>
          <w:szCs w:val="26"/>
          <w:rtl w:val="0"/>
        </w:rPr>
        <w:t xml:space="preserve">3.4 Modelado</w:t>
      </w:r>
    </w:p>
    <w:p w:rsidR="00000000" w:rsidDel="00000000" w:rsidP="00000000" w:rsidRDefault="00000000" w:rsidRPr="00000000" w14:paraId="00000026">
      <w:pPr>
        <w:spacing w:after="240" w:before="240" w:lineRule="auto"/>
        <w:rPr/>
      </w:pPr>
      <w:r w:rsidDel="00000000" w:rsidR="00000000" w:rsidRPr="00000000">
        <w:rPr>
          <w:rtl w:val="0"/>
        </w:rPr>
        <w:t xml:space="preserve">Se entrenaron varios modelos K-Means probando distintos valores de </w:t>
      </w:r>
      <w:r w:rsidDel="00000000" w:rsidR="00000000" w:rsidRPr="00000000">
        <w:rPr>
          <w:b w:val="1"/>
          <w:bCs w:val="1"/>
          <w:rtl w:val="0"/>
        </w:rPr>
        <w:t xml:space="preserve">K</w:t>
      </w:r>
      <w:r w:rsidDel="00000000" w:rsidR="00000000" w:rsidRPr="00000000">
        <w:rPr>
          <w:rtl w:val="0"/>
        </w:rPr>
        <w:t xml:space="preserve">.</w:t>
        <w:br w:type="textWrapping"/>
        <w:t xml:space="preserve"> La selección del número óptimo de clusters se realizó mediante:</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método del codo</w:t>
      </w:r>
      <w:r w:rsidDel="00000000" w:rsidR="00000000" w:rsidRPr="00000000">
        <w:rPr>
          <w:rtl w:val="0"/>
        </w:rPr>
        <w:t xml:space="preserve"> (evaluando la inercia),</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coeficiente de silueta</w:t>
      </w:r>
      <w:r w:rsidDel="00000000" w:rsidR="00000000" w:rsidRPr="00000000">
        <w:rPr>
          <w:rtl w:val="0"/>
        </w:rPr>
        <w:t xml:space="preserve">,</w:t>
        <w:br w:type="textWrapping"/>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la interpretabilidad de los grupos formados.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Luego se entrenó el modelo final asignando un cluster a cada cliente.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cvwi31i18zo" w:id="7"/>
      <w:bookmarkEnd w:id="7"/>
      <w:r w:rsidDel="00000000" w:rsidR="00000000" w:rsidRPr="00000000">
        <w:rPr>
          <w:b w:val="1"/>
          <w:bCs w:val="1"/>
          <w:color w:val="000000"/>
          <w:sz w:val="26"/>
          <w:szCs w:val="26"/>
          <w:rtl w:val="0"/>
        </w:rPr>
        <w:t xml:space="preserve">3.5 Evaluación del modelo no supervisado</w:t>
      </w:r>
    </w:p>
    <w:p w:rsidR="00000000" w:rsidDel="00000000" w:rsidP="00000000" w:rsidRDefault="00000000" w:rsidRPr="00000000" w14:paraId="0000002C">
      <w:pPr>
        <w:spacing w:after="240" w:before="240" w:lineRule="auto"/>
        <w:rPr/>
      </w:pPr>
      <w:r w:rsidDel="00000000" w:rsidR="00000000" w:rsidRPr="00000000">
        <w:rPr>
          <w:rtl w:val="0"/>
        </w:rPr>
        <w:t xml:space="preserve">Dado que no existe variable objetivo en K-Means, la evaluación se centró en:</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coherencia interna de los grupos (silueta),</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diferencias reales entre centroides,</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estabilidad de los atributos por cluster,</w:t>
        <w:br w:type="textWrapping"/>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comparación opcional entre la tasa de mora por cluster y la PD del modelo supervisado.</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Esta evaluación permite determinar si los clusters representan segmentos con riesgo diferenciado o si los grupos no aportan información relevante.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dr7rw7nsuwi" w:id="8"/>
      <w:bookmarkEnd w:id="8"/>
      <w:r w:rsidDel="00000000" w:rsidR="00000000" w:rsidRPr="00000000">
        <w:rPr>
          <w:b w:val="1"/>
          <w:bCs w:val="1"/>
          <w:color w:val="000000"/>
          <w:sz w:val="26"/>
          <w:szCs w:val="26"/>
          <w:rtl w:val="0"/>
        </w:rPr>
        <w:t xml:space="preserve">3.6 Implementación / Utilidad dentro del scoring crediticio</w:t>
      </w:r>
    </w:p>
    <w:p w:rsidR="00000000" w:rsidDel="00000000" w:rsidP="00000000" w:rsidRDefault="00000000" w:rsidRPr="00000000" w14:paraId="00000033">
      <w:pPr>
        <w:spacing w:after="240" w:before="240" w:lineRule="auto"/>
        <w:rPr/>
      </w:pPr>
      <w:r w:rsidDel="00000000" w:rsidR="00000000" w:rsidRPr="00000000">
        <w:rPr>
          <w:rtl w:val="0"/>
        </w:rPr>
        <w:t xml:space="preserve">El método permite:</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agregar el cluster como feature adicional al modelo supervisado,</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analizar clientes con comportamiento inusual,</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validar si el modelo está calibrado de forma consistente entre segmentos,</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descubrir subpoblaciones que requieren modelos específicos (estratificación).</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Estos resultados pueden incorporarse parcial o totalmente al modelo final, dependiendo de su contribución al desempeño.</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epbkjw6qmxpn" w:id="9"/>
      <w:bookmarkEnd w:id="9"/>
      <w:r w:rsidDel="00000000" w:rsidR="00000000" w:rsidRPr="00000000">
        <w:rPr>
          <w:b w:val="1"/>
          <w:bCs w:val="1"/>
          <w:sz w:val="34"/>
          <w:szCs w:val="34"/>
          <w:rtl w:val="0"/>
        </w:rPr>
        <w:t xml:space="preserve">4. Cómo se evalúa la utilidad del método en el contexto del scoring</w:t>
      </w:r>
    </w:p>
    <w:p w:rsidR="00000000" w:rsidDel="00000000" w:rsidP="00000000" w:rsidRDefault="00000000" w:rsidRPr="00000000" w14:paraId="0000003B">
      <w:pPr>
        <w:spacing w:after="240" w:before="240" w:lineRule="auto"/>
        <w:rPr/>
      </w:pPr>
      <w:r w:rsidDel="00000000" w:rsidR="00000000" w:rsidRPr="00000000">
        <w:rPr>
          <w:rtl w:val="0"/>
        </w:rPr>
        <w:t xml:space="preserve">La utilidad de la clusterización se evalúa mediante: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7ba4trv6xj5w" w:id="10"/>
      <w:bookmarkEnd w:id="10"/>
      <w:r w:rsidDel="00000000" w:rsidR="00000000" w:rsidRPr="00000000">
        <w:rPr>
          <w:b w:val="1"/>
          <w:bCs w:val="1"/>
          <w:color w:val="000000"/>
          <w:sz w:val="26"/>
          <w:szCs w:val="26"/>
          <w:rtl w:val="0"/>
        </w:rPr>
        <w:t xml:space="preserve">Diferencias reales entre clusters</w:t>
      </w:r>
    </w:p>
    <w:p w:rsidR="00000000" w:rsidDel="00000000" w:rsidP="00000000" w:rsidRDefault="00000000" w:rsidRPr="00000000" w14:paraId="0000003D">
      <w:pPr>
        <w:spacing w:after="240" w:before="240" w:lineRule="auto"/>
        <w:rPr/>
      </w:pPr>
      <w:r w:rsidDel="00000000" w:rsidR="00000000" w:rsidRPr="00000000">
        <w:rPr>
          <w:rtl w:val="0"/>
        </w:rPr>
        <w:t xml:space="preserve">Si los centroides muestran patrones financieros distintos, significa que los grupos representan segmentos válidos.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gmdwrlk4n542" w:id="11"/>
      <w:bookmarkEnd w:id="11"/>
      <w:r w:rsidDel="00000000" w:rsidR="00000000" w:rsidRPr="00000000">
        <w:rPr>
          <w:b w:val="1"/>
          <w:bCs w:val="1"/>
          <w:color w:val="000000"/>
          <w:sz w:val="26"/>
          <w:szCs w:val="26"/>
          <w:rtl w:val="0"/>
        </w:rPr>
        <w:t xml:space="preserve">Tasa de mora por cluster</w:t>
      </w:r>
    </w:p>
    <w:p w:rsidR="00000000" w:rsidDel="00000000" w:rsidP="00000000" w:rsidRDefault="00000000" w:rsidRPr="00000000" w14:paraId="0000003F">
      <w:pPr>
        <w:spacing w:after="240" w:before="240" w:lineRule="auto"/>
        <w:rPr/>
      </w:pPr>
      <w:r w:rsidDel="00000000" w:rsidR="00000000" w:rsidRPr="00000000">
        <w:rPr>
          <w:rtl w:val="0"/>
        </w:rPr>
        <w:t xml:space="preserve">Comparar la proporción de incumplimiento entre grupos permite ver si existen subpoblaciones de alto riesgo.</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4swu2uqcjkq2" w:id="12"/>
      <w:bookmarkEnd w:id="12"/>
      <w:r w:rsidDel="00000000" w:rsidR="00000000" w:rsidRPr="00000000">
        <w:rPr>
          <w:b w:val="1"/>
          <w:bCs w:val="1"/>
          <w:color w:val="000000"/>
          <w:sz w:val="26"/>
          <w:szCs w:val="26"/>
          <w:rtl w:val="0"/>
        </w:rPr>
        <w:t xml:space="preserve">Comparación con la PD del modelo supervisado</w:t>
      </w:r>
    </w:p>
    <w:p w:rsidR="00000000" w:rsidDel="00000000" w:rsidP="00000000" w:rsidRDefault="00000000" w:rsidRPr="00000000" w14:paraId="00000041">
      <w:pPr>
        <w:spacing w:after="240" w:before="240" w:lineRule="auto"/>
        <w:rPr/>
      </w:pPr>
      <w:r w:rsidDel="00000000" w:rsidR="00000000" w:rsidRPr="00000000">
        <w:rPr>
          <w:rtl w:val="0"/>
        </w:rPr>
        <w:t xml:space="preserve">Permite identificar:</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clusters donde el modelo subestima el riesgo,</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clusters donde lo sobreestima,</w:t>
        <w:br w:type="textWrapping"/>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segmentos que podrían necesitar un tratamiento diferenciado.</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vo1zbtnusmlw" w:id="13"/>
      <w:bookmarkEnd w:id="13"/>
      <w:r w:rsidDel="00000000" w:rsidR="00000000" w:rsidRPr="00000000">
        <w:rPr>
          <w:b w:val="1"/>
          <w:bCs w:val="1"/>
          <w:color w:val="000000"/>
          <w:sz w:val="26"/>
          <w:szCs w:val="26"/>
          <w:rtl w:val="0"/>
        </w:rPr>
        <w:t xml:space="preserve">Posible incorporación del cluster al modelo</w:t>
      </w:r>
    </w:p>
    <w:p w:rsidR="00000000" w:rsidDel="00000000" w:rsidP="00000000" w:rsidRDefault="00000000" w:rsidRPr="00000000" w14:paraId="00000046">
      <w:pPr>
        <w:spacing w:after="240" w:before="240" w:lineRule="auto"/>
        <w:rPr/>
      </w:pPr>
      <w:r w:rsidDel="00000000" w:rsidR="00000000" w:rsidRPr="00000000">
        <w:rPr>
          <w:rtl w:val="0"/>
        </w:rPr>
        <w:t xml:space="preserve">Si la etiqueta de cluster aporta información adicional (lo que suele ocurrir), se puede incluir como variable categórica en la versión final del modelo.</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dq4mado9c635" w:id="14"/>
      <w:bookmarkEnd w:id="14"/>
      <w:r w:rsidDel="00000000" w:rsidR="00000000" w:rsidRPr="00000000">
        <w:rPr>
          <w:b w:val="1"/>
          <w:bCs w:val="1"/>
          <w:sz w:val="34"/>
          <w:szCs w:val="34"/>
          <w:rtl w:val="0"/>
        </w:rPr>
        <w:t xml:space="preserve">Conclusión</w:t>
      </w:r>
    </w:p>
    <w:p w:rsidR="00000000" w:rsidDel="00000000" w:rsidP="00000000" w:rsidRDefault="00000000" w:rsidRPr="00000000" w14:paraId="00000049">
      <w:pPr>
        <w:spacing w:after="240" w:before="240" w:lineRule="auto"/>
        <w:rPr/>
      </w:pPr>
      <w:r w:rsidDel="00000000" w:rsidR="00000000" w:rsidRPr="00000000">
        <w:rPr>
          <w:rtl w:val="0"/>
        </w:rPr>
        <w:t xml:space="preserve">La aplicación del proceso CRISP-DM mediante K-Means permitió segmentar a los clientes en grupos con características similares y analizar si estos segmentos presentaban patrones de riesgo diferenciados. Esto aporta valor tanto al modelo supervisado como a la interpretación del portafolio crediticio, fortaleciendo la calidad del scoring final desarrollado por el equipo.</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