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8E" w:rsidRPr="00DA7DFC" w:rsidRDefault="007303FC" w:rsidP="007303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DFC">
        <w:rPr>
          <w:rFonts w:ascii="Times New Roman" w:hAnsi="Times New Roman" w:cs="Times New Roman"/>
          <w:b/>
          <w:sz w:val="24"/>
          <w:szCs w:val="24"/>
        </w:rPr>
        <w:t>1. Лист «Расчет кол-ва людей с ВО»:</w:t>
      </w:r>
    </w:p>
    <w:p w:rsidR="007303FC" w:rsidRDefault="007303FC" w:rsidP="007303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 расчет количество людей с высшим образованием на основе данных о численности рабочей силы и % людей с высшим образованием от числа рабочей силы, а также численности безработных и % людей с высшим образованием от числа безработных:</w:t>
      </w:r>
    </w:p>
    <w:p w:rsidR="007303FC" w:rsidRPr="007303FC" w:rsidRDefault="007303FC" w:rsidP="007303FC">
      <w:pPr>
        <w:jc w:val="both"/>
        <w:rPr>
          <w:rFonts w:ascii="Times New Roman" w:eastAsiaTheme="minorEastAsia" w:hAnsi="Times New Roman" w:cs="Times New Roman"/>
          <w:sz w:val="14"/>
          <w:szCs w:val="16"/>
        </w:rPr>
      </w:pPr>
      <m:oMathPara>
        <m:oMath>
          <m:r>
            <w:rPr>
              <w:rFonts w:ascii="Cambria Math" w:hAnsi="Cambria Math"/>
              <w:sz w:val="14"/>
              <w:szCs w:val="16"/>
            </w:rPr>
            <m:t xml:space="preserve">Количество </m:t>
          </m:r>
          <m:r>
            <w:rPr>
              <w:rFonts w:ascii="Cambria Math" w:hAnsi="Cambria Math"/>
              <w:sz w:val="12"/>
              <w:szCs w:val="16"/>
            </w:rPr>
            <m:t>людей</m:t>
          </m:r>
          <m:r>
            <w:rPr>
              <w:rFonts w:ascii="Cambria Math" w:hAnsi="Cambria Math"/>
              <w:sz w:val="14"/>
              <w:szCs w:val="16"/>
            </w:rPr>
            <m:t xml:space="preserve"> с ВО= 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6"/>
                    </w:rPr>
                    <m:t>Численность раб.силы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4"/>
                  <w:szCs w:val="16"/>
                </w:rPr>
                <m:t>×% с ВО от раб.силы</m:t>
              </m:r>
            </m:e>
          </m:d>
          <m:r>
            <w:rPr>
              <w:rFonts w:ascii="Cambria Math" w:hAnsi="Cambria Math"/>
              <w:sz w:val="1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6"/>
                    </w:rPr>
                    <m:t>Численность безработных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4"/>
                  <w:szCs w:val="16"/>
                </w:rPr>
                <m:t>×% с ВО от безработных</m:t>
              </m:r>
            </m:e>
          </m:d>
        </m:oMath>
      </m:oMathPara>
    </w:p>
    <w:p w:rsidR="007303FC" w:rsidRPr="00DA7DFC" w:rsidRDefault="007303FC" w:rsidP="007303FC">
      <w:pPr>
        <w:jc w:val="both"/>
        <w:rPr>
          <w:rFonts w:ascii="Times New Roman" w:eastAsiaTheme="minorEastAsia" w:hAnsi="Times New Roman" w:cs="Times New Roman"/>
          <w:b/>
          <w:sz w:val="24"/>
          <w:szCs w:val="16"/>
        </w:rPr>
      </w:pPr>
      <w:r w:rsidRPr="00DA7DFC">
        <w:rPr>
          <w:rFonts w:ascii="Times New Roman" w:eastAsiaTheme="minorEastAsia" w:hAnsi="Times New Roman" w:cs="Times New Roman"/>
          <w:b/>
          <w:sz w:val="24"/>
          <w:szCs w:val="16"/>
        </w:rPr>
        <w:t>2. Лист «Расчет производительности»:</w:t>
      </w:r>
    </w:p>
    <w:p w:rsidR="007303FC" w:rsidRDefault="007303FC" w:rsidP="007303FC">
      <w:pPr>
        <w:jc w:val="both"/>
        <w:rPr>
          <w:rFonts w:ascii="Times New Roman" w:eastAsiaTheme="minorEastAsia" w:hAnsi="Times New Roman" w:cs="Times New Roman"/>
          <w:sz w:val="24"/>
          <w:szCs w:val="16"/>
        </w:rPr>
      </w:pPr>
      <w:r>
        <w:rPr>
          <w:rFonts w:ascii="Times New Roman" w:eastAsiaTheme="minorEastAsia" w:hAnsi="Times New Roman" w:cs="Times New Roman"/>
          <w:sz w:val="24"/>
          <w:szCs w:val="16"/>
        </w:rPr>
        <w:t>Произведен расчет с</w:t>
      </w:r>
      <w:r w:rsidRPr="007303FC">
        <w:rPr>
          <w:rFonts w:ascii="Times New Roman" w:eastAsiaTheme="minorEastAsia" w:hAnsi="Times New Roman" w:cs="Times New Roman"/>
          <w:sz w:val="24"/>
          <w:szCs w:val="16"/>
        </w:rPr>
        <w:t>реднегодов</w:t>
      </w:r>
      <w:r>
        <w:rPr>
          <w:rFonts w:ascii="Times New Roman" w:eastAsiaTheme="minorEastAsia" w:hAnsi="Times New Roman" w:cs="Times New Roman"/>
          <w:sz w:val="24"/>
          <w:szCs w:val="16"/>
        </w:rPr>
        <w:t>ой</w:t>
      </w:r>
      <w:r w:rsidRPr="007303FC">
        <w:rPr>
          <w:rFonts w:ascii="Times New Roman" w:eastAsiaTheme="minorEastAsia" w:hAnsi="Times New Roman" w:cs="Times New Roman"/>
          <w:sz w:val="24"/>
          <w:szCs w:val="16"/>
        </w:rPr>
        <w:t xml:space="preserve"> производительность труда</w:t>
      </w:r>
      <w:r>
        <w:rPr>
          <w:rFonts w:ascii="Times New Roman" w:eastAsiaTheme="minorEastAsia" w:hAnsi="Times New Roman" w:cs="Times New Roman"/>
          <w:sz w:val="24"/>
          <w:szCs w:val="16"/>
        </w:rPr>
        <w:t xml:space="preserve"> по видам экономической деятельности</w:t>
      </w:r>
      <w:r w:rsidRPr="007303FC">
        <w:rPr>
          <w:rFonts w:ascii="Times New Roman" w:eastAsiaTheme="minorEastAsia" w:hAnsi="Times New Roman" w:cs="Times New Roman"/>
          <w:sz w:val="24"/>
          <w:szCs w:val="16"/>
        </w:rPr>
        <w:t xml:space="preserve">, </w:t>
      </w:r>
      <w:proofErr w:type="spellStart"/>
      <w:r w:rsidRPr="007303FC">
        <w:rPr>
          <w:rFonts w:ascii="Times New Roman" w:eastAsiaTheme="minorEastAsia" w:hAnsi="Times New Roman" w:cs="Times New Roman"/>
          <w:sz w:val="24"/>
          <w:szCs w:val="16"/>
        </w:rPr>
        <w:t>тыс.руб</w:t>
      </w:r>
      <w:proofErr w:type="spellEnd"/>
      <w:r w:rsidRPr="007303FC">
        <w:rPr>
          <w:rFonts w:ascii="Times New Roman" w:eastAsiaTheme="minorEastAsia" w:hAnsi="Times New Roman" w:cs="Times New Roman"/>
          <w:sz w:val="24"/>
          <w:szCs w:val="16"/>
        </w:rPr>
        <w:t>./чел</w:t>
      </w:r>
      <w:r>
        <w:rPr>
          <w:rFonts w:ascii="Times New Roman" w:eastAsiaTheme="minorEastAsia" w:hAnsi="Times New Roman" w:cs="Times New Roman"/>
          <w:sz w:val="24"/>
          <w:szCs w:val="16"/>
        </w:rPr>
        <w:t xml:space="preserve"> на основе данных о ВРП по видам экономической деятельности и с</w:t>
      </w:r>
      <w:r w:rsidRPr="007303FC">
        <w:rPr>
          <w:rFonts w:ascii="Times New Roman" w:eastAsiaTheme="minorEastAsia" w:hAnsi="Times New Roman" w:cs="Times New Roman"/>
          <w:sz w:val="24"/>
          <w:szCs w:val="16"/>
        </w:rPr>
        <w:t>реднегодов</w:t>
      </w:r>
      <w:r>
        <w:rPr>
          <w:rFonts w:ascii="Times New Roman" w:eastAsiaTheme="minorEastAsia" w:hAnsi="Times New Roman" w:cs="Times New Roman"/>
          <w:sz w:val="24"/>
          <w:szCs w:val="16"/>
        </w:rPr>
        <w:t>ой</w:t>
      </w:r>
      <w:r w:rsidRPr="007303FC">
        <w:rPr>
          <w:rFonts w:ascii="Times New Roman" w:eastAsiaTheme="minorEastAsia" w:hAnsi="Times New Roman" w:cs="Times New Roman"/>
          <w:sz w:val="24"/>
          <w:szCs w:val="16"/>
        </w:rPr>
        <w:t xml:space="preserve"> численност</w:t>
      </w:r>
      <w:r>
        <w:rPr>
          <w:rFonts w:ascii="Times New Roman" w:eastAsiaTheme="minorEastAsia" w:hAnsi="Times New Roman" w:cs="Times New Roman"/>
          <w:sz w:val="24"/>
          <w:szCs w:val="16"/>
        </w:rPr>
        <w:t>и</w:t>
      </w:r>
      <w:r w:rsidRPr="007303FC">
        <w:rPr>
          <w:rFonts w:ascii="Times New Roman" w:eastAsiaTheme="minorEastAsia" w:hAnsi="Times New Roman" w:cs="Times New Roman"/>
          <w:sz w:val="24"/>
          <w:szCs w:val="16"/>
        </w:rPr>
        <w:t xml:space="preserve"> занятых по видам экономической деятельности</w:t>
      </w:r>
      <w:r>
        <w:rPr>
          <w:rFonts w:ascii="Times New Roman" w:eastAsiaTheme="minorEastAsia" w:hAnsi="Times New Roman" w:cs="Times New Roman"/>
          <w:sz w:val="24"/>
          <w:szCs w:val="16"/>
        </w:rPr>
        <w:t>:</w:t>
      </w:r>
    </w:p>
    <w:p w:rsidR="007303FC" w:rsidRPr="007303FC" w:rsidRDefault="007303FC" w:rsidP="007303FC">
      <w:pPr>
        <w:jc w:val="both"/>
        <w:rPr>
          <w:rFonts w:ascii="Times New Roman" w:eastAsiaTheme="minorEastAsia" w:hAnsi="Times New Roman" w:cs="Times New Roman"/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Среднегодовая произ-ть труда по виду экон.деят-ти (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тыс.руб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  <w:lang w:val="en-US"/>
                </w:rPr>
                <m:t>чел.</m:t>
              </m:r>
            </m:den>
          </m:f>
          <m:r>
            <w:rPr>
              <w:rFonts w:ascii="Cambria Math" w:hAnsi="Cambria Math"/>
              <w:sz w:val="14"/>
              <w:szCs w:val="14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ВРП по виду экон. деят-ти (тыс.руб.)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Среднегодовая чис-ть занятых по виду экон.  деят-ти, тыс. чел. ×1000</m:t>
              </m:r>
            </m:den>
          </m:f>
        </m:oMath>
      </m:oMathPara>
    </w:p>
    <w:p w:rsidR="007303FC" w:rsidRPr="00DA7DFC" w:rsidRDefault="007303FC" w:rsidP="007303FC">
      <w:pPr>
        <w:jc w:val="both"/>
        <w:rPr>
          <w:rFonts w:ascii="Times New Roman" w:eastAsiaTheme="minorEastAsia" w:hAnsi="Times New Roman" w:cs="Times New Roman"/>
          <w:b/>
          <w:sz w:val="24"/>
          <w:szCs w:val="14"/>
        </w:rPr>
      </w:pPr>
      <w:r w:rsidRPr="00DA7DFC">
        <w:rPr>
          <w:rFonts w:ascii="Times New Roman" w:eastAsiaTheme="minorEastAsia" w:hAnsi="Times New Roman" w:cs="Times New Roman"/>
          <w:b/>
          <w:sz w:val="24"/>
          <w:szCs w:val="14"/>
        </w:rPr>
        <w:t>3. Лист «Исходные данные»:</w:t>
      </w:r>
    </w:p>
    <w:p w:rsidR="007303FC" w:rsidRDefault="007303FC" w:rsidP="007303FC">
      <w:pPr>
        <w:jc w:val="both"/>
        <w:rPr>
          <w:rFonts w:ascii="Times New Roman" w:eastAsiaTheme="minorEastAsia" w:hAnsi="Times New Roman" w:cs="Times New Roman"/>
          <w:sz w:val="24"/>
          <w:szCs w:val="14"/>
        </w:rPr>
      </w:pPr>
      <w:r>
        <w:rPr>
          <w:rFonts w:ascii="Times New Roman" w:eastAsiaTheme="minorEastAsia" w:hAnsi="Times New Roman" w:cs="Times New Roman"/>
          <w:sz w:val="24"/>
          <w:szCs w:val="14"/>
        </w:rPr>
        <w:t>Собраны все данные в единую таблицу:</w:t>
      </w:r>
    </w:p>
    <w:p w:rsidR="007303FC" w:rsidRDefault="007303FC" w:rsidP="007303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03FC">
        <w:rPr>
          <w:rFonts w:ascii="Times New Roman" w:hAnsi="Times New Roman"/>
          <w:sz w:val="24"/>
          <w:szCs w:val="24"/>
          <w:lang w:val="en-US"/>
        </w:rPr>
        <w:t>a</w:t>
      </w:r>
      <w:r w:rsidRPr="007303FC">
        <w:rPr>
          <w:rFonts w:ascii="Times New Roman" w:hAnsi="Times New Roman"/>
          <w:sz w:val="24"/>
          <w:szCs w:val="24"/>
        </w:rPr>
        <w:t xml:space="preserve"> – критерии (их 7: </w:t>
      </w:r>
      <w:proofErr w:type="spellStart"/>
      <w:r w:rsidRPr="007303FC">
        <w:rPr>
          <w:rFonts w:ascii="Times New Roman" w:eastAsiaTheme="minorEastAsia" w:hAnsi="Times New Roman" w:cs="Times New Roman"/>
          <w:sz w:val="24"/>
          <w:szCs w:val="24"/>
        </w:rPr>
        <w:t>Геодемографические</w:t>
      </w:r>
      <w:proofErr w:type="spellEnd"/>
      <w:r w:rsidRPr="007303FC">
        <w:rPr>
          <w:rFonts w:ascii="Times New Roman" w:eastAsiaTheme="minorEastAsia" w:hAnsi="Times New Roman" w:cs="Times New Roman"/>
          <w:sz w:val="24"/>
          <w:szCs w:val="24"/>
        </w:rPr>
        <w:t>; Образование; Технологическая специализация; Секторная структура; Бизнес; Открытость; Институты и ценности)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303FC" w:rsidRDefault="007303FC" w:rsidP="007303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03FC">
        <w:rPr>
          <w:rFonts w:ascii="Times New Roman" w:eastAsiaTheme="minorEastAsia" w:hAnsi="Times New Roman" w:cs="Times New Roman"/>
          <w:sz w:val="24"/>
          <w:szCs w:val="24"/>
        </w:rPr>
        <w:t>j – количество статистических показа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телей, характеризующих критерий (у каждого критерия разное,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7303FC">
        <w:rPr>
          <w:rFonts w:ascii="Times New Roman" w:eastAsiaTheme="minorEastAsia" w:hAnsi="Times New Roman" w:cs="Times New Roman"/>
          <w:sz w:val="24"/>
          <w:szCs w:val="24"/>
        </w:rPr>
        <w:t>Геодемографические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9, Образование – 1);</w:t>
      </w:r>
    </w:p>
    <w:p w:rsidR="007303FC" w:rsidRPr="00DA7DFC" w:rsidRDefault="00DA7DFC" w:rsidP="00DA7D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DA7DFC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gramStart"/>
      <w:r w:rsidR="007303FC" w:rsidRPr="007303FC">
        <w:rPr>
          <w:rFonts w:ascii="Times New Roman" w:eastAsiaTheme="minorEastAsia" w:hAnsi="Times New Roman" w:cs="Times New Roman"/>
          <w:sz w:val="24"/>
          <w:szCs w:val="24"/>
        </w:rPr>
        <w:t>весовой</w:t>
      </w:r>
      <w:proofErr w:type="gramEnd"/>
      <w:r w:rsidR="007303FC" w:rsidRPr="007303FC">
        <w:rPr>
          <w:rFonts w:ascii="Times New Roman" w:eastAsiaTheme="minorEastAsia" w:hAnsi="Times New Roman" w:cs="Times New Roman"/>
          <w:sz w:val="24"/>
          <w:szCs w:val="24"/>
        </w:rPr>
        <w:t xml:space="preserve"> коэффи</w:t>
      </w:r>
      <w:r>
        <w:rPr>
          <w:rFonts w:ascii="Times New Roman" w:eastAsiaTheme="minorEastAsia" w:hAnsi="Times New Roman" w:cs="Times New Roman"/>
          <w:sz w:val="24"/>
          <w:szCs w:val="24"/>
        </w:rPr>
        <w:t>циент рассчитывается по формуле: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9"/>
      </w:tblGrid>
      <w:tr w:rsidR="00DA7DFC" w:rsidRPr="001A7CD5" w:rsidTr="00DA7DFC">
        <w:tc>
          <w:tcPr>
            <w:tcW w:w="8319" w:type="dxa"/>
          </w:tcPr>
          <w:p w:rsidR="00DA7DFC" w:rsidRPr="00B01897" w:rsidRDefault="007677C8" w:rsidP="00023EC5">
            <w:pPr>
              <w:spacing w:line="360" w:lineRule="auto"/>
              <w:ind w:firstLine="709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/j</m:t>
                </m:r>
              </m:oMath>
            </m:oMathPara>
          </w:p>
        </w:tc>
      </w:tr>
    </w:tbl>
    <w:p w:rsidR="007303FC" w:rsidRDefault="00DA7DFC" w:rsidP="007303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Произведена оценка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ассиметрии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формулы СКОС</w:t>
      </w:r>
    </w:p>
    <w:p w:rsidR="007303FC" w:rsidRPr="00DA7DFC" w:rsidRDefault="00DA7DFC" w:rsidP="007303FC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A7DFC">
        <w:rPr>
          <w:rFonts w:ascii="Times New Roman" w:eastAsiaTheme="minorEastAsia" w:hAnsi="Times New Roman" w:cs="Times New Roman"/>
          <w:b/>
          <w:sz w:val="24"/>
          <w:szCs w:val="24"/>
        </w:rPr>
        <w:t>4. Лист «Трансформирование»:</w:t>
      </w:r>
    </w:p>
    <w:p w:rsidR="00DA7DFC" w:rsidRPr="00DA7DFC" w:rsidRDefault="00DA7DFC" w:rsidP="00DA7DF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Если значение асимметрии, которое оценено на листе «Исходные данные</w:t>
      </w:r>
      <w:r w:rsidR="007677C8">
        <w:rPr>
          <w:rFonts w:ascii="Times New Roman" w:hAnsi="Times New Roman"/>
          <w:sz w:val="24"/>
          <w:szCs w:val="28"/>
        </w:rPr>
        <w:t>,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 xml:space="preserve"> </w:t>
      </w:r>
      <w:r w:rsidRPr="00DA7DFC">
        <w:rPr>
          <w:rFonts w:ascii="Times New Roman" w:hAnsi="Times New Roman"/>
          <w:sz w:val="24"/>
          <w:szCs w:val="28"/>
        </w:rPr>
        <w:t xml:space="preserve">больше 0,5 </w:t>
      </w:r>
      <w:r>
        <w:rPr>
          <w:rFonts w:ascii="Times New Roman" w:hAnsi="Times New Roman"/>
          <w:sz w:val="24"/>
          <w:szCs w:val="28"/>
        </w:rPr>
        <w:t>по модулю</w:t>
      </w:r>
      <w:r w:rsidRPr="00DA7DFC">
        <w:rPr>
          <w:rFonts w:ascii="Times New Roman" w:hAnsi="Times New Roman"/>
          <w:sz w:val="24"/>
          <w:szCs w:val="28"/>
        </w:rPr>
        <w:t>, то для сглаживания «выбросов» (экстремальных значений) каждое значение показателя трансформируется по формул</w:t>
      </w:r>
      <w:r>
        <w:rPr>
          <w:rFonts w:ascii="Times New Roman" w:hAnsi="Times New Roman"/>
          <w:sz w:val="24"/>
          <w:szCs w:val="28"/>
        </w:rPr>
        <w:t>е</w:t>
      </w:r>
      <w:r w:rsidRPr="00DA7DFC">
        <w:rPr>
          <w:rFonts w:ascii="Times New Roman" w:hAnsi="Times New Roman"/>
          <w:sz w:val="24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DA7DFC" w:rsidRPr="00DA7DFC" w:rsidTr="00DA7DFC">
        <w:tc>
          <w:tcPr>
            <w:tcW w:w="8366" w:type="dxa"/>
          </w:tcPr>
          <w:p w:rsidR="00DA7DFC" w:rsidRPr="00DA7DFC" w:rsidRDefault="007677C8" w:rsidP="00023EC5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ij_0</m:t>
                        </m:r>
                      </m:sub>
                    </m:sSub>
                  </m:e>
                </m:rad>
              </m:oMath>
            </m:oMathPara>
          </w:p>
        </w:tc>
      </w:tr>
    </w:tbl>
    <w:p w:rsidR="00DA7DFC" w:rsidRPr="00DA7DFC" w:rsidRDefault="00DA7DFC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proofErr w:type="gramStart"/>
      <w:r w:rsidRPr="00DA7DFC">
        <w:rPr>
          <w:rFonts w:ascii="Times New Roman" w:hAnsi="Times New Roman"/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ij</m:t>
            </m:r>
          </m:sub>
        </m:sSub>
      </m:oMath>
      <w:r w:rsidRPr="00DA7DFC">
        <w:rPr>
          <w:rFonts w:ascii="Times New Roman" w:hAnsi="Times New Roman"/>
          <w:sz w:val="24"/>
          <w:szCs w:val="28"/>
        </w:rPr>
        <w:t xml:space="preserve"> –</w:t>
      </w:r>
      <w:proofErr w:type="gramEnd"/>
      <w:r w:rsidRPr="00DA7DFC">
        <w:rPr>
          <w:rFonts w:ascii="Times New Roman" w:hAnsi="Times New Roman"/>
          <w:sz w:val="24"/>
          <w:szCs w:val="28"/>
        </w:rPr>
        <w:t xml:space="preserve"> трансформированное значение j-показателя i-региона;</w:t>
      </w:r>
    </w:p>
    <w:p w:rsidR="00DA7DFC" w:rsidRPr="00DA7DFC" w:rsidRDefault="007677C8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ij_0</m:t>
            </m:r>
          </m:sub>
        </m:sSub>
      </m:oMath>
      <w:r w:rsidR="00DA7DFC" w:rsidRPr="00DA7DFC">
        <w:rPr>
          <w:rFonts w:ascii="Times New Roman" w:hAnsi="Times New Roman"/>
          <w:sz w:val="24"/>
          <w:szCs w:val="28"/>
        </w:rPr>
        <w:t xml:space="preserve"> – исходное значение j-показателя i-региона;</w:t>
      </w:r>
    </w:p>
    <w:p w:rsidR="00DA7DFC" w:rsidRPr="00DA7DFC" w:rsidRDefault="00DA7DFC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A7DFC">
        <w:rPr>
          <w:rFonts w:ascii="Times New Roman" w:hAnsi="Times New Roman"/>
          <w:sz w:val="24"/>
          <w:szCs w:val="28"/>
        </w:rPr>
        <w:t>k – степень асимметрии (принимает значения от 2 до 4 в зависимости от величины коэффициента асимметрии</w:t>
      </w:r>
      <w:r>
        <w:rPr>
          <w:rFonts w:ascii="Times New Roman" w:hAnsi="Times New Roman"/>
          <w:sz w:val="24"/>
          <w:szCs w:val="28"/>
        </w:rPr>
        <w:t>, подбирается вручную</w:t>
      </w:r>
      <w:r w:rsidRPr="00DA7DFC">
        <w:rPr>
          <w:rFonts w:ascii="Times New Roman" w:hAnsi="Times New Roman"/>
          <w:sz w:val="24"/>
          <w:szCs w:val="28"/>
        </w:rPr>
        <w:t xml:space="preserve">). </w:t>
      </w:r>
    </w:p>
    <w:p w:rsidR="00DA7DFC" w:rsidRPr="00DA7DFC" w:rsidRDefault="00DA7DFC" w:rsidP="007303FC">
      <w:pPr>
        <w:jc w:val="both"/>
        <w:rPr>
          <w:rFonts w:ascii="Times New Roman" w:eastAsiaTheme="minorEastAsia" w:hAnsi="Times New Roman" w:cs="Times New Roman"/>
          <w:b/>
          <w:szCs w:val="24"/>
        </w:rPr>
      </w:pPr>
      <w:r w:rsidRPr="00DA7DFC">
        <w:rPr>
          <w:rFonts w:ascii="Times New Roman" w:eastAsiaTheme="minorEastAsia" w:hAnsi="Times New Roman" w:cs="Times New Roman"/>
          <w:b/>
          <w:szCs w:val="24"/>
        </w:rPr>
        <w:t>5. Лист «Нормировка и расчет»:</w:t>
      </w:r>
    </w:p>
    <w:p w:rsidR="00DA7DFC" w:rsidRPr="00DA7DFC" w:rsidRDefault="00DA7DFC" w:rsidP="00DA7DF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 w:rsidRPr="00DA7DFC">
        <w:rPr>
          <w:rFonts w:ascii="Times New Roman" w:hAnsi="Times New Roman"/>
          <w:sz w:val="24"/>
          <w:szCs w:val="28"/>
        </w:rPr>
        <w:t>Показатели, выраженные в процентах, – остаются без изменений</w:t>
      </w:r>
      <w:r>
        <w:rPr>
          <w:rFonts w:ascii="Times New Roman" w:hAnsi="Times New Roman"/>
          <w:sz w:val="24"/>
          <w:szCs w:val="28"/>
        </w:rPr>
        <w:t xml:space="preserve"> (выделены красным в таблице)</w:t>
      </w:r>
      <w:r w:rsidRPr="00DA7DFC">
        <w:rPr>
          <w:rFonts w:ascii="Times New Roman" w:hAnsi="Times New Roman"/>
          <w:sz w:val="24"/>
          <w:szCs w:val="28"/>
        </w:rPr>
        <w:t>, остальные – переводятся в проценты относительно суммы значений переменной</w:t>
      </w:r>
      <w:r>
        <w:rPr>
          <w:rFonts w:ascii="Times New Roman" w:hAnsi="Times New Roman"/>
          <w:sz w:val="24"/>
          <w:szCs w:val="28"/>
        </w:rPr>
        <w:t xml:space="preserve"> соответствующего показателя</w:t>
      </w:r>
      <w:r w:rsidRPr="00DA7DFC">
        <w:rPr>
          <w:rFonts w:ascii="Times New Roman" w:hAnsi="Times New Roman"/>
          <w:sz w:val="24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DA7DFC" w:rsidRPr="00DA7DFC" w:rsidTr="00DA7DFC">
        <w:tc>
          <w:tcPr>
            <w:tcW w:w="8366" w:type="dxa"/>
          </w:tcPr>
          <w:p w:rsidR="00DA7DFC" w:rsidRPr="00DA7DFC" w:rsidRDefault="007677C8" w:rsidP="00023EC5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∙100%</m:t>
              </m:r>
            </m:oMath>
            <w:r w:rsidR="00DA7DFC" w:rsidRPr="00DA7DFC">
              <w:rPr>
                <w:rFonts w:ascii="Times New Roman" w:hAnsi="Times New Roman"/>
                <w:sz w:val="24"/>
                <w:szCs w:val="28"/>
              </w:rPr>
              <w:t>,</w:t>
            </w:r>
          </w:p>
        </w:tc>
      </w:tr>
    </w:tbl>
    <w:p w:rsidR="00DA7DFC" w:rsidRDefault="00DA7DFC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A7DFC">
        <w:rPr>
          <w:rFonts w:ascii="Times New Roman" w:hAnsi="Times New Roman"/>
          <w:sz w:val="24"/>
          <w:szCs w:val="28"/>
        </w:rPr>
        <w:lastRenderedPageBreak/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</w:rPr>
          <m:t xml:space="preserve"> </m:t>
        </m:r>
      </m:oMath>
      <w:r w:rsidRPr="00DA7DFC">
        <w:rPr>
          <w:rFonts w:ascii="Times New Roman" w:hAnsi="Times New Roman"/>
          <w:sz w:val="24"/>
          <w:szCs w:val="28"/>
        </w:rPr>
        <w:t>– нормированное значение j-показателя i-региона.</w:t>
      </w:r>
    </w:p>
    <w:p w:rsidR="00DA7DFC" w:rsidRPr="00DA7DFC" w:rsidRDefault="00DA7DFC" w:rsidP="00DA7DF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Далее после строчек 89 и 90 производится расчет индексов структурных расстояний по каждому показателю по всем регионам (Пермский край принимается в качестве исходного региона) в столбике AJ указан и</w:t>
      </w:r>
      <w:r w:rsidRPr="00DA7DFC">
        <w:rPr>
          <w:rFonts w:ascii="Times New Roman" w:hAnsi="Times New Roman"/>
          <w:sz w:val="24"/>
          <w:szCs w:val="28"/>
        </w:rPr>
        <w:t>ндекс структурного расстояния, по которому строится матрица расс</w:t>
      </w:r>
      <w:r>
        <w:rPr>
          <w:rFonts w:ascii="Times New Roman" w:hAnsi="Times New Roman"/>
          <w:sz w:val="24"/>
          <w:szCs w:val="28"/>
        </w:rPr>
        <w:t>тояний, вычисляется по формуле</w:t>
      </w:r>
      <w:r w:rsidRPr="00DA7DFC">
        <w:rPr>
          <w:rFonts w:ascii="Times New Roman" w:hAnsi="Times New Roman"/>
          <w:sz w:val="24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  <w:gridCol w:w="280"/>
      </w:tblGrid>
      <w:tr w:rsidR="00DA7DFC" w:rsidRPr="00DA7DFC" w:rsidTr="00023EC5">
        <w:tc>
          <w:tcPr>
            <w:tcW w:w="9358" w:type="dxa"/>
          </w:tcPr>
          <w:p w:rsidR="00DA7DFC" w:rsidRPr="00DA7DFC" w:rsidRDefault="00DA7DFC" w:rsidP="00023EC5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0" w:type="dxa"/>
          </w:tcPr>
          <w:p w:rsidR="00DA7DFC" w:rsidRPr="00DA7DFC" w:rsidRDefault="00DA7DFC" w:rsidP="00023EC5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DA7DFC" w:rsidRPr="00DA7DFC" w:rsidRDefault="00DA7DFC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proofErr w:type="gramStart"/>
      <w:r w:rsidRPr="00DA7DFC">
        <w:rPr>
          <w:rFonts w:ascii="Times New Roman" w:hAnsi="Times New Roman"/>
          <w:sz w:val="24"/>
          <w:szCs w:val="28"/>
        </w:rPr>
        <w:t xml:space="preserve">где </w:t>
      </w:r>
      <m:oMath>
        <m:r>
          <w:rPr>
            <w:rFonts w:ascii="Cambria Math" w:hAnsi="Cambria Math"/>
            <w:sz w:val="24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'</m:t>
                </m:r>
              </m:sup>
            </m:sSup>
          </m:e>
        </m:d>
      </m:oMath>
      <w:r w:rsidRPr="00DA7DFC">
        <w:rPr>
          <w:rFonts w:ascii="Times New Roman" w:hAnsi="Times New Roman"/>
          <w:sz w:val="24"/>
          <w:szCs w:val="28"/>
        </w:rPr>
        <w:t xml:space="preserve"> –</w:t>
      </w:r>
      <w:proofErr w:type="gramEnd"/>
      <w:r w:rsidRPr="00DA7DFC">
        <w:rPr>
          <w:rFonts w:ascii="Times New Roman" w:hAnsi="Times New Roman"/>
          <w:sz w:val="24"/>
          <w:szCs w:val="28"/>
        </w:rPr>
        <w:t xml:space="preserve"> индекс структурного расстояния </w:t>
      </w:r>
      <w:r w:rsidRPr="00DA7DFC">
        <w:rPr>
          <w:rFonts w:ascii="Times New Roman" w:hAnsi="Times New Roman"/>
          <w:i/>
          <w:sz w:val="24"/>
          <w:szCs w:val="28"/>
        </w:rPr>
        <w:t>i</w:t>
      </w:r>
      <w:r w:rsidRPr="00DA7DFC">
        <w:rPr>
          <w:rFonts w:ascii="Times New Roman" w:hAnsi="Times New Roman"/>
          <w:sz w:val="24"/>
          <w:szCs w:val="28"/>
        </w:rPr>
        <w:t xml:space="preserve"> – региона;</w:t>
      </w:r>
    </w:p>
    <w:p w:rsidR="00DA7DFC" w:rsidRPr="00DA7DFC" w:rsidRDefault="007677C8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ij</m:t>
                </m:r>
              </m:sub>
            </m:sSub>
          </m:e>
        </m:acc>
      </m:oMath>
      <w:r w:rsidR="00DA7DFC" w:rsidRPr="00DA7DFC">
        <w:rPr>
          <w:rFonts w:ascii="Times New Roman" w:hAnsi="Times New Roman"/>
          <w:sz w:val="24"/>
          <w:szCs w:val="28"/>
        </w:rPr>
        <w:t xml:space="preserve"> – значение </w:t>
      </w:r>
      <w:r w:rsidR="00DA7DFC" w:rsidRPr="00DA7DFC">
        <w:rPr>
          <w:rFonts w:ascii="Times New Roman" w:hAnsi="Times New Roman"/>
          <w:i/>
          <w:sz w:val="24"/>
          <w:szCs w:val="28"/>
        </w:rPr>
        <w:t>j</w:t>
      </w:r>
      <w:r w:rsidR="00DA7DFC" w:rsidRPr="00DA7DFC">
        <w:rPr>
          <w:rFonts w:ascii="Times New Roman" w:hAnsi="Times New Roman"/>
          <w:sz w:val="24"/>
          <w:szCs w:val="28"/>
        </w:rPr>
        <w:t xml:space="preserve">-показателя </w:t>
      </w:r>
      <w:r w:rsidR="00DA7DFC" w:rsidRPr="00DA7DFC">
        <w:rPr>
          <w:rFonts w:ascii="Times New Roman" w:hAnsi="Times New Roman"/>
          <w:i/>
          <w:sz w:val="24"/>
          <w:szCs w:val="28"/>
        </w:rPr>
        <w:t>i</w:t>
      </w:r>
      <w:r w:rsidR="00DA7DFC" w:rsidRPr="00DA7DFC">
        <w:rPr>
          <w:rFonts w:ascii="Times New Roman" w:hAnsi="Times New Roman"/>
          <w:sz w:val="24"/>
          <w:szCs w:val="28"/>
        </w:rPr>
        <w:t>-исходного региона;</w:t>
      </w:r>
    </w:p>
    <w:p w:rsidR="00DA7DFC" w:rsidRPr="00DA7DFC" w:rsidRDefault="007677C8" w:rsidP="00DA7DF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</m:e>
        </m:acc>
      </m:oMath>
      <w:r w:rsidR="00DA7DFC" w:rsidRPr="00DA7DFC">
        <w:rPr>
          <w:rFonts w:ascii="Times New Roman" w:hAnsi="Times New Roman"/>
          <w:sz w:val="24"/>
          <w:szCs w:val="28"/>
        </w:rPr>
        <w:t xml:space="preserve"> – значение </w:t>
      </w:r>
      <w:r w:rsidR="00DA7DFC" w:rsidRPr="00DA7DFC">
        <w:rPr>
          <w:rFonts w:ascii="Times New Roman" w:hAnsi="Times New Roman"/>
          <w:i/>
          <w:sz w:val="24"/>
          <w:szCs w:val="28"/>
        </w:rPr>
        <w:t>j</w:t>
      </w:r>
      <w:r w:rsidR="00DA7DFC" w:rsidRPr="00DA7DFC">
        <w:rPr>
          <w:rFonts w:ascii="Times New Roman" w:hAnsi="Times New Roman"/>
          <w:sz w:val="24"/>
          <w:szCs w:val="28"/>
        </w:rPr>
        <w:t xml:space="preserve">- показателя </w:t>
      </w:r>
      <w:r w:rsidR="00DA7DFC" w:rsidRPr="00DA7DFC">
        <w:rPr>
          <w:rFonts w:ascii="Times New Roman" w:hAnsi="Times New Roman"/>
          <w:i/>
          <w:sz w:val="24"/>
          <w:szCs w:val="28"/>
        </w:rPr>
        <w:t xml:space="preserve">i </w:t>
      </w:r>
      <w:r w:rsidR="00DA7DFC" w:rsidRPr="00DA7DFC">
        <w:rPr>
          <w:rFonts w:ascii="Times New Roman" w:hAnsi="Times New Roman"/>
          <w:sz w:val="24"/>
          <w:szCs w:val="28"/>
        </w:rPr>
        <w:t>– «другого» региона;</w:t>
      </w:r>
    </w:p>
    <w:p w:rsidR="00DA7DFC" w:rsidRPr="00DA7DFC" w:rsidRDefault="007677C8" w:rsidP="00DA7DF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j</m:t>
            </m:r>
          </m:sub>
        </m:sSub>
      </m:oMath>
      <w:r w:rsidR="00DA7DFC" w:rsidRPr="00DA7DFC">
        <w:rPr>
          <w:rFonts w:ascii="Times New Roman" w:hAnsi="Times New Roman"/>
          <w:sz w:val="24"/>
          <w:szCs w:val="28"/>
        </w:rPr>
        <w:t xml:space="preserve"> – весовой коэффициент.</w:t>
      </w:r>
    </w:p>
    <w:p w:rsidR="00DA7DFC" w:rsidRPr="00DA7DFC" w:rsidRDefault="00DA7DFC" w:rsidP="007303FC">
      <w:pPr>
        <w:jc w:val="both"/>
        <w:rPr>
          <w:rFonts w:ascii="Times New Roman" w:eastAsiaTheme="minorEastAsia" w:hAnsi="Times New Roman" w:cs="Times New Roman"/>
          <w:b/>
          <w:szCs w:val="24"/>
        </w:rPr>
      </w:pPr>
      <w:r w:rsidRPr="00DA7DFC">
        <w:rPr>
          <w:rFonts w:ascii="Times New Roman" w:eastAsiaTheme="minorEastAsia" w:hAnsi="Times New Roman" w:cs="Times New Roman"/>
          <w:b/>
          <w:szCs w:val="24"/>
        </w:rPr>
        <w:t>6. Лист «</w:t>
      </w:r>
      <w:proofErr w:type="spellStart"/>
      <w:r w:rsidRPr="00DA7DFC">
        <w:rPr>
          <w:rFonts w:ascii="Times New Roman" w:eastAsiaTheme="minorEastAsia" w:hAnsi="Times New Roman" w:cs="Times New Roman"/>
          <w:b/>
          <w:szCs w:val="24"/>
        </w:rPr>
        <w:t>Индес</w:t>
      </w:r>
      <w:proofErr w:type="spellEnd"/>
      <w:r w:rsidRPr="00DA7DFC">
        <w:rPr>
          <w:rFonts w:ascii="Times New Roman" w:eastAsiaTheme="minorEastAsia" w:hAnsi="Times New Roman" w:cs="Times New Roman"/>
          <w:b/>
          <w:szCs w:val="24"/>
        </w:rPr>
        <w:t xml:space="preserve"> (идентичные):</w:t>
      </w:r>
    </w:p>
    <w:p w:rsidR="00DA7DFC" w:rsidRDefault="00DA7DFC" w:rsidP="007303FC">
      <w:pPr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Регионы отсортированы по </w:t>
      </w:r>
      <w:r w:rsidR="00D75EC3">
        <w:rPr>
          <w:rFonts w:ascii="Times New Roman" w:eastAsiaTheme="minorEastAsia" w:hAnsi="Times New Roman" w:cs="Times New Roman"/>
          <w:szCs w:val="24"/>
        </w:rPr>
        <w:t>возрастанию индекса структурного расстояния.</w:t>
      </w:r>
    </w:p>
    <w:p w:rsidR="00D75EC3" w:rsidRPr="00D75EC3" w:rsidRDefault="00D75EC3" w:rsidP="007303FC">
      <w:pPr>
        <w:jc w:val="both"/>
        <w:rPr>
          <w:rFonts w:ascii="Times New Roman" w:eastAsiaTheme="minorEastAsia" w:hAnsi="Times New Roman" w:cs="Times New Roman"/>
          <w:b/>
          <w:szCs w:val="24"/>
        </w:rPr>
      </w:pPr>
      <w:r w:rsidRPr="00D75EC3">
        <w:rPr>
          <w:rFonts w:ascii="Times New Roman" w:eastAsiaTheme="minorEastAsia" w:hAnsi="Times New Roman" w:cs="Times New Roman"/>
          <w:b/>
          <w:szCs w:val="24"/>
        </w:rPr>
        <w:t>7. Лист «Для сравнения»:</w:t>
      </w:r>
    </w:p>
    <w:p w:rsidR="00D75EC3" w:rsidRPr="00DA7DFC" w:rsidRDefault="00D75EC3" w:rsidP="007303FC">
      <w:pPr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Отображены исходные данные по идентичным Пермскому краю регионам.</w:t>
      </w:r>
    </w:p>
    <w:sectPr w:rsidR="00D75EC3" w:rsidRPr="00DA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FC"/>
    <w:rsid w:val="00382E8E"/>
    <w:rsid w:val="007303FC"/>
    <w:rsid w:val="007677C8"/>
    <w:rsid w:val="00D75EC3"/>
    <w:rsid w:val="00D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2B1D6-6121-48D8-AF0C-0A01D2F5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3F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2019-05-09T11:02:00Z</dcterms:created>
  <dcterms:modified xsi:type="dcterms:W3CDTF">2019-05-09T11:32:00Z</dcterms:modified>
</cp:coreProperties>
</file>