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pPr>
      <w:r>
        <w:rPr>
          <w:rFonts w:ascii="Times New Roman" w:cs="Times New Roman" w:eastAsia="Times New Roman" w:hAnsi="Times New Roman"/>
          <w:b/>
          <w:bCs/>
          <w:sz w:val="32"/>
          <w:szCs w:val="32"/>
        </w:rPr>
        <w:t xml:space="preserve">A role-aware explainable AI dashboard for at-risk student classification: Design and technical evaluation on the Open University Learning Analytics Dataset</w:t>
      </w:r>
    </w:p>
    <w:p>
      <w:pPr>
        <w:spacing w:after="240" w:line="360"/>
      </w:pPr>
      <w:r>
        <w:rPr>
          <w:rFonts w:ascii="Times New Roman" w:cs="Times New Roman" w:eastAsia="Times New Roman" w:hAnsi="Times New Roman"/>
          <w:sz w:val="24"/>
          <w:szCs w:val="24"/>
        </w:rPr>
        <w:t xml:space="preserve">Daniel Larry</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Zainab Shamsiya Usman</w:t>
      </w:r>
      <w:r>
        <w:rPr>
          <w:rFonts w:ascii="Times New Roman" w:cs="Times New Roman" w:eastAsia="Times New Roman" w:hAnsi="Times New Roman"/>
          <w:sz w:val="24"/>
          <w:szCs w:val="24"/>
          <w:vertAlign w:val="superscript"/>
        </w:rPr>
        <w:t xml:space="preserve">a</w:t>
      </w:r>
    </w:p>
    <w:p>
      <w:pPr>
        <w:spacing w:after="240" w:line="360"/>
      </w:pPr>
      <w:r>
        <w:rPr>
          <w:rFonts w:ascii="Times New Roman" w:cs="Times New Roman" w:eastAsia="Times New Roman" w:hAnsi="Times New Roman"/>
          <w:sz w:val="22"/>
          <w:szCs w:val="22"/>
          <w:vertAlign w:val="superscript"/>
        </w:rPr>
        <w:t xml:space="preserve">a</w:t>
      </w:r>
      <w:r>
        <w:rPr>
          <w:rFonts w:ascii="Times New Roman" w:cs="Times New Roman" w:eastAsia="Times New Roman" w:hAnsi="Times New Roman"/>
          <w:i/>
          <w:iCs/>
          <w:sz w:val="22"/>
          <w:szCs w:val="22"/>
        </w:rPr>
        <w:t xml:space="preserve"> Department of Computer Science, School of Information Technology and Computing, American University of Nigeria, Yola, Adamawa State, Nigeria</w:t>
      </w:r>
    </w:p>
    <w:p>
      <w:pPr>
        <w:spacing w:after="120" w:line="360"/>
      </w:pPr>
      <w:r>
        <w:rPr>
          <w:rFonts w:ascii="Times New Roman" w:cs="Times New Roman" w:eastAsia="Times New Roman" w:hAnsi="Times New Roman"/>
          <w:sz w:val="22"/>
          <w:szCs w:val="22"/>
        </w:rPr>
        <w:t xml:space="preserve">* Corresponding author. E-mail address: daniel.larry@aun.edu.ng</w:t>
      </w:r>
    </w:p>
    <w:p>
      <w:pPr>
        <w:spacing w:after="120" w:line="360"/>
      </w:pPr>
      <w:r>
        <w:rPr>
          <w:rFonts w:ascii="Times New Roman" w:cs="Times New Roman" w:eastAsia="Times New Roman" w:hAnsi="Times New Roman"/>
          <w:sz w:val="22"/>
          <w:szCs w:val="22"/>
        </w:rPr>
        <w:t xml:space="preserve">Running title: Role-aware explainable AI dashboard for at-risk students</w:t>
      </w:r>
    </w:p>
    <w:p>
      <w:r>
        <w:br w:type="page"/>
      </w:r>
    </w:p>
    <w:p>
      <w:pPr>
        <w:keepNext/>
        <w:spacing w:after="0" w:before="240" w:line="480"/>
      </w:pPr>
      <w:r>
        <w:rPr>
          <w:rFonts w:ascii="Times New Roman" w:cs="Times New Roman" w:eastAsia="Times New Roman" w:hAnsi="Times New Roman"/>
          <w:b/>
          <w:bCs/>
          <w:sz w:val="24"/>
          <w:szCs w:val="24"/>
        </w:rPr>
        <w:t xml:space="preserve">Highlights</w:t>
      </w:r>
    </w:p>
    <w:p>
      <w:pPr>
        <w:pStyle w:val="ListParagraph"/>
        <w:numPr>
          <w:ilvl w:val="0"/>
          <w:numId w:val="2"/>
        </w:numPr>
        <w:spacing w:line="480"/>
      </w:pPr>
      <w:r>
        <w:rPr>
          <w:rFonts w:ascii="Times New Roman" w:cs="Times New Roman" w:eastAsia="Times New Roman" w:hAnsi="Times New Roman"/>
          <w:sz w:val="24"/>
          <w:szCs w:val="24"/>
        </w:rPr>
        <w:t xml:space="preserve">One prediction system serves instructors, advisors and administrators separately.</w:t>
      </w:r>
    </w:p>
    <w:p>
      <w:pPr>
        <w:pStyle w:val="ListParagraph"/>
        <w:numPr>
          <w:ilvl w:val="0"/>
          <w:numId w:val="2"/>
        </w:numPr>
        <w:spacing w:line="480"/>
      </w:pPr>
      <w:r>
        <w:rPr>
          <w:rFonts w:ascii="Times New Roman" w:cs="Times New Roman" w:eastAsia="Times New Roman" w:hAnsi="Times New Roman"/>
          <w:sz w:val="24"/>
          <w:szCs w:val="24"/>
        </w:rPr>
        <w:t xml:space="preserve">XGBoost reached 0.909 recall and 0.887 F1 with course presentations held out.</w:t>
      </w:r>
    </w:p>
    <w:p>
      <w:pPr>
        <w:pStyle w:val="ListParagraph"/>
        <w:numPr>
          <w:ilvl w:val="0"/>
          <w:numId w:val="2"/>
        </w:numPr>
        <w:spacing w:line="480"/>
      </w:pPr>
      <w:r>
        <w:rPr>
          <w:rFonts w:ascii="Times New Roman" w:cs="Times New Roman" w:eastAsia="Times New Roman" w:hAnsi="Times New Roman"/>
          <w:sz w:val="24"/>
          <w:szCs w:val="24"/>
        </w:rPr>
        <w:t xml:space="preserve">SHAP and LIME shared 7 of 10 top features but only 0.635 top-5 overlap per student.</w:t>
      </w:r>
    </w:p>
    <w:p>
      <w:pPr>
        <w:pStyle w:val="ListParagraph"/>
        <w:numPr>
          <w:ilvl w:val="0"/>
          <w:numId w:val="2"/>
        </w:numPr>
        <w:spacing w:line="480"/>
      </w:pPr>
      <w:r>
        <w:rPr>
          <w:rFonts w:ascii="Times New Roman" w:cs="Times New Roman" w:eastAsia="Times New Roman" w:hAnsi="Times New Roman"/>
          <w:sz w:val="24"/>
          <w:szCs w:val="24"/>
        </w:rPr>
        <w:t xml:space="preserve">Accuracy varied by over seven points across the four held-out presentations.</w:t>
      </w:r>
    </w:p>
    <w:p>
      <w:pPr>
        <w:pStyle w:val="ListParagraph"/>
        <w:numPr>
          <w:ilvl w:val="0"/>
          <w:numId w:val="2"/>
        </w:numPr>
        <w:spacing w:line="480"/>
      </w:pPr>
      <w:r>
        <w:rPr>
          <w:rFonts w:ascii="Times New Roman" w:cs="Times New Roman" w:eastAsia="Times New Roman" w:hAnsi="Times New Roman"/>
          <w:sz w:val="24"/>
          <w:szCs w:val="24"/>
        </w:rPr>
        <w:t xml:space="preserve">CommonKADS traces each dashboard view to a stated role-specific knowledge need.</w:t>
      </w:r>
    </w:p>
    <w:p>
      <w:r>
        <w:br w:type="page"/>
      </w:r>
    </w:p>
    <w:p>
      <w:pPr>
        <w:keepNext/>
        <w:spacing w:after="0" w:before="240" w:line="480"/>
      </w:pPr>
      <w:r>
        <w:rPr>
          <w:rFonts w:ascii="Times New Roman" w:cs="Times New Roman" w:eastAsia="Times New Roman" w:hAnsi="Times New Roman"/>
          <w:b/>
          <w:bCs/>
          <w:sz w:val="24"/>
          <w:szCs w:val="24"/>
        </w:rPr>
        <w:t xml:space="preserve">Abstract</w:t>
      </w:r>
    </w:p>
    <w:p>
      <w:pPr>
        <w:spacing w:after="0" w:line="480"/>
        <w:jc w:val="left"/>
      </w:pPr>
      <w:r>
        <w:rPr>
          <w:rFonts w:ascii="Times New Roman" w:cs="Times New Roman" w:eastAsia="Times New Roman" w:hAnsi="Times New Roman"/>
          <w:sz w:val="24"/>
          <w:szCs w:val="24"/>
        </w:rPr>
        <w:t xml:space="preserve">Predictive models built on learning management system (LMS) data can flag students at risk of failing or withdrawing, but most systems present isolated risk scores without the reasoning behind them and give every staff role the same view. This study designed, implemented and technically evaluated a role-aware explainable artificial intelligence (XAI) dashboard that delivers explanations from one prediction system to instructors, academic advisors and administrators at different levels of aggregation. Following design science research with the CommonKADS knowledge engineering methodology, Random Forest, XGBoost and Gradient Boosting classifiers were evaluated on the Open University Learning Analytics Dataset (32,593 student-module-presentation observations) using four-fold cross-validation grouped by course presentation. SHAP and LIME formed the explanation layer, and the prototype was integrated with Moodle and Canvas. The XGBoost prototype, selected on recall, achieved out-of-fold accuracy of 0.877, precision of 0.866, recall of 0.909, F1-score of 0.887 and AUC of 0.962; Random Forest obtained a marginally higher F1-score (0.898). Accuracy ranged from 0.846 to 0.916 across held-out presentations. Both explanation methods ranked the number of assessments submitted first and shared seven of their top ten features, but the mean instance-level top-5 overlap was only 0.635. A role-aware explanation layer is technically feasible at full dataset scale, and the partial agreement between SHAP and LIME supports showing both methods side by side. The features cover the full presentation, so results describe retrospective classification; practitioner trust, calibration and fairness remain to be evaluated.</w:t>
      </w:r>
    </w:p>
    <w:p>
      <w:pPr>
        <w:spacing w:before="24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Explainable artificial intelligence; Learning analytics dashboards; At-risk student prediction; SHAP; LIME; Knowledge engineering; OULAD</w:t>
      </w:r>
    </w:p>
    <w:p>
      <w:r>
        <w:br w:type="page"/>
      </w:r>
    </w:p>
    <w:p>
      <w:pPr>
        <w:keepNext/>
        <w:spacing w:after="0" w:before="240" w:line="480"/>
      </w:pPr>
      <w:r>
        <w:rPr>
          <w:rFonts w:ascii="Times New Roman" w:cs="Times New Roman" w:eastAsia="Times New Roman" w:hAnsi="Times New Roman"/>
          <w:b/>
          <w:bCs/>
          <w:sz w:val="24"/>
          <w:szCs w:val="24"/>
        </w:rPr>
        <w:t xml:space="preserve">1. Introduction</w:t>
      </w:r>
    </w:p>
    <w:p>
      <w:pPr>
        <w:spacing w:after="0" w:line="480"/>
        <w:jc w:val="left"/>
      </w:pPr>
      <w:r>
        <w:rPr>
          <w:rFonts w:ascii="Times New Roman" w:cs="Times New Roman" w:eastAsia="Times New Roman" w:hAnsi="Times New Roman"/>
          <w:sz w:val="24"/>
          <w:szCs w:val="24"/>
        </w:rPr>
        <w:t xml:space="preserve">Learning management systems (LMS) such as Moodle, Canvas and Blackboard now support course delivery, assessment and communication at scale, and their use grew substantially when teaching moved online during the COVID-19 pandemic, increasing the volume of behavioural data available for analysis </w:t>
      </w:r>
      <w:sdt>
        <w:sdtPr>
          <w:rPr>
            <w:rFonts w:ascii="Times New Roman" w:cs="Times New Roman" w:eastAsia="Times New Roman" w:hAnsi="Times New Roman"/>
            <w:sz w:val="24"/>
            <w:szCs w:val="24"/>
          </w:rPr>
          <w:tag w:val="MENDELEY_CITATION_v3_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"/>
          <w:id w:val="695425565"/>
        </w:sdtPr>
        <w:sdtContent>
          <w:r>
            <w:rPr>
              <w:rFonts w:ascii="Times New Roman" w:cs="Times New Roman" w:eastAsia="Times New Roman" w:hAnsi="Times New Roman"/>
              <w:sz w:val="24"/>
              <w:szCs w:val="24"/>
            </w:rPr>
            <w:t xml:space="preserve">(Rebelo Marcolino et al., 2025)</w:t>
          </w:r>
        </w:sdtContent>
      </w:sdt>
      <w:r>
        <w:rPr>
          <w:rFonts w:ascii="Times New Roman" w:cs="Times New Roman" w:eastAsia="Times New Roman" w:hAnsi="Times New Roman"/>
          <w:sz w:val="24"/>
          <w:szCs w:val="24"/>
        </w:rPr>
        <w:t xml:space="preserve">. Learning analytics, defined as the measurement, collection, analysis and reporting of data about learners and their contexts to understand and optimise learning </w:t>
      </w:r>
      <w:sdt>
        <w:sdtPr>
          <w:rPr>
            <w:rFonts w:ascii="Times New Roman" w:cs="Times New Roman" w:eastAsia="Times New Roman" w:hAnsi="Times New Roman"/>
            <w:sz w:val="24"/>
            <w:szCs w:val="24"/>
          </w:rPr>
          <w:tag w:val="MENDELEY_CITATION_v3_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"/>
          <w:id w:val="2035525363"/>
        </w:sdtPr>
        <w:sdtContent>
          <w:r>
            <w:rPr>
              <w:rFonts w:ascii="Times New Roman" w:cs="Times New Roman" w:eastAsia="Times New Roman" w:hAnsi="Times New Roman"/>
              <w:sz w:val="24"/>
              <w:szCs w:val="24"/>
            </w:rPr>
            <w:t xml:space="preserve">(Siemens &amp; Long, 2011)</w:t>
          </w:r>
        </w:sdtContent>
      </w:sdt>
      <w:r>
        <w:rPr>
          <w:rFonts w:ascii="Times New Roman" w:cs="Times New Roman" w:eastAsia="Times New Roman" w:hAnsi="Times New Roman"/>
          <w:sz w:val="24"/>
          <w:szCs w:val="24"/>
        </w:rPr>
        <w:t xml:space="preserve">, has used these data to identify students at risk of failing or withdrawing early enough for staff to intervene </w:t>
      </w:r>
      <w:sdt>
        <w:sdtPr>
          <w:rPr>
            <w:rFonts w:ascii="Times New Roman" w:cs="Times New Roman" w:eastAsia="Times New Roman" w:hAnsi="Times New Roman"/>
            <w:sz w:val="24"/>
            <w:szCs w:val="24"/>
          </w:rPr>
          <w:tag w:val="MENDELEY_CITATION_v3_eyJjaXRhdGlvbklEIjogIk1FTkRFTEVZX0NJVEFUSU9OXzU2NjhjNmNhLTVkOGEtNTE2NS04OWZkLThkODgwOGNjNDE5OSIsICJwcm9wZXJ0aWVzIjogeyJub3RlSW5kZXgiOiAwfSwgImlzRWRpdGVkIjogZmFsc2UsICJtYW51YWxPdmVycmlkZSI6IHsiaXNNYW51YWxseU92ZXJyaWRkZW4iOiBmYWxzZSwgImNpdGVwcm9jVGV4dCI6ICIoSmluIGV0IGFsLiwgMjAyNDsgS3V6aWxlayBldCBhbC4sIDIwMTcpIiwgIm1hbnVhbE92ZXJyaWRlVGV4dCI6ICIifSwgImNpdGF0aW9uSXRlbXMiOiBb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"/>
          <w:id w:val="323946140"/>
        </w:sdtPr>
        <w:sdtContent>
          <w:r>
            <w:rPr>
              <w:rFonts w:ascii="Times New Roman" w:cs="Times New Roman" w:eastAsia="Times New Roman" w:hAnsi="Times New Roman"/>
              <w:sz w:val="24"/>
              <w:szCs w:val="24"/>
            </w:rPr>
            <w:t xml:space="preserve">(Jin et al., 2024; Kuzilek et al., 2017)</w:t>
          </w:r>
        </w:sdtContent>
      </w:sdt>
      <w:r>
        <w:rPr>
          <w:rFonts w:ascii="Times New Roman" w:cs="Times New Roman" w:eastAsia="Times New Roman" w:hAnsi="Times New Roman"/>
          <w:sz w:val="24"/>
          <w:szCs w:val="24"/>
        </w:rPr>
        <w:t xml:space="preserve">. The Open University Learning Analytics Dataset (OULAD), which records 32,593 student-module-presentation observations across 22 module presentations </w:t>
      </w:r>
      <w:sdt>
        <w:sdtPr>
          <w:rPr>
            <w:rFonts w:ascii="Times New Roman" w:cs="Times New Roman" w:eastAsia="Times New Roman" w:hAnsi="Times New Roman"/>
            <w:sz w:val="24"/>
            <w:szCs w:val="24"/>
          </w:rPr>
          <w:tag w:val="MENDELEY_CITATION_v3_eyJjaXRhdGlvbklEIjogIk1FTkRFTEVZX0NJVEFUSU9OXzYxMWJiNTQ1LTQ2ZDUtNWVjZC1iZmE5LWNkYzUwZDdhMmM3MC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847877000"/>
        </w:sdtPr>
        <w:sdtContent>
          <w:r>
            <w:rPr>
              <w:rFonts w:ascii="Times New Roman" w:cs="Times New Roman" w:eastAsia="Times New Roman" w:hAnsi="Times New Roman"/>
              <w:sz w:val="24"/>
              <w:szCs w:val="24"/>
            </w:rPr>
            <w:t xml:space="preserve">(Kuzilek et al., 2017)</w:t>
          </w:r>
        </w:sdtContent>
      </w:sdt>
      <w:r>
        <w:rPr>
          <w:rFonts w:ascii="Times New Roman" w:cs="Times New Roman" w:eastAsia="Times New Roman" w:hAnsi="Times New Roman"/>
          <w:sz w:val="24"/>
          <w:szCs w:val="24"/>
        </w:rPr>
        <w:t xml:space="preserve">, has become one of the most widely used benchmarks for this work </w:t>
      </w:r>
      <w:sdt>
        <w:sdtPr>
          <w:rPr>
            <w:rFonts w:ascii="Times New Roman" w:cs="Times New Roman" w:eastAsia="Times New Roman" w:hAnsi="Times New Roman"/>
            <w:sz w:val="24"/>
            <w:szCs w:val="24"/>
          </w:rPr>
          <w:tag w:val="MENDELEY_CITATION_v3_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LCB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V9XX0="/>
          <w:id w:val="1397871145"/>
        </w:sdtPr>
        <w:sdtContent>
          <w:r>
            <w:rPr>
              <w:rFonts w:ascii="Times New Roman" w:cs="Times New Roman" w:eastAsia="Times New Roman" w:hAnsi="Times New Roman"/>
              <w:sz w:val="24"/>
              <w:szCs w:val="24"/>
            </w:rPr>
            <w:t xml:space="preserve">(Gunasekara &amp; Saarela, 2025; Jin et al., 2024; Wang, 2025)</w:t>
          </w:r>
        </w:sdtContent>
      </w:sdt>
      <w:r>
        <w:rPr>
          <w:rFonts w:ascii="Times New Roman" w:cs="Times New Roman" w:eastAsia="Times New Roman" w:hAnsi="Times New Roman"/>
          <w:sz w:val="24"/>
          <w:szCs w:val="24"/>
        </w:rPr>
        <w:t xml:space="preserve">.</w:t>
      </w:r>
    </w:p>
    <w:p>
      <w:pPr>
        <w:spacing w:after="0" w:line="480"/>
        <w:ind w:firstLine="567"/>
        <w:jc w:val="left"/>
      </w:pPr>
      <w:r>
        <w:rPr>
          <w:rFonts w:ascii="Times New Roman" w:cs="Times New Roman" w:eastAsia="Times New Roman" w:hAnsi="Times New Roman"/>
          <w:sz w:val="24"/>
          <w:szCs w:val="24"/>
        </w:rPr>
        <w:t xml:space="preserve">Predictive accuracy on such benchmarks is now high, but less attention has been given to what happens after a student is flagged. Many prediction systems generate risk scores without explaining the reasoning behind them, leaving staff without enough context to decide whether and how to act </w:t>
      </w:r>
      <w:sdt>
        <w:sdtPr>
          <w:rPr>
            <w:rFonts w:ascii="Times New Roman" w:cs="Times New Roman" w:eastAsia="Times New Roman" w:hAnsi="Times New Roman"/>
            <w:sz w:val="24"/>
            <w:szCs w:val="24"/>
          </w:rPr>
          <w:tag w:val="MENDELEY_CITATION_v3_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"/>
          <w:id w:val="103694313"/>
        </w:sdtPr>
        <w:sdtContent>
          <w:r>
            <w:rPr>
              <w:rFonts w:ascii="Times New Roman" w:cs="Times New Roman" w:eastAsia="Times New Roman" w:hAnsi="Times New Roman"/>
              <w:sz w:val="24"/>
              <w:szCs w:val="24"/>
            </w:rPr>
            <w:t xml:space="preserve">(Susnjak et al., 2022)</w:t>
          </w:r>
        </w:sdtContent>
      </w:sdt>
      <w:r>
        <w:rPr>
          <w:rFonts w:ascii="Times New Roman" w:cs="Times New Roman" w:eastAsia="Times New Roman" w:hAnsi="Times New Roman"/>
          <w:sz w:val="24"/>
          <w:szCs w:val="24"/>
        </w:rPr>
        <w:t xml:space="preserve">. Explainable AI (XAI) techniques such as SHapley Additive exPlanations (SHAP) and Local Interpretable Model-agnostic Explanations (LIME) can attribute a prediction to the features that drove it, yet their integration into working learning analytics dashboards remains limited </w:t>
      </w:r>
      <w:sdt>
        <w:sdtPr>
          <w:rPr>
            <w:rFonts w:ascii="Times New Roman" w:cs="Times New Roman" w:eastAsia="Times New Roman" w:hAnsi="Times New Roman"/>
            <w:sz w:val="24"/>
            <w:szCs w:val="24"/>
          </w:rPr>
          <w:tag w:val="MENDELEY_CITATION_v3_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"/>
          <w:id w:val="155555738"/>
        </w:sdtPr>
        <w:sdtContent>
          <w:r>
            <w:rPr>
              <w:rFonts w:ascii="Times New Roman" w:cs="Times New Roman" w:eastAsia="Times New Roman" w:hAnsi="Times New Roman"/>
              <w:sz w:val="24"/>
              <w:szCs w:val="24"/>
            </w:rPr>
            <w:t xml:space="preserve">(Ahmed et al., 2025; Ali et al., 2023)</w:t>
          </w:r>
        </w:sdtContent>
      </w:sdt>
      <w:r>
        <w:rPr>
          <w:rFonts w:ascii="Times New Roman" w:cs="Times New Roman" w:eastAsia="Times New Roman" w:hAnsi="Times New Roman"/>
          <w:sz w:val="24"/>
          <w:szCs w:val="24"/>
        </w:rPr>
        <w:t xml:space="preserve">. A further problem is that institutional stakeholders need different kinds of explanation from the same model: an instructor monitoring a running course does not need the same view as an administrator reviewing withdrawal across a cohort </w:t>
      </w:r>
      <w:sdt>
        <w:sdtPr>
          <w:rPr>
            <w:rFonts w:ascii="Times New Roman" w:cs="Times New Roman" w:eastAsia="Times New Roman" w:hAnsi="Times New Roman"/>
            <w:sz w:val="24"/>
            <w:szCs w:val="24"/>
          </w:rPr>
          <w:tag w:val="MENDELEY_CITATION_v3_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"/>
          <w:id w:val="1763673107"/>
        </w:sdtPr>
        <w:sdtContent>
          <w:r>
            <w:rPr>
              <w:rFonts w:ascii="Times New Roman" w:cs="Times New Roman" w:eastAsia="Times New Roman" w:hAnsi="Times New Roman"/>
              <w:sz w:val="24"/>
              <w:szCs w:val="24"/>
            </w:rPr>
            <w:t xml:space="preserve">(Kostopoulos et al., 2024)</w:t>
          </w:r>
        </w:sdtContent>
      </w:sdt>
      <w:r>
        <w:rPr>
          <w:rFonts w:ascii="Times New Roman" w:cs="Times New Roman" w:eastAsia="Times New Roman" w:hAnsi="Times New Roman"/>
          <w:sz w:val="24"/>
          <w:szCs w:val="24"/>
        </w:rPr>
        <w:t xml:space="preserve">. The literature suggests that explanations should reflect the recipient’s role and expertise </w:t>
      </w:r>
      <w:sdt>
        <w:sdtPr>
          <w:rPr>
            <w:rFonts w:ascii="Times New Roman" w:cs="Times New Roman" w:eastAsia="Times New Roman" w:hAnsi="Times New Roman"/>
            <w:sz w:val="24"/>
            <w:szCs w:val="24"/>
          </w:rPr>
          <w:tag w:val="MENDELEY_CITATION_v3_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"/>
          <w:id w:val="1150797846"/>
        </w:sdtPr>
        <w:sdtContent>
          <w:r>
            <w:rPr>
              <w:rFonts w:ascii="Times New Roman" w:cs="Times New Roman" w:eastAsia="Times New Roman" w:hAnsi="Times New Roman"/>
              <w:sz w:val="24"/>
              <w:szCs w:val="24"/>
            </w:rPr>
            <w:t xml:space="preserve">(Haque et al., 2023; Kostopoulos et al., 2024)</w:t>
          </w:r>
        </w:sdtContent>
      </w:sdt>
      <w:r>
        <w:rPr>
          <w:rFonts w:ascii="Times New Roman" w:cs="Times New Roman" w:eastAsia="Times New Roman" w:hAnsi="Times New Roman"/>
          <w:sz w:val="24"/>
          <w:szCs w:val="24"/>
        </w:rPr>
        <w:t xml:space="preserve">, but the reviewed studies did not identify a dashboard that delivers role-specific explanations to several staff roles from a single prediction system </w:t>
      </w:r>
      <w:sdt>
        <w:sdtPr>
          <w:rPr>
            <w:rFonts w:ascii="Times New Roman" w:cs="Times New Roman" w:eastAsia="Times New Roman" w:hAnsi="Times New Roman"/>
            <w:sz w:val="24"/>
            <w:szCs w:val="24"/>
          </w:rPr>
          <w:tag w:val="MENDELEY_CITATION_v3_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"/>
          <w:id w:val="202142729"/>
        </w:sdtPr>
        <w:sdtContent>
          <w:r>
            <w:rPr>
              <w:rFonts w:ascii="Times New Roman" w:cs="Times New Roman" w:eastAsia="Times New Roman" w:hAnsi="Times New Roman"/>
              <w:sz w:val="24"/>
              <w:szCs w:val="24"/>
            </w:rPr>
            <w:t xml:space="preserve">(Afzaal et al., 2021; Cabral et al., 2025; Kaliisa et al., 2023; Susnjak et al., 2022)</w:t>
          </w:r>
        </w:sdtContent>
      </w:sdt>
      <w:r>
        <w:rPr>
          <w:rFonts w:ascii="Times New Roman" w:cs="Times New Roman" w:eastAsia="Times New Roman" w:hAnsi="Times New Roman"/>
          <w:sz w:val="24"/>
          <w:szCs w:val="24"/>
        </w:rPr>
        <w:t xml:space="preserve">.</w:t>
      </w:r>
    </w:p>
    <w:p>
      <w:pPr>
        <w:spacing w:after="0" w:line="480"/>
        <w:ind w:firstLine="567"/>
        <w:jc w:val="left"/>
      </w:pPr>
      <w:r>
        <w:rPr>
          <w:rFonts w:ascii="Times New Roman" w:cs="Times New Roman" w:eastAsia="Times New Roman" w:hAnsi="Times New Roman"/>
          <w:sz w:val="24"/>
          <w:szCs w:val="24"/>
        </w:rPr>
        <w:t xml:space="preserve">This study treats the problem as both a design problem and a technical one. It designs, implements and technically evaluates a role-aware XAI dashboard for at-risk student classification, guided by the CommonKADS knowledge engineering methodology </w:t>
      </w:r>
      <w:sdt>
        <w:sdtPr>
          <w:rPr>
            <w:rFonts w:ascii="Times New Roman" w:cs="Times New Roman" w:eastAsia="Times New Roman" w:hAnsi="Times New Roman"/>
            <w:sz w:val="24"/>
            <w:szCs w:val="24"/>
          </w:rPr>
          <w:tag w:val="MENDELEY_CITATION_v3_eyJjaXRhdGlvbklEIjogIk1FTkRFTEVZX0NJVEFUSU9OXzBmOGRhNDlmLTM1NDgtNTY5ZC1iOTllLTg5YTE2ODhiYmYxOCIsICJwcm9wZXJ0aWVzIjogeyJub3RlSW5kZXgiOiAwfSwgImlzRWRpdGVkIjogZmFsc2UsICJtYW51YWxPdmVycmlkZSI6IHsiaXNNYW51YWxseU92ZXJyaWRkZW4iOiBmYWxzZSwgImNpdGVwcm9jVGV4dCI6ICIoU2NocmVpYmVyIGV0IGFsLiwg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V9XX0="/>
          <w:id w:val="785310973"/>
        </w:sdtPr>
        <w:sdtContent>
          <w:r>
            <w:rPr>
              <w:rFonts w:ascii="Times New Roman" w:cs="Times New Roman" w:eastAsia="Times New Roman" w:hAnsi="Times New Roman"/>
              <w:sz w:val="24"/>
              <w:szCs w:val="24"/>
            </w:rPr>
            <w:t xml:space="preserve">(Schreiber et al., 2000)</w:t>
          </w:r>
        </w:sdtContent>
      </w:sdt>
      <w:r>
        <w:rPr>
          <w:rFonts w:ascii="Times New Roman" w:cs="Times New Roman" w:eastAsia="Times New Roman" w:hAnsi="Times New Roman"/>
          <w:sz w:val="24"/>
          <w:szCs w:val="24"/>
        </w:rPr>
        <w:t xml:space="preserve">, and asks three research questions:</w:t>
      </w:r>
    </w:p>
    <w:p>
      <w:pPr>
        <w:pStyle w:val="ListParagraph"/>
        <w:numPr>
          <w:ilvl w:val="0"/>
          <w:numId w:val="2"/>
        </w:numPr>
        <w:spacing w:line="480"/>
      </w:pPr>
      <w:r>
        <w:rPr>
          <w:rFonts w:ascii="Times New Roman" w:cs="Times New Roman" w:eastAsia="Times New Roman" w:hAnsi="Times New Roman"/>
          <w:sz w:val="24"/>
          <w:szCs w:val="24"/>
        </w:rPr>
        <w:t xml:space="preserve">RQ1. How can SHAP and LIME be integrated into a knowledge engineering pipeline to improve transparency in student at-risk prediction models?</w:t>
      </w:r>
    </w:p>
    <w:p>
      <w:pPr>
        <w:pStyle w:val="ListParagraph"/>
        <w:numPr>
          <w:ilvl w:val="0"/>
          <w:numId w:val="2"/>
        </w:numPr>
        <w:spacing w:line="480"/>
      </w:pPr>
      <w:r>
        <w:rPr>
          <w:rFonts w:ascii="Times New Roman" w:cs="Times New Roman" w:eastAsia="Times New Roman" w:hAnsi="Times New Roman"/>
          <w:sz w:val="24"/>
          <w:szCs w:val="24"/>
        </w:rPr>
        <w:t xml:space="preserve">RQ2. What dashboard features and explanation structures, based on the CommonKADS Agent Model and the learning analytics dashboard literature, can be specified to support the different information needs of instructors, advisors and administrators within an LMS?</w:t>
      </w:r>
    </w:p>
    <w:p>
      <w:pPr>
        <w:pStyle w:val="ListParagraph"/>
        <w:numPr>
          <w:ilvl w:val="0"/>
          <w:numId w:val="2"/>
        </w:numPr>
        <w:spacing w:line="480"/>
      </w:pPr>
      <w:r>
        <w:rPr>
          <w:rFonts w:ascii="Times New Roman" w:cs="Times New Roman" w:eastAsia="Times New Roman" w:hAnsi="Times New Roman"/>
          <w:sz w:val="24"/>
          <w:szCs w:val="24"/>
        </w:rPr>
        <w:t xml:space="preserve">RQ3. What do the predictive performance and explainability findings indicate about the technical potential of the role-aware dashboard to support practitioner interpretation and decision-making?</w:t>
      </w:r>
    </w:p>
    <w:p>
      <w:pPr>
        <w:spacing w:after="0" w:line="480"/>
        <w:ind w:firstLine="567"/>
        <w:jc w:val="left"/>
      </w:pPr>
      <w:r>
        <w:rPr>
          <w:rFonts w:ascii="Times New Roman" w:cs="Times New Roman" w:eastAsia="Times New Roman" w:hAnsi="Times New Roman"/>
          <w:sz w:val="24"/>
          <w:szCs w:val="24"/>
        </w:rPr>
        <w:t xml:space="preserve">The study makes four contributions: (1) an implemented role-aware XAI dashboard architecture that differentiates SHAP and LIME explanations across instructor, advisor and administrator views of one LMS-integrated prediction system; (2) a documented ensemble model evaluated on OULAD under a protocol that holds out entire course presentations; (3) technical evidence on the agreement and divergence of SHAP and LIME on a real educational dataset; and (4) candidate design guidelines for explainable learning analytics dashboards, derived from the CommonKADS models and the implemented system. The evaluation is technical and uses secondary data only. Findings are therefore reported at three levels of evidence: properties demonstrated by measurement, properties supported by the design but not tested with users, and properties not empirically established.</w:t>
      </w:r>
    </w:p>
    <w:p>
      <w:pPr>
        <w:keepNext/>
        <w:spacing w:after="0" w:before="240" w:line="480"/>
      </w:pPr>
      <w:r>
        <w:rPr>
          <w:rFonts w:ascii="Times New Roman" w:cs="Times New Roman" w:eastAsia="Times New Roman" w:hAnsi="Times New Roman"/>
          <w:b/>
          <w:bCs/>
          <w:sz w:val="24"/>
          <w:szCs w:val="24"/>
        </w:rPr>
        <w:t xml:space="preserve">2. Related work</w:t>
      </w:r>
    </w:p>
    <w:p>
      <w:pPr>
        <w:keepNext/>
        <w:spacing w:after="0" w:before="120" w:line="480"/>
      </w:pPr>
      <w:r>
        <w:rPr>
          <w:rFonts w:ascii="Times New Roman" w:cs="Times New Roman" w:eastAsia="Times New Roman" w:hAnsi="Times New Roman"/>
          <w:i/>
          <w:iCs/>
          <w:sz w:val="24"/>
          <w:szCs w:val="24"/>
        </w:rPr>
        <w:t xml:space="preserve">2.1. At-risk prediction and evaluation protocols</w:t>
      </w:r>
    </w:p>
    <w:p>
      <w:pPr>
        <w:spacing w:after="0" w:line="480"/>
        <w:jc w:val="left"/>
      </w:pPr>
      <w:r>
        <w:rPr>
          <w:rFonts w:ascii="Times New Roman" w:cs="Times New Roman" w:eastAsia="Times New Roman" w:hAnsi="Times New Roman"/>
          <w:sz w:val="24"/>
          <w:szCs w:val="24"/>
        </w:rPr>
        <w:t xml:space="preserve">Research on at-risk prediction spans logistic regression, decision trees, ensembles and deep learning. In a systematic review of OULAD studies, </w:t>
      </w:r>
      <w:r>
        <w:rPr>
          <w:rFonts w:ascii="Times New Roman" w:cs="Times New Roman" w:eastAsia="Times New Roman" w:hAnsi="Times New Roman"/>
          <w:sz w:val="24"/>
          <w:szCs w:val="24"/>
        </w:rPr>
        <w:t xml:space="preserve">Jin et al. </w:t>
      </w:r>
      <w:sdt>
        <w:sdtPr>
          <w:rPr>
            <w:rFonts w:ascii="Times New Roman" w:cs="Times New Roman" w:eastAsia="Times New Roman" w:hAnsi="Times New Roman"/>
            <w:sz w:val="24"/>
            <w:szCs w:val="24"/>
          </w:rPr>
          <w:tag w:val="MENDELEY_CITATION_v3_eyJjaXRhdGlvbklEIjogIk1FTkRFTEVZX0NJVEFUSU9OX2Q5ODI3ZDdlLTg2MjItNTU5Mi05OWNjLTNhYjg4NzMxNmI2ZC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1251527727"/>
        </w:sdtPr>
        <w:sdtContent>
          <w:r>
            <w:rPr>
              <w:rFonts w:ascii="Times New Roman" w:cs="Times New Roman" w:eastAsia="Times New Roman" w:hAnsi="Times New Roman"/>
              <w:sz w:val="24"/>
              <w:szCs w:val="24"/>
            </w:rPr>
            <w:t xml:space="preserve">(2024)</w:t>
          </w:r>
        </w:sdtContent>
      </w:sdt>
      <w:r>
        <w:rPr>
          <w:rFonts w:ascii="Times New Roman" w:cs="Times New Roman" w:eastAsia="Times New Roman" w:hAnsi="Times New Roman"/>
          <w:sz w:val="24"/>
          <w:szCs w:val="24"/>
        </w:rPr>
        <w:t xml:space="preserve"> found that ensemble methods, particularly gradient boosting variants and random forests, are common and typically outperform simpler classifiers, while practitioner-facing aspects receive little attention. Reported accuracies can be very high: </w:t>
      </w:r>
      <w:r>
        <w:rPr>
          <w:rFonts w:ascii="Times New Roman" w:cs="Times New Roman" w:eastAsia="Times New Roman" w:hAnsi="Times New Roman"/>
          <w:sz w:val="24"/>
          <w:szCs w:val="24"/>
        </w:rPr>
        <w:t xml:space="preserve">Wang </w:t>
      </w:r>
      <w:sdt>
        <w:sdtPr>
          <w:rPr>
            <w:rFonts w:ascii="Times New Roman" w:cs="Times New Roman" w:eastAsia="Times New Roman" w:hAnsi="Times New Roman"/>
            <w:sz w:val="24"/>
            <w:szCs w:val="24"/>
          </w:rPr>
          <w:tag w:val="MENDELEY_CITATION_v3_eyJjaXRhdGlvbklEIjogIk1FTkRFTEVZX0NJVEFUSU9OXzNkZTAzNGUwLWI2NzMtNWU0My05ZDc3LTM3MDQxYWM2Y2QxMCIsICJwcm9wZXJ0aWVzIjogeyJub3RlSW5kZXgiOiAwfSwgImlzRWRpdGVkIjogZmFsc2UsICJtYW51YWxPdmVycmlkZSI6IHsiaXNNYW51YWxseU92ZXJyaWRkZW4iOiBmYWxzZSwgImNpdGVwcm9jVGV4dCI6ICIoMjAyNSkiLCAibWFudWFsT3ZlcnJpZGVUZXh0IjogIiJ9LCAiY2l0YXRpb25JdGVtcyI6IFt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UsICJzdXBwcmVzcy1hdXRob3IiOiB0cnVlfV19"/>
          <w:id w:val="124551739"/>
        </w:sdtPr>
        <w:sdtContent>
          <w:r>
            <w:rPr>
              <w:rFonts w:ascii="Times New Roman" w:cs="Times New Roman" w:eastAsia="Times New Roman" w:hAnsi="Times New Roman"/>
              <w:sz w:val="24"/>
              <w:szCs w:val="24"/>
            </w:rPr>
            <w:t xml:space="preserve">(2025)</w:t>
          </w:r>
        </w:sdtContent>
      </w:sdt>
      <w:r>
        <w:rPr>
          <w:rFonts w:ascii="Times New Roman" w:cs="Times New Roman" w:eastAsia="Times New Roman" w:hAnsi="Times New Roman"/>
          <w:sz w:val="24"/>
          <w:szCs w:val="24"/>
        </w:rPr>
        <w:t xml:space="preserve"> reports 96.9% accuracy on OULAD for a hybrid ensemble, and </w:t>
      </w:r>
      <w:r>
        <w:rPr>
          <w:rFonts w:ascii="Times New Roman" w:cs="Times New Roman" w:eastAsia="Times New Roman" w:hAnsi="Times New Roman"/>
          <w:sz w:val="24"/>
          <w:szCs w:val="24"/>
        </w:rPr>
        <w:t xml:space="preserve">Rebelo Marcolino et al. </w:t>
      </w:r>
      <w:sdt>
        <w:sdtPr>
          <w:rPr>
            <w:rFonts w:ascii="Times New Roman" w:cs="Times New Roman" w:eastAsia="Times New Roman" w:hAnsi="Times New Roman"/>
            <w:sz w:val="24"/>
            <w:szCs w:val="24"/>
          </w:rPr>
          <w:tag w:val="MENDELEY_CITATION_v3_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"/>
          <w:id w:val="1953574603"/>
        </w:sdtPr>
        <w:sdtContent>
          <w:r>
            <w:rPr>
              <w:rFonts w:ascii="Times New Roman" w:cs="Times New Roman" w:eastAsia="Times New Roman" w:hAnsi="Times New Roman"/>
              <w:sz w:val="24"/>
              <w:szCs w:val="24"/>
            </w:rPr>
            <w:t xml:space="preserve">(2025)</w:t>
          </w:r>
        </w:sdtContent>
      </w:sdt>
      <w:r>
        <w:rPr>
          <w:rFonts w:ascii="Times New Roman" w:cs="Times New Roman" w:eastAsia="Times New Roman" w:hAnsi="Times New Roman"/>
          <w:sz w:val="24"/>
          <w:szCs w:val="24"/>
        </w:rPr>
        <w:t xml:space="preserve"> report strong dropout prediction on Moodle logs using CatBoost with multi-objective optimisation. </w:t>
      </w:r>
      <w:r>
        <w:rPr>
          <w:rFonts w:ascii="Times New Roman" w:cs="Times New Roman" w:eastAsia="Times New Roman" w:hAnsi="Times New Roman"/>
          <w:sz w:val="24"/>
          <w:szCs w:val="24"/>
        </w:rPr>
        <w:t xml:space="preserve">Guevara-Reyes et al. </w:t>
      </w:r>
      <w:sdt>
        <w:sdtPr>
          <w:rPr>
            <w:rFonts w:ascii="Times New Roman" w:cs="Times New Roman" w:eastAsia="Times New Roman" w:hAnsi="Times New Roman"/>
            <w:sz w:val="24"/>
            <w:szCs w:val="24"/>
          </w:rPr>
          <w:tag w:val="MENDELEY_CITATION_v3_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"/>
          <w:id w:val="1089709947"/>
        </w:sdtPr>
        <w:sdtContent>
          <w:r>
            <w:rPr>
              <w:rFonts w:ascii="Times New Roman" w:cs="Times New Roman" w:eastAsia="Times New Roman" w:hAnsi="Times New Roman"/>
              <w:sz w:val="24"/>
              <w:szCs w:val="24"/>
            </w:rPr>
            <w:t xml:space="preserve">(2025)</w:t>
          </w:r>
        </w:sdtContent>
      </w:sdt>
      <w:r>
        <w:rPr>
          <w:rFonts w:ascii="Times New Roman" w:cs="Times New Roman" w:eastAsia="Times New Roman" w:hAnsi="Times New Roman"/>
          <w:sz w:val="24"/>
          <w:szCs w:val="24"/>
        </w:rPr>
        <w:t xml:space="preserve"> show that more complex ensembles gain accuracy at the cost of intrinsic interpretability. Engagement-based features tend to outperform static demographic ones </w:t>
      </w:r>
      <w:sdt>
        <w:sdtPr>
          <w:rPr>
            <w:rFonts w:ascii="Times New Roman" w:cs="Times New Roman" w:eastAsia="Times New Roman" w:hAnsi="Times New Roman"/>
            <w:sz w:val="24"/>
            <w:szCs w:val="24"/>
          </w:rPr>
          <w:tag w:val="MENDELEY_CITATION_v3_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"/>
          <w:id w:val="461060839"/>
        </w:sdtPr>
        <w:sdtContent>
          <w:r>
            <w:rPr>
              <w:rFonts w:ascii="Times New Roman" w:cs="Times New Roman" w:eastAsia="Times New Roman" w:hAnsi="Times New Roman"/>
              <w:sz w:val="24"/>
              <w:szCs w:val="24"/>
            </w:rPr>
            <w:t xml:space="preserve">(Hussain et al., 2018)</w:t>
          </w:r>
        </w:sdtContent>
      </w:sdt>
      <w:r>
        <w:rPr>
          <w:rFonts w:ascii="Times New Roman" w:cs="Times New Roman" w:eastAsia="Times New Roman" w:hAnsi="Times New Roman"/>
          <w:sz w:val="24"/>
          <w:szCs w:val="24"/>
        </w:rPr>
        <w:t xml:space="preserve">, useful predictions can be made after a fraction of a course has elapsed </w:t>
      </w:r>
      <w:sdt>
        <w:sdtPr>
          <w:rPr>
            <w:rFonts w:ascii="Times New Roman" w:cs="Times New Roman" w:eastAsia="Times New Roman" w:hAnsi="Times New Roman"/>
            <w:sz w:val="24"/>
            <w:szCs w:val="24"/>
          </w:rPr>
          <w:tag w:val="MENDELEY_CITATION_v3_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"/>
          <w:id w:val="80521325"/>
        </w:sdtPr>
        <w:sdtContent>
          <w:r>
            <w:rPr>
              <w:rFonts w:ascii="Times New Roman" w:cs="Times New Roman" w:eastAsia="Times New Roman" w:hAnsi="Times New Roman"/>
              <w:sz w:val="24"/>
              <w:szCs w:val="24"/>
            </w:rPr>
            <w:t xml:space="preserve">(Adnan et al., 2021)</w:t>
          </w:r>
        </w:sdtContent>
      </w:sdt>
      <w:r>
        <w:rPr>
          <w:rFonts w:ascii="Times New Roman" w:cs="Times New Roman" w:eastAsia="Times New Roman" w:hAnsi="Times New Roman"/>
          <w:sz w:val="24"/>
          <w:szCs w:val="24"/>
        </w:rPr>
        <w:t xml:space="preserve">, and deadline-anchored activity windows have been reported to give stronger early-warning signals on OULAD than calendar windows </w:t>
      </w:r>
      <w:sdt>
        <w:sdtPr>
          <w:rPr>
            <w:rFonts w:ascii="Times New Roman" w:cs="Times New Roman" w:eastAsia="Times New Roman" w:hAnsi="Times New Roman"/>
            <w:sz w:val="24"/>
            <w:szCs w:val="24"/>
          </w:rPr>
          <w:tag w:val="MENDELEY_CITATION_v3_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"/>
          <w:id w:val="184570286"/>
        </w:sdtPr>
        <w:sdtContent>
          <w:r>
            <w:rPr>
              <w:rFonts w:ascii="Times New Roman" w:cs="Times New Roman" w:eastAsia="Times New Roman" w:hAnsi="Times New Roman"/>
              <w:sz w:val="24"/>
              <w:szCs w:val="24"/>
            </w:rPr>
            <w:t xml:space="preserve">(Hlosta et al., 2017)</w:t>
          </w:r>
        </w:sdtContent>
      </w:sdt>
      <w:r>
        <w:rPr>
          <w:rFonts w:ascii="Times New Roman" w:cs="Times New Roman" w:eastAsia="Times New Roman" w:hAnsi="Times New Roman"/>
          <w:sz w:val="24"/>
          <w:szCs w:val="24"/>
        </w:rPr>
        <w:t xml:space="preserve">.</w:t>
      </w:r>
    </w:p>
    <w:p>
      <w:pPr>
        <w:spacing w:after="0" w:line="480"/>
        <w:ind w:firstLine="567"/>
        <w:jc w:val="left"/>
      </w:pPr>
      <w:r>
        <w:rPr>
          <w:rFonts w:ascii="Times New Roman" w:cs="Times New Roman" w:eastAsia="Times New Roman" w:hAnsi="Times New Roman"/>
          <w:sz w:val="24"/>
          <w:szCs w:val="24"/>
        </w:rPr>
        <w:t xml:space="preserve">Reported figures depend strongly on the evaluation protocol. </w:t>
      </w:r>
      <w:r>
        <w:rPr>
          <w:rFonts w:ascii="Times New Roman" w:cs="Times New Roman" w:eastAsia="Times New Roman" w:hAnsi="Times New Roman"/>
          <w:sz w:val="24"/>
          <w:szCs w:val="24"/>
        </w:rPr>
        <w:t xml:space="preserve">Jin et al. </w:t>
      </w:r>
      <w:sdt>
        <w:sdtPr>
          <w:rPr>
            <w:rFonts w:ascii="Times New Roman" w:cs="Times New Roman" w:eastAsia="Times New Roman" w:hAnsi="Times New Roman"/>
            <w:sz w:val="24"/>
            <w:szCs w:val="24"/>
          </w:rPr>
          <w:tag w:val="MENDELEY_CITATION_v3_eyJjaXRhdGlvbklEIjogIk1FTkRFTEVZX0NJVEFUSU9OX2RmMjYxYWE5LTU3NDgtNTEzNy1iM2ZiLTg1ZTcyZjNmMzgwNi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931247022"/>
        </w:sdtPr>
        <w:sdtContent>
          <w:r>
            <w:rPr>
              <w:rFonts w:ascii="Times New Roman" w:cs="Times New Roman" w:eastAsia="Times New Roman" w:hAnsi="Times New Roman"/>
              <w:sz w:val="24"/>
              <w:szCs w:val="24"/>
            </w:rPr>
            <w:t xml:space="preserve">(2024)</w:t>
          </w:r>
        </w:sdtContent>
      </w:sdt>
      <w:r>
        <w:rPr>
          <w:rFonts w:ascii="Times New Roman" w:cs="Times New Roman" w:eastAsia="Times New Roman" w:hAnsi="Times New Roman"/>
          <w:sz w:val="24"/>
          <w:szCs w:val="24"/>
        </w:rPr>
        <w:t xml:space="preserve"> note that protocols vary considerably across OULAD studies, </w:t>
      </w:r>
      <w:r>
        <w:rPr>
          <w:rFonts w:ascii="Times New Roman" w:cs="Times New Roman" w:eastAsia="Times New Roman" w:hAnsi="Times New Roman"/>
          <w:sz w:val="24"/>
          <w:szCs w:val="24"/>
        </w:rPr>
        <w:t xml:space="preserve">Krstajic et al. </w:t>
      </w:r>
      <w:sdt>
        <w:sdtPr>
          <w:rPr>
            <w:rFonts w:ascii="Times New Roman" w:cs="Times New Roman" w:eastAsia="Times New Roman" w:hAnsi="Times New Roman"/>
            <w:sz w:val="24"/>
            <w:szCs w:val="24"/>
          </w:rPr>
          <w:tag w:val="MENDELEY_CITATION_v3_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"/>
          <w:id w:val="898017870"/>
        </w:sdtPr>
        <w:sdtContent>
          <w:r>
            <w:rPr>
              <w:rFonts w:ascii="Times New Roman" w:cs="Times New Roman" w:eastAsia="Times New Roman" w:hAnsi="Times New Roman"/>
              <w:sz w:val="24"/>
              <w:szCs w:val="24"/>
            </w:rPr>
            <w:t xml:space="preserve">(2014)</w:t>
          </w:r>
        </w:sdtContent>
      </w:sdt>
      <w:r>
        <w:rPr>
          <w:rFonts w:ascii="Times New Roman" w:cs="Times New Roman" w:eastAsia="Times New Roman" w:hAnsi="Times New Roman"/>
          <w:sz w:val="24"/>
          <w:szCs w:val="24"/>
        </w:rPr>
        <w:t xml:space="preserve"> show that letting observations from the same higher-level unit appear in both training and validation folds produces optimistic estimates, and </w:t>
      </w:r>
      <w:r>
        <w:rPr>
          <w:rFonts w:ascii="Times New Roman" w:cs="Times New Roman" w:eastAsia="Times New Roman" w:hAnsi="Times New Roman"/>
          <w:sz w:val="24"/>
          <w:szCs w:val="24"/>
        </w:rPr>
        <w:t xml:space="preserve">Pelánek </w:t>
      </w:r>
      <w:sdt>
        <w:sdtPr>
          <w:rPr>
            <w:rFonts w:ascii="Times New Roman" w:cs="Times New Roman" w:eastAsia="Times New Roman" w:hAnsi="Times New Roman"/>
            <w:sz w:val="24"/>
            <w:szCs w:val="24"/>
          </w:rPr>
          <w:tag w:val="MENDELEY_CITATION_v3_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"/>
          <w:id w:val="150013384"/>
        </w:sdtPr>
        <w:sdtContent>
          <w:r>
            <w:rPr>
              <w:rFonts w:ascii="Times New Roman" w:cs="Times New Roman" w:eastAsia="Times New Roman" w:hAnsi="Times New Roman"/>
              <w:sz w:val="24"/>
              <w:szCs w:val="24"/>
            </w:rPr>
            <w:t xml:space="preserve">(2018)</w:t>
          </w:r>
        </w:sdtContent>
      </w:sdt>
      <w:r>
        <w:rPr>
          <w:rFonts w:ascii="Times New Roman" w:cs="Times New Roman" w:eastAsia="Times New Roman" w:hAnsi="Times New Roman"/>
          <w:sz w:val="24"/>
          <w:szCs w:val="24"/>
        </w:rPr>
        <w:t xml:space="preserve"> argues that cross-validation, filtering and metric choices materially change reported performance in student modelling independently of model quality. Fairness is a further concern: </w:t>
      </w:r>
      <w:r>
        <w:rPr>
          <w:rFonts w:ascii="Times New Roman" w:cs="Times New Roman" w:eastAsia="Times New Roman" w:hAnsi="Times New Roman"/>
          <w:sz w:val="24"/>
          <w:szCs w:val="24"/>
        </w:rPr>
        <w:t xml:space="preserve">Baker and Hawn </w:t>
      </w:r>
      <w:sdt>
        <w:sdtPr>
          <w:rPr>
            <w:rFonts w:ascii="Times New Roman" w:cs="Times New Roman" w:eastAsia="Times New Roman" w:hAnsi="Times New Roman"/>
            <w:sz w:val="24"/>
            <w:szCs w:val="24"/>
          </w:rPr>
          <w:tag w:val="MENDELEY_CITATION_v3_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"/>
          <w:id w:val="516819859"/>
        </w:sdtPr>
        <w:sdtContent>
          <w:r>
            <w:rPr>
              <w:rFonts w:ascii="Times New Roman" w:cs="Times New Roman" w:eastAsia="Times New Roman" w:hAnsi="Times New Roman"/>
              <w:sz w:val="24"/>
              <w:szCs w:val="24"/>
            </w:rPr>
            <w:t xml:space="preserve">(2022)</w:t>
          </w:r>
        </w:sdtContent>
      </w:sdt>
      <w:r>
        <w:rPr>
          <w:rFonts w:ascii="Times New Roman" w:cs="Times New Roman" w:eastAsia="Times New Roman" w:hAnsi="Times New Roman"/>
          <w:sz w:val="24"/>
          <w:szCs w:val="24"/>
        </w:rPr>
        <w:t xml:space="preserve"> document systematic performance disparities across demographic subgroups in educational models, and </w:t>
      </w:r>
      <w:r>
        <w:rPr>
          <w:rFonts w:ascii="Times New Roman" w:cs="Times New Roman" w:eastAsia="Times New Roman" w:hAnsi="Times New Roman"/>
          <w:sz w:val="24"/>
          <w:szCs w:val="24"/>
        </w:rPr>
        <w:t xml:space="preserve">Yu et al. </w:t>
      </w:r>
      <w:sdt>
        <w:sdtPr>
          <w:rPr>
            <w:rFonts w:ascii="Times New Roman" w:cs="Times New Roman" w:eastAsia="Times New Roman" w:hAnsi="Times New Roman"/>
            <w:sz w:val="24"/>
            <w:szCs w:val="24"/>
          </w:rPr>
          <w:tag w:val="MENDELEY_CITATION_v3_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"/>
          <w:id w:val="194804717"/>
        </w:sdtPr>
        <w:sdtContent>
          <w:r>
            <w:rPr>
              <w:rFonts w:ascii="Times New Roman" w:cs="Times New Roman" w:eastAsia="Times New Roman" w:hAnsi="Times New Roman"/>
              <w:sz w:val="24"/>
              <w:szCs w:val="24"/>
            </w:rPr>
            <w:t xml:space="preserve">(2020)</w:t>
          </w:r>
        </w:sdtContent>
      </w:sdt>
      <w:r>
        <w:rPr>
          <w:rFonts w:ascii="Times New Roman" w:cs="Times New Roman" w:eastAsia="Times New Roman" w:hAnsi="Times New Roman"/>
          <w:sz w:val="24"/>
          <w:szCs w:val="24"/>
        </w:rPr>
        <w:t xml:space="preserve"> show that error rates can differ across student groups even when overall accuracy is high.</w:t>
      </w:r>
    </w:p>
    <w:p>
      <w:pPr>
        <w:keepNext/>
        <w:spacing w:after="0" w:before="120" w:line="480"/>
      </w:pPr>
      <w:r>
        <w:rPr>
          <w:rFonts w:ascii="Times New Roman" w:cs="Times New Roman" w:eastAsia="Times New Roman" w:hAnsi="Times New Roman"/>
          <w:i/>
          <w:iCs/>
          <w:sz w:val="24"/>
          <w:szCs w:val="24"/>
        </w:rPr>
        <w:t xml:space="preserve">2.2. Explainable AI in education</w:t>
      </w:r>
    </w:p>
    <w:p>
      <w:pPr>
        <w:spacing w:after="0" w:line="480"/>
        <w:jc w:val="left"/>
      </w:pPr>
      <w:r>
        <w:rPr>
          <w:rFonts w:ascii="Times New Roman" w:cs="Times New Roman" w:eastAsia="Times New Roman" w:hAnsi="Times New Roman"/>
          <w:sz w:val="24"/>
          <w:szCs w:val="24"/>
        </w:rPr>
        <w:t xml:space="preserve">XAI surveys distinguish intrinsically interpretable models from post-hoc explanation techniques and argue that the choice depends on the deployment context and the expertise of the user </w:t>
      </w:r>
      <w:sdt>
        <w:sdtPr>
          <w:rPr>
            <w:rFonts w:ascii="Times New Roman" w:cs="Times New Roman" w:eastAsia="Times New Roman" w:hAnsi="Times New Roman"/>
            <w:sz w:val="24"/>
            <w:szCs w:val="24"/>
          </w:rPr>
          <w:tag w:val="MENDELEY_CITATION_v3_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"/>
          <w:id w:val="1183364968"/>
        </w:sdtPr>
        <w:sdtContent>
          <w:r>
            <w:rPr>
              <w:rFonts w:ascii="Times New Roman" w:cs="Times New Roman" w:eastAsia="Times New Roman" w:hAnsi="Times New Roman"/>
              <w:sz w:val="24"/>
              <w:szCs w:val="24"/>
            </w:rPr>
            <w:t xml:space="preserve">(Barredo Arrieta et al., 2020)</w:t>
          </w:r>
        </w:sdtContent>
      </w:sdt>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Ali et al. </w:t>
      </w:r>
      <w:sdt>
        <w:sdtPr>
          <w:rPr>
            <w:rFonts w:ascii="Times New Roman" w:cs="Times New Roman" w:eastAsia="Times New Roman" w:hAnsi="Times New Roman"/>
            <w:sz w:val="24"/>
            <w:szCs w:val="24"/>
          </w:rPr>
          <w:tag w:val="MENDELEY_CITATION_v3_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"/>
          <w:id w:val="911648020"/>
        </w:sdtPr>
        <w:sdtContent>
          <w:r>
            <w:rPr>
              <w:rFonts w:ascii="Times New Roman" w:cs="Times New Roman" w:eastAsia="Times New Roman" w:hAnsi="Times New Roman"/>
              <w:sz w:val="24"/>
              <w:szCs w:val="24"/>
            </w:rPr>
            <w:t xml:space="preserve">(2023)</w:t>
          </w:r>
        </w:sdtContent>
      </w:sdt>
      <w:r>
        <w:rPr>
          <w:rFonts w:ascii="Times New Roman" w:cs="Times New Roman" w:eastAsia="Times New Roman" w:hAnsi="Times New Roman"/>
          <w:sz w:val="24"/>
          <w:szCs w:val="24"/>
        </w:rPr>
        <w:t xml:space="preserve"> report that tailoring explanations to user types remains an open problem, with most systems defaulting to technically framed outputs. In education, SHAP </w:t>
      </w:r>
      <w:sdt>
        <w:sdtPr>
          <w:rPr>
            <w:rFonts w:ascii="Times New Roman" w:cs="Times New Roman" w:eastAsia="Times New Roman" w:hAnsi="Times New Roman"/>
            <w:sz w:val="24"/>
            <w:szCs w:val="24"/>
          </w:rPr>
          <w:tag w:val="MENDELEY_CITATION_v3_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"/>
          <w:id w:val="126938844"/>
        </w:sdtPr>
        <w:sdtContent>
          <w:r>
            <w:rPr>
              <w:rFonts w:ascii="Times New Roman" w:cs="Times New Roman" w:eastAsia="Times New Roman" w:hAnsi="Times New Roman"/>
              <w:sz w:val="24"/>
              <w:szCs w:val="24"/>
            </w:rPr>
            <w:t xml:space="preserve">(Lundberg et al., 2020; Lundberg &amp; Lee, 2017)</w:t>
          </w:r>
        </w:sdtContent>
      </w:sdt>
      <w:r>
        <w:rPr>
          <w:rFonts w:ascii="Times New Roman" w:cs="Times New Roman" w:eastAsia="Times New Roman" w:hAnsi="Times New Roman"/>
          <w:sz w:val="24"/>
          <w:szCs w:val="24"/>
        </w:rPr>
        <w:t xml:space="preserve"> and LIME </w:t>
      </w:r>
      <w:sdt>
        <w:sdtPr>
          <w:rPr>
            <w:rFonts w:ascii="Times New Roman" w:cs="Times New Roman" w:eastAsia="Times New Roman" w:hAnsi="Times New Roman"/>
            <w:sz w:val="24"/>
            <w:szCs w:val="24"/>
          </w:rPr>
          <w:tag w:val="MENDELEY_CITATION_v3_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"/>
          <w:id w:val="1775651416"/>
        </w:sdtPr>
        <w:sdtContent>
          <w:r>
            <w:rPr>
              <w:rFonts w:ascii="Times New Roman" w:cs="Times New Roman" w:eastAsia="Times New Roman" w:hAnsi="Times New Roman"/>
              <w:sz w:val="24"/>
              <w:szCs w:val="24"/>
            </w:rPr>
            <w:t xml:space="preserve">(Ribeiro et al., 2016)</w:t>
          </w:r>
        </w:sdtContent>
      </w:sdt>
      <w:r>
        <w:rPr>
          <w:rFonts w:ascii="Times New Roman" w:cs="Times New Roman" w:eastAsia="Times New Roman" w:hAnsi="Times New Roman"/>
          <w:sz w:val="24"/>
          <w:szCs w:val="24"/>
        </w:rPr>
        <w:t xml:space="preserve"> dominate current applications. </w:t>
      </w:r>
      <w:r>
        <w:rPr>
          <w:rFonts w:ascii="Times New Roman" w:cs="Times New Roman" w:eastAsia="Times New Roman" w:hAnsi="Times New Roman"/>
          <w:sz w:val="24"/>
          <w:szCs w:val="24"/>
        </w:rPr>
        <w:t xml:space="preserve">Nnadi et al. </w:t>
      </w:r>
      <w:sdt>
        <w:sdtPr>
          <w:rPr>
            <w:rFonts w:ascii="Times New Roman" w:cs="Times New Roman" w:eastAsia="Times New Roman" w:hAnsi="Times New Roman"/>
            <w:sz w:val="24"/>
            <w:szCs w:val="24"/>
          </w:rPr>
          <w:tag w:val="MENDELEY_CITATION_v3_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"/>
          <w:id w:val="1214302568"/>
        </w:sdtPr>
        <w:sdtContent>
          <w:r>
            <w:rPr>
              <w:rFonts w:ascii="Times New Roman" w:cs="Times New Roman" w:eastAsia="Times New Roman" w:hAnsi="Times New Roman"/>
              <w:sz w:val="24"/>
              <w:szCs w:val="24"/>
            </w:rPr>
            <w:t xml:space="preserve">(2024)</w:t>
          </w:r>
        </w:sdtContent>
      </w:sdt>
      <w:r>
        <w:rPr>
          <w:rFonts w:ascii="Times New Roman" w:cs="Times New Roman" w:eastAsia="Times New Roman" w:hAnsi="Times New Roman"/>
          <w:sz w:val="24"/>
          <w:szCs w:val="24"/>
        </w:rPr>
        <w:t xml:space="preserve"> found SHAP the most consistent of several methods for attribution stability, </w:t>
      </w:r>
      <w:r>
        <w:rPr>
          <w:rFonts w:ascii="Times New Roman" w:cs="Times New Roman" w:eastAsia="Times New Roman" w:hAnsi="Times New Roman"/>
          <w:sz w:val="24"/>
          <w:szCs w:val="24"/>
        </w:rPr>
        <w:t xml:space="preserve">Salih et al. </w:t>
      </w:r>
      <w:sdt>
        <w:sdtPr>
          <w:rPr>
            <w:rFonts w:ascii="Times New Roman" w:cs="Times New Roman" w:eastAsia="Times New Roman" w:hAnsi="Times New Roman"/>
            <w:sz w:val="24"/>
            <w:szCs w:val="24"/>
          </w:rPr>
          <w:tag w:val="MENDELEY_CITATION_v3_eyJjaXRhdGlvbklEIjogIk1FTkRFTEVZX0NJVEFUSU9OXzU3ODQ3YmRlLTQzODgtNWUzNS05ZWVjLTQzM2E1NDFmMWRkMS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265862674"/>
        </w:sdtPr>
        <w:sdtContent>
          <w:r>
            <w:rPr>
              <w:rFonts w:ascii="Times New Roman" w:cs="Times New Roman" w:eastAsia="Times New Roman" w:hAnsi="Times New Roman"/>
              <w:sz w:val="24"/>
              <w:szCs w:val="24"/>
            </w:rPr>
            <w:t xml:space="preserve">(2025)</w:t>
          </w:r>
        </w:sdtContent>
      </w:sdt>
      <w:r>
        <w:rPr>
          <w:rFonts w:ascii="Times New Roman" w:cs="Times New Roman" w:eastAsia="Times New Roman" w:hAnsi="Times New Roman"/>
          <w:sz w:val="24"/>
          <w:szCs w:val="24"/>
        </w:rPr>
        <w:t xml:space="preserve"> discuss the computational cost of SHAP, its feature independence assumption and the sensitivity of LIME to sampling, and </w:t>
      </w:r>
      <w:r>
        <w:rPr>
          <w:rFonts w:ascii="Times New Roman" w:cs="Times New Roman" w:eastAsia="Times New Roman" w:hAnsi="Times New Roman"/>
          <w:sz w:val="24"/>
          <w:szCs w:val="24"/>
        </w:rPr>
        <w:t xml:space="preserve">Gunasekara and Saarela </w:t>
      </w:r>
      <w:sdt>
        <w:sdtPr>
          <w:rPr>
            <w:rFonts w:ascii="Times New Roman" w:cs="Times New Roman" w:eastAsia="Times New Roman" w:hAnsi="Times New Roman"/>
            <w:sz w:val="24"/>
            <w:szCs w:val="24"/>
          </w:rPr>
          <w:tag w:val="MENDELEY_CITATION_v3_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"/>
          <w:id w:val="2034632751"/>
        </w:sdtPr>
        <w:sdtContent>
          <w:r>
            <w:rPr>
              <w:rFonts w:ascii="Times New Roman" w:cs="Times New Roman" w:eastAsia="Times New Roman" w:hAnsi="Times New Roman"/>
              <w:sz w:val="24"/>
              <w:szCs w:val="24"/>
            </w:rPr>
            <w:t xml:space="preserve">(2025)</w:t>
          </w:r>
        </w:sdtContent>
      </w:sdt>
      <w:r>
        <w:rPr>
          <w:rFonts w:ascii="Times New Roman" w:cs="Times New Roman" w:eastAsia="Times New Roman" w:hAnsi="Times New Roman"/>
          <w:sz w:val="24"/>
          <w:szCs w:val="24"/>
        </w:rPr>
        <w:t xml:space="preserve"> apply both methods to models trained on OULAD. </w:t>
      </w:r>
      <w:r>
        <w:rPr>
          <w:rFonts w:ascii="Times New Roman" w:cs="Times New Roman" w:eastAsia="Times New Roman" w:hAnsi="Times New Roman"/>
          <w:sz w:val="24"/>
          <w:szCs w:val="24"/>
        </w:rPr>
        <w:t xml:space="preserve">Hooshyar and Yang </w:t>
      </w:r>
      <w:sdt>
        <w:sdtPr>
          <w:rPr>
            <w:rFonts w:ascii="Times New Roman" w:cs="Times New Roman" w:eastAsia="Times New Roman" w:hAnsi="Times New Roman"/>
            <w:sz w:val="24"/>
            <w:szCs w:val="24"/>
          </w:rPr>
          <w:tag w:val="MENDELEY_CITATION_v3_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"/>
          <w:id w:val="479402029"/>
        </w:sdtPr>
        <w:sdtContent>
          <w:r>
            <w:rPr>
              <w:rFonts w:ascii="Times New Roman" w:cs="Times New Roman" w:eastAsia="Times New Roman" w:hAnsi="Times New Roman"/>
              <w:sz w:val="24"/>
              <w:szCs w:val="24"/>
            </w:rPr>
            <w:t xml:space="preserve">(2024)</w:t>
          </w:r>
        </w:sdtContent>
      </w:sdt>
      <w:r>
        <w:rPr>
          <w:rFonts w:ascii="Times New Roman" w:cs="Times New Roman" w:eastAsia="Times New Roman" w:hAnsi="Times New Roman"/>
          <w:sz w:val="24"/>
          <w:szCs w:val="24"/>
        </w:rPr>
        <w:t xml:space="preserve"> report significant variability in the feature importance assigned by SHAP variants and LIME to the same educational model. Critiques of post-hoc explanation add caution: </w:t>
      </w:r>
      <w:r>
        <w:rPr>
          <w:rFonts w:ascii="Times New Roman" w:cs="Times New Roman" w:eastAsia="Times New Roman" w:hAnsi="Times New Roman"/>
          <w:sz w:val="24"/>
          <w:szCs w:val="24"/>
        </w:rPr>
        <w:t xml:space="preserve">Rudin </w:t>
      </w:r>
      <w:sdt>
        <w:sdtPr>
          <w:rPr>
            <w:rFonts w:ascii="Times New Roman" w:cs="Times New Roman" w:eastAsia="Times New Roman" w:hAnsi="Times New Roman"/>
            <w:sz w:val="24"/>
            <w:szCs w:val="24"/>
          </w:rPr>
          <w:tag w:val="MENDELEY_CITATION_v3_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"/>
          <w:id w:val="1354258845"/>
        </w:sdtPr>
        <w:sdtContent>
          <w:r>
            <w:rPr>
              <w:rFonts w:ascii="Times New Roman" w:cs="Times New Roman" w:eastAsia="Times New Roman" w:hAnsi="Times New Roman"/>
              <w:sz w:val="24"/>
              <w:szCs w:val="24"/>
            </w:rPr>
            <w:t xml:space="preserve">(2019)</w:t>
          </w:r>
        </w:sdtContent>
      </w:sdt>
      <w:r>
        <w:rPr>
          <w:rFonts w:ascii="Times New Roman" w:cs="Times New Roman" w:eastAsia="Times New Roman" w:hAnsi="Times New Roman"/>
          <w:sz w:val="24"/>
          <w:szCs w:val="24"/>
        </w:rPr>
        <w:t xml:space="preserve"> argues that high-stakes decisions should rest on intrinsically interpretable models, and </w:t>
      </w:r>
      <w:r>
        <w:rPr>
          <w:rFonts w:ascii="Times New Roman" w:cs="Times New Roman" w:eastAsia="Times New Roman" w:hAnsi="Times New Roman"/>
          <w:sz w:val="24"/>
          <w:szCs w:val="24"/>
        </w:rPr>
        <w:t xml:space="preserve">Slack et al. </w:t>
      </w:r>
      <w:sdt>
        <w:sdtPr>
          <w:rPr>
            <w:rFonts w:ascii="Times New Roman" w:cs="Times New Roman" w:eastAsia="Times New Roman" w:hAnsi="Times New Roman"/>
            <w:sz w:val="24"/>
            <w:szCs w:val="24"/>
          </w:rPr>
          <w:tag w:val="MENDELEY_CITATION_v3_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"/>
          <w:id w:val="1347402587"/>
        </w:sdtPr>
        <w:sdtContent>
          <w:r>
            <w:rPr>
              <w:rFonts w:ascii="Times New Roman" w:cs="Times New Roman" w:eastAsia="Times New Roman" w:hAnsi="Times New Roman"/>
              <w:sz w:val="24"/>
              <w:szCs w:val="24"/>
            </w:rPr>
            <w:t xml:space="preserve">(2020)</w:t>
          </w:r>
        </w:sdtContent>
      </w:sdt>
      <w:r>
        <w:rPr>
          <w:rFonts w:ascii="Times New Roman" w:cs="Times New Roman" w:eastAsia="Times New Roman" w:hAnsi="Times New Roman"/>
          <w:sz w:val="24"/>
          <w:szCs w:val="24"/>
        </w:rPr>
        <w:t xml:space="preserve"> show that both SHAP and LIME can be manipulated through their perturbation schemes.</w:t>
      </w:r>
    </w:p>
    <w:p>
      <w:pPr>
        <w:spacing w:after="0" w:line="480"/>
        <w:ind w:firstLine="567"/>
        <w:jc w:val="left"/>
      </w:pPr>
      <w:r>
        <w:rPr>
          <w:rFonts w:ascii="Times New Roman" w:cs="Times New Roman" w:eastAsia="Times New Roman" w:hAnsi="Times New Roman"/>
          <w:sz w:val="24"/>
          <w:szCs w:val="24"/>
        </w:rPr>
        <w:t xml:space="preserve">Work on the human side of explanation argues that explanations should be contrastive, selective and suited to the recipient </w:t>
      </w:r>
      <w:sdt>
        <w:sdtPr>
          <w:rPr>
            <w:rFonts w:ascii="Times New Roman" w:cs="Times New Roman" w:eastAsia="Times New Roman" w:hAnsi="Times New Roman"/>
            <w:sz w:val="24"/>
            <w:szCs w:val="24"/>
          </w:rPr>
          <w:tag w:val="MENDELEY_CITATION_v3_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"/>
          <w:id w:val="1251976313"/>
        </w:sdtPr>
        <w:sdtContent>
          <w:r>
            <w:rPr>
              <w:rFonts w:ascii="Times New Roman" w:cs="Times New Roman" w:eastAsia="Times New Roman" w:hAnsi="Times New Roman"/>
              <w:sz w:val="24"/>
              <w:szCs w:val="24"/>
            </w:rPr>
            <w:t xml:space="preserve">(Miller, 2019)</w:t>
          </w:r>
        </w:sdtContent>
      </w:sdt>
      <w:r>
        <w:rPr>
          <w:rFonts w:ascii="Times New Roman" w:cs="Times New Roman" w:eastAsia="Times New Roman" w:hAnsi="Times New Roman"/>
          <w:sz w:val="24"/>
          <w:szCs w:val="24"/>
        </w:rPr>
        <w:t xml:space="preserve">, and that their effectiveness depends on the fit between content, expertise and decision </w:t>
      </w:r>
      <w:sdt>
        <w:sdtPr>
          <w:rPr>
            <w:rFonts w:ascii="Times New Roman" w:cs="Times New Roman" w:eastAsia="Times New Roman" w:hAnsi="Times New Roman"/>
            <w:sz w:val="24"/>
            <w:szCs w:val="24"/>
          </w:rPr>
          <w:tag w:val="MENDELEY_CITATION_v3_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"/>
          <w:id w:val="2035189461"/>
        </w:sdtPr>
        <w:sdtContent>
          <w:r>
            <w:rPr>
              <w:rFonts w:ascii="Times New Roman" w:cs="Times New Roman" w:eastAsia="Times New Roman" w:hAnsi="Times New Roman"/>
              <w:sz w:val="24"/>
              <w:szCs w:val="24"/>
            </w:rPr>
            <w:t xml:space="preserve">(Ehsan et al., 2021; Liao &amp; Varshney, 2022)</w:t>
          </w:r>
        </w:sdtContent>
      </w:sdt>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Khosravi et al. </w:t>
      </w:r>
      <w:sdt>
        <w:sdtPr>
          <w:rPr>
            <w:rFonts w:ascii="Times New Roman" w:cs="Times New Roman" w:eastAsia="Times New Roman" w:hAnsi="Times New Roman"/>
            <w:sz w:val="24"/>
            <w:szCs w:val="24"/>
          </w:rPr>
          <w:tag w:val="MENDELEY_CITATION_v3_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"/>
          <w:id w:val="132847737"/>
        </w:sdtPr>
        <w:sdtContent>
          <w:r>
            <w:rPr>
              <w:rFonts w:ascii="Times New Roman" w:cs="Times New Roman" w:eastAsia="Times New Roman" w:hAnsi="Times New Roman"/>
              <w:sz w:val="24"/>
              <w:szCs w:val="24"/>
            </w:rPr>
            <w:t xml:space="preserve">(2022)</w:t>
          </w:r>
        </w:sdtContent>
      </w:sdt>
      <w:r>
        <w:rPr>
          <w:rFonts w:ascii="Times New Roman" w:cs="Times New Roman" w:eastAsia="Times New Roman" w:hAnsi="Times New Roman"/>
          <w:sz w:val="24"/>
          <w:szCs w:val="24"/>
        </w:rPr>
        <w:t xml:space="preserve"> identify several stakeholder groups in educational XAI whose explanation needs differ, and </w:t>
      </w:r>
      <w:r>
        <w:rPr>
          <w:rFonts w:ascii="Times New Roman" w:cs="Times New Roman" w:eastAsia="Times New Roman" w:hAnsi="Times New Roman"/>
          <w:sz w:val="24"/>
          <w:szCs w:val="24"/>
        </w:rPr>
        <w:t xml:space="preserve">Conati et al. </w:t>
      </w:r>
      <w:sdt>
        <w:sdtPr>
          <w:rPr>
            <w:rFonts w:ascii="Times New Roman" w:cs="Times New Roman" w:eastAsia="Times New Roman" w:hAnsi="Times New Roman"/>
            <w:sz w:val="24"/>
            <w:szCs w:val="24"/>
          </w:rPr>
          <w:tag w:val="MENDELEY_CITATION_v3_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"/>
          <w:id w:val="1239319144"/>
        </w:sdtPr>
        <w:sdtContent>
          <w:r>
            <w:rPr>
              <w:rFonts w:ascii="Times New Roman" w:cs="Times New Roman" w:eastAsia="Times New Roman" w:hAnsi="Times New Roman"/>
              <w:sz w:val="24"/>
              <w:szCs w:val="24"/>
            </w:rPr>
            <w:t xml:space="preserve">(2021)</w:t>
          </w:r>
        </w:sdtContent>
      </w:sdt>
      <w:r>
        <w:rPr>
          <w:rFonts w:ascii="Times New Roman" w:cs="Times New Roman" w:eastAsia="Times New Roman" w:hAnsi="Times New Roman"/>
          <w:sz w:val="24"/>
          <w:szCs w:val="24"/>
        </w:rPr>
        <w:t xml:space="preserve"> show that learners with different prior knowledge derive different value from the same explanations. </w:t>
      </w:r>
      <w:r>
        <w:rPr>
          <w:rFonts w:ascii="Times New Roman" w:cs="Times New Roman" w:eastAsia="Times New Roman" w:hAnsi="Times New Roman"/>
          <w:sz w:val="24"/>
          <w:szCs w:val="24"/>
        </w:rPr>
        <w:t xml:space="preserve">Afzaal et al. </w:t>
      </w:r>
      <w:sdt>
        <w:sdtPr>
          <w:rPr>
            <w:rFonts w:ascii="Times New Roman" w:cs="Times New Roman" w:eastAsia="Times New Roman" w:hAnsi="Times New Roman"/>
            <w:sz w:val="24"/>
            <w:szCs w:val="24"/>
          </w:rPr>
          <w:tag w:val="MENDELEY_CITATION_v3_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"/>
          <w:id w:val="1257440635"/>
        </w:sdtPr>
        <w:sdtContent>
          <w:r>
            <w:rPr>
              <w:rFonts w:ascii="Times New Roman" w:cs="Times New Roman" w:eastAsia="Times New Roman" w:hAnsi="Times New Roman"/>
              <w:sz w:val="24"/>
              <w:szCs w:val="24"/>
            </w:rPr>
            <w:t xml:space="preserve">(2021)</w:t>
          </w:r>
        </w:sdtContent>
      </w:sdt>
      <w:r>
        <w:rPr>
          <w:rFonts w:ascii="Times New Roman" w:cs="Times New Roman" w:eastAsia="Times New Roman" w:hAnsi="Times New Roman"/>
          <w:sz w:val="24"/>
          <w:szCs w:val="24"/>
        </w:rPr>
        <w:t xml:space="preserve"> present an early example of SHAP-based explanations delivered within an LMS, but for students rather than for the staff who make intervention decisions.</w:t>
      </w:r>
    </w:p>
    <w:p>
      <w:pPr>
        <w:keepNext/>
        <w:spacing w:after="0" w:before="120" w:line="480"/>
      </w:pPr>
      <w:r>
        <w:rPr>
          <w:rFonts w:ascii="Times New Roman" w:cs="Times New Roman" w:eastAsia="Times New Roman" w:hAnsi="Times New Roman"/>
          <w:i/>
          <w:iCs/>
          <w:sz w:val="24"/>
          <w:szCs w:val="24"/>
        </w:rPr>
        <w:t xml:space="preserve">2.3. Learning analytics dashboards and role-aware design</w:t>
      </w:r>
    </w:p>
    <w:p>
      <w:pPr>
        <w:spacing w:after="0" w:line="480"/>
        <w:jc w:val="left"/>
      </w:pPr>
      <w:r>
        <w:rPr>
          <w:rFonts w:ascii="Times New Roman" w:cs="Times New Roman" w:eastAsia="Times New Roman" w:hAnsi="Times New Roman"/>
          <w:sz w:val="24"/>
          <w:szCs w:val="24"/>
        </w:rPr>
        <w:t xml:space="preserve">Learning analytics dashboards (LADs) are the main channel through which analytics reach staff, but reviews report limited theoretical grounding and evaluation </w:t>
      </w:r>
      <w:sdt>
        <w:sdtPr>
          <w:rPr>
            <w:rFonts w:ascii="Times New Roman" w:cs="Times New Roman" w:eastAsia="Times New Roman" w:hAnsi="Times New Roman"/>
            <w:sz w:val="24"/>
            <w:szCs w:val="24"/>
          </w:rPr>
          <w:tag w:val="MENDELEY_CITATION_v3_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"/>
          <w:id w:val="851864843"/>
        </w:sdtPr>
        <w:sdtContent>
          <w:r>
            <w:rPr>
              <w:rFonts w:ascii="Times New Roman" w:cs="Times New Roman" w:eastAsia="Times New Roman" w:hAnsi="Times New Roman"/>
              <w:sz w:val="24"/>
              <w:szCs w:val="24"/>
            </w:rPr>
            <w:t xml:space="preserve">(Matcha et al., 2020; Schwendimann et al., 2017)</w:t>
          </w:r>
        </w:sdtContent>
      </w:sdt>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Cabral et al. </w:t>
      </w:r>
      <w:sdt>
        <w:sdtPr>
          <w:rPr>
            <w:rFonts w:ascii="Times New Roman" w:cs="Times New Roman" w:eastAsia="Times New Roman" w:hAnsi="Times New Roman"/>
            <w:sz w:val="24"/>
            <w:szCs w:val="24"/>
          </w:rPr>
          <w:tag w:val="MENDELEY_CITATION_v3_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"/>
          <w:id w:val="106492239"/>
        </w:sdtPr>
        <w:sdtContent>
          <w:r>
            <w:rPr>
              <w:rFonts w:ascii="Times New Roman" w:cs="Times New Roman" w:eastAsia="Times New Roman" w:hAnsi="Times New Roman"/>
              <w:sz w:val="24"/>
              <w:szCs w:val="24"/>
            </w:rPr>
            <w:t xml:space="preserve">(2025)</w:t>
          </w:r>
        </w:sdtContent>
      </w:sdt>
      <w:r>
        <w:rPr>
          <w:rFonts w:ascii="Times New Roman" w:cs="Times New Roman" w:eastAsia="Times New Roman" w:hAnsi="Times New Roman"/>
          <w:sz w:val="24"/>
          <w:szCs w:val="24"/>
        </w:rPr>
        <w:t xml:space="preserve"> identify limited XAI integration as one of the most persistent gaps in AI-powered LADs. Existing designs typically serve one user group: </w:t>
      </w:r>
      <w:r>
        <w:rPr>
          <w:rFonts w:ascii="Times New Roman" w:cs="Times New Roman" w:eastAsia="Times New Roman" w:hAnsi="Times New Roman"/>
          <w:sz w:val="24"/>
          <w:szCs w:val="24"/>
        </w:rPr>
        <w:t xml:space="preserve">Susnjak et al. </w:t>
      </w:r>
      <w:sdt>
        <w:sdtPr>
          <w:rPr>
            <w:rFonts w:ascii="Times New Roman" w:cs="Times New Roman" w:eastAsia="Times New Roman" w:hAnsi="Times New Roman"/>
            <w:sz w:val="24"/>
            <w:szCs w:val="24"/>
          </w:rPr>
          <w:tag w:val="MENDELEY_CITATION_v3_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"/>
          <w:id w:val="2096491879"/>
        </w:sdtPr>
        <w:sdtContent>
          <w:r>
            <w:rPr>
              <w:rFonts w:ascii="Times New Roman" w:cs="Times New Roman" w:eastAsia="Times New Roman" w:hAnsi="Times New Roman"/>
              <w:sz w:val="24"/>
              <w:szCs w:val="24"/>
            </w:rPr>
            <w:t xml:space="preserve">(2022)</w:t>
          </w:r>
        </w:sdtContent>
      </w:sdt>
      <w:r>
        <w:rPr>
          <w:rFonts w:ascii="Times New Roman" w:cs="Times New Roman" w:eastAsia="Times New Roman" w:hAnsi="Times New Roman"/>
          <w:sz w:val="24"/>
          <w:szCs w:val="24"/>
        </w:rPr>
        <w:t xml:space="preserve"> combine descriptive, predictive and prescriptive analytics for learners, </w:t>
      </w:r>
      <w:r>
        <w:rPr>
          <w:rFonts w:ascii="Times New Roman" w:cs="Times New Roman" w:eastAsia="Times New Roman" w:hAnsi="Times New Roman"/>
          <w:sz w:val="24"/>
          <w:szCs w:val="24"/>
        </w:rPr>
        <w:t xml:space="preserve">Chavan and Mitra </w:t>
      </w:r>
      <w:sdt>
        <w:sdtPr>
          <w:rPr>
            <w:rFonts w:ascii="Times New Roman" w:cs="Times New Roman" w:eastAsia="Times New Roman" w:hAnsi="Times New Roman"/>
            <w:sz w:val="24"/>
            <w:szCs w:val="24"/>
          </w:rPr>
          <w:tag w:val="MENDELEY_CITATION_v3_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"/>
          <w:id w:val="474769609"/>
        </w:sdtPr>
        <w:sdtContent>
          <w:r>
            <w:rPr>
              <w:rFonts w:ascii="Times New Roman" w:cs="Times New Roman" w:eastAsia="Times New Roman" w:hAnsi="Times New Roman"/>
              <w:sz w:val="24"/>
              <w:szCs w:val="24"/>
            </w:rPr>
            <w:t xml:space="preserve">(2022)</w:t>
          </w:r>
        </w:sdtContent>
      </w:sdt>
      <w:r>
        <w:rPr>
          <w:rFonts w:ascii="Times New Roman" w:cs="Times New Roman" w:eastAsia="Times New Roman" w:hAnsi="Times New Roman"/>
          <w:sz w:val="24"/>
          <w:szCs w:val="24"/>
        </w:rPr>
        <w:t xml:space="preserve"> design for instructors, and </w:t>
      </w:r>
      <w:r>
        <w:rPr>
          <w:rFonts w:ascii="Times New Roman" w:cs="Times New Roman" w:eastAsia="Times New Roman" w:hAnsi="Times New Roman"/>
          <w:sz w:val="24"/>
          <w:szCs w:val="24"/>
        </w:rPr>
        <w:t xml:space="preserve">Kaliisa and Dolonen </w:t>
      </w:r>
      <w:sdt>
        <w:sdtPr>
          <w:rPr>
            <w:rFonts w:ascii="Times New Roman" w:cs="Times New Roman" w:eastAsia="Times New Roman" w:hAnsi="Times New Roman"/>
            <w:sz w:val="24"/>
            <w:szCs w:val="24"/>
          </w:rPr>
          <w:tag w:val="MENDELEY_CITATION_v3_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"/>
          <w:id w:val="100035545"/>
        </w:sdtPr>
        <w:sdtContent>
          <w:r>
            <w:rPr>
              <w:rFonts w:ascii="Times New Roman" w:cs="Times New Roman" w:eastAsia="Times New Roman" w:hAnsi="Times New Roman"/>
              <w:sz w:val="24"/>
              <w:szCs w:val="24"/>
            </w:rPr>
            <w:t xml:space="preserve">(2023)</w:t>
          </w:r>
        </w:sdtContent>
      </w:sdt>
      <w:r>
        <w:rPr>
          <w:rFonts w:ascii="Times New Roman" w:cs="Times New Roman" w:eastAsia="Times New Roman" w:hAnsi="Times New Roman"/>
          <w:sz w:val="24"/>
          <w:szCs w:val="24"/>
        </w:rPr>
        <w:t xml:space="preserve"> found that instructors prioritise summary-level alerts over granular breakdowns. Even within one role, needs vary; in the LADA advising dashboard, senior advisors preferred cohort views while less experienced advisors relied on individual detail </w:t>
      </w:r>
      <w:sdt>
        <w:sdtPr>
          <w:rPr>
            <w:rFonts w:ascii="Times New Roman" w:cs="Times New Roman" w:eastAsia="Times New Roman" w:hAnsi="Times New Roman"/>
            <w:sz w:val="24"/>
            <w:szCs w:val="24"/>
          </w:rPr>
          <w:tag w:val="MENDELEY_CITATION_v3_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"/>
          <w:id w:val="1195428768"/>
        </w:sdtPr>
        <w:sdtContent>
          <w:r>
            <w:rPr>
              <w:rFonts w:ascii="Times New Roman" w:cs="Times New Roman" w:eastAsia="Times New Roman" w:hAnsi="Times New Roman"/>
              <w:sz w:val="24"/>
              <w:szCs w:val="24"/>
            </w:rPr>
            <w:t xml:space="preserve">(Gutiérrez et al., 2020)</w:t>
          </w:r>
        </w:sdtContent>
      </w:sdt>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Kaliisa et al. </w:t>
      </w:r>
      <w:sdt>
        <w:sdtPr>
          <w:rPr>
            <w:rFonts w:ascii="Times New Roman" w:cs="Times New Roman" w:eastAsia="Times New Roman" w:hAnsi="Times New Roman"/>
            <w:sz w:val="24"/>
            <w:szCs w:val="24"/>
          </w:rPr>
          <w:tag w:val="MENDELEY_CITATION_v3_eyJjaXRhdGlvbklEIjogIk1FTkRFTEVZX0NJVEFUSU9OXzI3NWRkMjZiLWE4NjItNTRiYy05YWM0LTE1NjBiNjAzMzY1MS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1843546982"/>
        </w:sdtPr>
        <w:sdtContent>
          <w:r>
            <w:rPr>
              <w:rFonts w:ascii="Times New Roman" w:cs="Times New Roman" w:eastAsia="Times New Roman" w:hAnsi="Times New Roman"/>
              <w:sz w:val="24"/>
              <w:szCs w:val="24"/>
            </w:rPr>
            <w:t xml:space="preserve">(2023)</w:t>
          </w:r>
        </w:sdtContent>
      </w:sdt>
      <w:r>
        <w:rPr>
          <w:rFonts w:ascii="Times New Roman" w:cs="Times New Roman" w:eastAsia="Times New Roman" w:hAnsi="Times New Roman"/>
          <w:sz w:val="24"/>
          <w:szCs w:val="24"/>
        </w:rPr>
        <w:t xml:space="preserve"> provide a checklist for planning, designing, implementing and evaluating LADs that calls for engagement with the full range of stakeholders. Knowledge engineering offers a structured way to do this: CommonKADS models agents, their tasks and the knowledge they require as distinct artefacts </w:t>
      </w:r>
      <w:sdt>
        <w:sdtPr>
          <w:rPr>
            <w:rFonts w:ascii="Times New Roman" w:cs="Times New Roman" w:eastAsia="Times New Roman" w:hAnsi="Times New Roman"/>
            <w:sz w:val="24"/>
            <w:szCs w:val="24"/>
          </w:rPr>
          <w:tag w:val="MENDELEY_CITATION_v3_eyJjaXRhdGlvbklEIjogIk1FTkRFTEVZX0NJVEFUSU9OX2ZmZGNkZWUxLWI5MDQtNWZiNy05N2MzLWI5M2RiMjkwOTY3MiIsICJwcm9wZXJ0aWVzIjogeyJub3RlSW5kZXgiOiAwfSwgImlzRWRpdGVkIjogZmFsc2UsICJtYW51YWxPdmVycmlkZSI6IHsiaXNNYW51YWxseU92ZXJyaWRkZW4iOiBmYWxzZSwgImNpdGVwcm9jVGV4dCI6ICIoU2NocmVpYmVyIGV0IGFsLiwgMjAwMDsgU3R1ZGVyIGV0IGFsLiwgMTk5O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"/>
          <w:id w:val="285990743"/>
        </w:sdtPr>
        <w:sdtContent>
          <w:r>
            <w:rPr>
              <w:rFonts w:ascii="Times New Roman" w:cs="Times New Roman" w:eastAsia="Times New Roman" w:hAnsi="Times New Roman"/>
              <w:sz w:val="24"/>
              <w:szCs w:val="24"/>
            </w:rPr>
            <w:t xml:space="preserve">(Schreiber et al., 2000; Studer et al., 1998)</w:t>
          </w:r>
        </w:sdtContent>
      </w:sdt>
      <w:r>
        <w:rPr>
          <w:rFonts w:ascii="Times New Roman" w:cs="Times New Roman" w:eastAsia="Times New Roman" w:hAnsi="Times New Roman"/>
          <w:sz w:val="24"/>
          <w:szCs w:val="24"/>
        </w:rPr>
        <w:t xml:space="preserve">. Taken together, the reviewed literature shows mature technical components for prediction and explanation, but no staff-facing design that serves instructors, advisors and administrators from one prediction system with role-specific explanations.</w:t>
      </w:r>
    </w:p>
    <w:p>
      <w:pPr>
        <w:keepNext/>
        <w:spacing w:after="0" w:before="240" w:line="480"/>
      </w:pPr>
      <w:r>
        <w:rPr>
          <w:rFonts w:ascii="Times New Roman" w:cs="Times New Roman" w:eastAsia="Times New Roman" w:hAnsi="Times New Roman"/>
          <w:b/>
          <w:bCs/>
          <w:sz w:val="24"/>
          <w:szCs w:val="24"/>
        </w:rPr>
        <w:t xml:space="preserve">3. Method</w:t>
      </w:r>
    </w:p>
    <w:p>
      <w:pPr>
        <w:keepNext/>
        <w:spacing w:after="0" w:before="120" w:line="480"/>
      </w:pPr>
      <w:r>
        <w:rPr>
          <w:rFonts w:ascii="Times New Roman" w:cs="Times New Roman" w:eastAsia="Times New Roman" w:hAnsi="Times New Roman"/>
          <w:i/>
          <w:iCs/>
          <w:sz w:val="24"/>
          <w:szCs w:val="24"/>
        </w:rPr>
        <w:t xml:space="preserve">3.1. Research design</w:t>
      </w:r>
    </w:p>
    <w:p>
      <w:pPr>
        <w:spacing w:after="0" w:line="480"/>
        <w:jc w:val="left"/>
      </w:pPr>
      <w:r>
        <w:rPr>
          <w:rFonts w:ascii="Times New Roman" w:cs="Times New Roman" w:eastAsia="Times New Roman" w:hAnsi="Times New Roman"/>
          <w:sz w:val="24"/>
          <w:szCs w:val="24"/>
        </w:rPr>
        <w:t xml:space="preserve">The study follows the Design Science Research Methodology </w:t>
      </w:r>
      <w:sdt>
        <w:sdtPr>
          <w:rPr>
            <w:rFonts w:ascii="Times New Roman" w:cs="Times New Roman" w:eastAsia="Times New Roman" w:hAnsi="Times New Roman"/>
            <w:sz w:val="24"/>
            <w:szCs w:val="24"/>
          </w:rPr>
          <w:tag w:val="MENDELEY_CITATION_v3_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"/>
          <w:id w:val="621931212"/>
        </w:sdtPr>
        <w:sdtContent>
          <w:r>
            <w:rPr>
              <w:rFonts w:ascii="Times New Roman" w:cs="Times New Roman" w:eastAsia="Times New Roman" w:hAnsi="Times New Roman"/>
              <w:sz w:val="24"/>
              <w:szCs w:val="24"/>
            </w:rPr>
            <w:t xml:space="preserve">(Hevner et al., 2004; Peffers et al., 2007)</w:t>
          </w:r>
        </w:sdtContent>
      </w:sdt>
      <w:r>
        <w:rPr>
          <w:rFonts w:ascii="Times New Roman" w:cs="Times New Roman" w:eastAsia="Times New Roman" w:hAnsi="Times New Roman"/>
          <w:sz w:val="24"/>
          <w:szCs w:val="24"/>
        </w:rPr>
        <w:t xml:space="preserve">, with CommonKADS </w:t>
      </w:r>
      <w:sdt>
        <w:sdtPr>
          <w:rPr>
            <w:rFonts w:ascii="Times New Roman" w:cs="Times New Roman" w:eastAsia="Times New Roman" w:hAnsi="Times New Roman"/>
            <w:sz w:val="24"/>
            <w:szCs w:val="24"/>
          </w:rPr>
          <w:tag w:val="MENDELEY_CITATION_v3_eyJjaXRhdGlvbklEIjogIk1FTkRFTEVZX0NJVEFUSU9OX2VkODg2ZWJlLTVkZjgtNTBiZC1hYTRmLWRiYmQyMTBiY2I1NyIsICJwcm9wZXJ0aWVzIjogeyJub3RlSW5kZXgiOiAwfSwgImlzRWRpdGVkIjogZmFsc2UsICJtYW51YWxPdmVycmlkZSI6IHsiaXNNYW51YWxseU92ZXJyaWRkZW4iOiBmYWxzZSwgImNpdGVwcm9jVGV4dCI6ICIoU2NocmVpYmVyIGV0IGFsLiwg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V9XX0="/>
          <w:id w:val="900094242"/>
        </w:sdtPr>
        <w:sdtContent>
          <w:r>
            <w:rPr>
              <w:rFonts w:ascii="Times New Roman" w:cs="Times New Roman" w:eastAsia="Times New Roman" w:hAnsi="Times New Roman"/>
              <w:sz w:val="24"/>
              <w:szCs w:val="24"/>
            </w:rPr>
            <w:t xml:space="preserve">(Schreiber et al., 2000)</w:t>
          </w:r>
        </w:sdtContent>
      </w:sdt>
      <w:r>
        <w:rPr>
          <w:rFonts w:ascii="Times New Roman" w:cs="Times New Roman" w:eastAsia="Times New Roman" w:hAnsi="Times New Roman"/>
          <w:sz w:val="24"/>
          <w:szCs w:val="24"/>
        </w:rPr>
        <w:t xml:space="preserve"> as the knowledge engineering and design framework applied within it. The Technology Acceptance Model </w:t>
      </w:r>
      <w:sdt>
        <w:sdtPr>
          <w:rPr>
            <w:rFonts w:ascii="Times New Roman" w:cs="Times New Roman" w:eastAsia="Times New Roman" w:hAnsi="Times New Roman"/>
            <w:sz w:val="24"/>
            <w:szCs w:val="24"/>
          </w:rPr>
          <w:tag w:val="MENDELEY_CITATION_v3_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"/>
          <w:id w:val="309785427"/>
        </w:sdtPr>
        <w:sdtContent>
          <w:r>
            <w:rPr>
              <w:rFonts w:ascii="Times New Roman" w:cs="Times New Roman" w:eastAsia="Times New Roman" w:hAnsi="Times New Roman"/>
              <w:sz w:val="24"/>
              <w:szCs w:val="24"/>
            </w:rPr>
            <w:t xml:space="preserve">(Davis, 1989)</w:t>
          </w:r>
        </w:sdtContent>
      </w:sdt>
      <w:r>
        <w:rPr>
          <w:rFonts w:ascii="Times New Roman" w:cs="Times New Roman" w:eastAsia="Times New Roman" w:hAnsi="Times New Roman"/>
          <w:sz w:val="24"/>
          <w:szCs w:val="24"/>
        </w:rPr>
        <w:t xml:space="preserve"> was used only as a design lens for perceived usefulness and ease of use, and the checklist of </w:t>
      </w:r>
      <w:r>
        <w:rPr>
          <w:rFonts w:ascii="Times New Roman" w:cs="Times New Roman" w:eastAsia="Times New Roman" w:hAnsi="Times New Roman"/>
          <w:sz w:val="24"/>
          <w:szCs w:val="24"/>
        </w:rPr>
        <w:t xml:space="preserve">Kaliisa et al. </w:t>
      </w:r>
      <w:sdt>
        <w:sdtPr>
          <w:rPr>
            <w:rFonts w:ascii="Times New Roman" w:cs="Times New Roman" w:eastAsia="Times New Roman" w:hAnsi="Times New Roman"/>
            <w:sz w:val="24"/>
            <w:szCs w:val="24"/>
          </w:rPr>
          <w:tag w:val="MENDELEY_CITATION_v3_eyJjaXRhdGlvbklEIjogIk1FTkRFTEVZX0NJVEFUSU9OXzI2NTI4MTJkLTY3YzgtNWRiOC1iZTJlLTA4MTYyNGZiZGY0My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1161114103"/>
        </w:sdtPr>
        <w:sdtContent>
          <w:r>
            <w:rPr>
              <w:rFonts w:ascii="Times New Roman" w:cs="Times New Roman" w:eastAsia="Times New Roman" w:hAnsi="Times New Roman"/>
              <w:sz w:val="24"/>
              <w:szCs w:val="24"/>
            </w:rPr>
            <w:t xml:space="preserve">(2023)</w:t>
          </w:r>
        </w:sdtContent>
      </w:sdt>
      <w:r>
        <w:rPr>
          <w:rFonts w:ascii="Times New Roman" w:cs="Times New Roman" w:eastAsia="Times New Roman" w:hAnsi="Times New Roman"/>
          <w:sz w:val="24"/>
          <w:szCs w:val="24"/>
        </w:rPr>
        <w:t xml:space="preserve"> guided dashboard design. Table 1 summarises how each of the six CommonKADS models was instantiated. Because no institutional partner or practitioners were involved, the Organisation and Agent Models were populated from published literature rather than from knowledge elicitation, which CommonKADS would ordinarily expect; the resulting role characterisations are therefore well-sourced hypotheses rather than documented accounts.</w:t>
      </w:r>
    </w:p>
    <w:p>
      <w:pPr>
        <w:keepNext/>
        <w:spacing w:after="80" w:before="240" w:line="276"/>
      </w:pPr>
      <w:r>
        <w:rPr>
          <w:rFonts w:ascii="Times New Roman" w:cs="Times New Roman" w:eastAsia="Times New Roman" w:hAnsi="Times New Roman"/>
          <w:sz w:val="22"/>
          <w:szCs w:val="22"/>
        </w:rPr>
        <w:t xml:space="preserve">Table 1. Instantiation of the six CommonKADS models in this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Model</w:t>
            </w:r>
          </w:p>
        </w:tc>
        <w:tc>
          <w:tcPr>
            <w:tcW w:type="dxa" w:w="361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Instantiation</w:t>
            </w:r>
          </w:p>
        </w:tc>
        <w:tc>
          <w:tcPr>
            <w:tcW w:type="dxa" w:w="361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Resulting design decision</w:t>
            </w:r>
          </w:p>
        </w:tc>
      </w:tr>
      <w:tr>
        <w:trPr>
          <w:cantSplit/>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Organisation</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How at-risk information reaches instructors, advisors and administrators and where the flow breaks down (scores without explanation; one view for all roles), from published accounts </w:t>
            </w:r>
            <w:sdt>
              <w:sdtPr>
                <w:rPr>
                  <w:rFonts w:ascii="Times New Roman" w:cs="Times New Roman" w:eastAsia="Times New Roman" w:hAnsi="Times New Roman"/>
                  <w:sz w:val="20"/>
                  <w:szCs w:val="20"/>
                </w:rPr>
                <w:tag w:val="MENDELEY_CITATION_v3_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"/>
                <w:id w:val="252956897"/>
              </w:sdtPr>
              <w:sdtContent>
                <w:r>
                  <w:rPr>
                    <w:rFonts w:ascii="Times New Roman" w:cs="Times New Roman" w:eastAsia="Times New Roman" w:hAnsi="Times New Roman"/>
                    <w:sz w:val="20"/>
                    <w:szCs w:val="20"/>
                  </w:rPr>
                  <w:t xml:space="preserve">(Kaliisa et al., 2023; Leitner et al., 2019; Tsai &amp; Gašević, 2017)</w:t>
                </w:r>
              </w:sdtContent>
            </w:sdt>
            <w:r>
              <w:rPr>
                <w:rFonts w:ascii="Times New Roman" w:cs="Times New Roman" w:eastAsia="Times New Roman" w:hAnsi="Times New Roman"/>
                <w:b w:val="false"/>
                <w:bCs w:val="false"/>
                <w:sz w:val="20"/>
                <w:szCs w:val="20"/>
              </w:rPr>
              <w:t xml:space="preserve">.</w:t>
            </w:r>
          </w:p>
        </w:tc>
        <w:tc>
          <w:tcPr>
            <w:tcW w:type="dxa" w:w="36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Three staff roles served from one shared prediction system; students out of scope.</w:t>
            </w:r>
          </w:p>
        </w:tc>
      </w:tr>
      <w:tr>
        <w:trPr>
          <w:cantSplit/>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Task</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Risk assessment, explanation generation, role assignment and explanation delivery; intervention left to the human agent </w:t>
            </w:r>
            <w:sdt>
              <w:sdtPr>
                <w:rPr>
                  <w:rFonts w:ascii="Times New Roman" w:cs="Times New Roman" w:eastAsia="Times New Roman" w:hAnsi="Times New Roman"/>
                  <w:sz w:val="20"/>
                  <w:szCs w:val="20"/>
                </w:rPr>
                <w:tag w:val="MENDELEY_CITATION_v3_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"/>
                <w:id w:val="1226027821"/>
              </w:sdtPr>
              <w:sdtContent>
                <w:r>
                  <w:rPr>
                    <w:rFonts w:ascii="Times New Roman" w:cs="Times New Roman" w:eastAsia="Times New Roman" w:hAnsi="Times New Roman"/>
                    <w:sz w:val="20"/>
                    <w:szCs w:val="20"/>
                  </w:rPr>
                  <w:t xml:space="preserve">(Verbert et al., 2013)</w:t>
                </w:r>
              </w:sdtContent>
            </w:sdt>
            <w:r>
              <w:rPr>
                <w:rFonts w:ascii="Times New Roman" w:cs="Times New Roman" w:eastAsia="Times New Roman" w:hAnsi="Times New Roman"/>
                <w:b w:val="false"/>
                <w:bCs w:val="false"/>
                <w:sz w:val="20"/>
                <w:szCs w:val="20"/>
              </w:rPr>
              <w:t xml:space="preserve">.</w:t>
            </w:r>
          </w:p>
        </w:tc>
        <w:tc>
          <w:tcPr>
            <w:tcW w:type="dxa" w:w="36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Layered architecture separating data, prediction, explanation, role assignment and presentation.</w:t>
            </w:r>
          </w:p>
        </w:tc>
      </w:tr>
      <w:tr>
        <w:trPr>
          <w:cantSplit/>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Agent</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Knowledge, capabilities and explanation needs of each role, from literature rather than elicitation </w:t>
            </w:r>
            <w:sdt>
              <w:sdtPr>
                <w:rPr>
                  <w:rFonts w:ascii="Times New Roman" w:cs="Times New Roman" w:eastAsia="Times New Roman" w:hAnsi="Times New Roman"/>
                  <w:sz w:val="20"/>
                  <w:szCs w:val="20"/>
                </w:rPr>
                <w:tag w:val="MENDELEY_CITATION_v3_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"/>
                <w:id w:val="662459677"/>
              </w:sdtPr>
              <w:sdtContent>
                <w:r>
                  <w:rPr>
                    <w:rFonts w:ascii="Times New Roman" w:cs="Times New Roman" w:eastAsia="Times New Roman" w:hAnsi="Times New Roman"/>
                    <w:sz w:val="20"/>
                    <w:szCs w:val="20"/>
                  </w:rPr>
                  <w:t xml:space="preserve">(Haque et al., 2023; Kostopoulos et al., 2024)</w:t>
                </w:r>
              </w:sdtContent>
            </w:sdt>
            <w:r>
              <w:rPr>
                <w:rFonts w:ascii="Times New Roman" w:cs="Times New Roman" w:eastAsia="Times New Roman" w:hAnsi="Times New Roman"/>
                <w:b w:val="false"/>
                <w:bCs w:val="false"/>
                <w:sz w:val="20"/>
                <w:szCs w:val="20"/>
              </w:rPr>
              <w:t xml:space="preserve">.</w:t>
            </w:r>
          </w:p>
        </w:tc>
        <w:tc>
          <w:tcPr>
            <w:tcW w:type="dxa" w:w="36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Three information briefs at individual, caseload and cohort granularity (Table 2).</w:t>
            </w:r>
          </w:p>
        </w:tc>
      </w:tr>
      <w:tr>
        <w:trPr>
          <w:cantSplit/>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Knowledge</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Engagement, assessment and demographic features and their SHAP attributions </w:t>
            </w:r>
            <w:sdt>
              <w:sdtPr>
                <w:rPr>
                  <w:rFonts w:ascii="Times New Roman" w:cs="Times New Roman" w:eastAsia="Times New Roman" w:hAnsi="Times New Roman"/>
                  <w:sz w:val="20"/>
                  <w:szCs w:val="20"/>
                </w:rPr>
                <w:tag w:val="MENDELEY_CITATION_v3_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"/>
                <w:id w:val="1203143341"/>
              </w:sdtPr>
              <w:sdtContent>
                <w:r>
                  <w:rPr>
                    <w:rFonts w:ascii="Times New Roman" w:cs="Times New Roman" w:eastAsia="Times New Roman" w:hAnsi="Times New Roman"/>
                    <w:sz w:val="20"/>
                    <w:szCs w:val="20"/>
                  </w:rPr>
                  <w:t xml:space="preserve">(Kuzilek et al., 2017; Lundberg &amp; Lee, 2017)</w:t>
                </w:r>
              </w:sdtContent>
            </w:sdt>
            <w:r>
              <w:rPr>
                <w:rFonts w:ascii="Times New Roman" w:cs="Times New Roman" w:eastAsia="Times New Roman" w:hAnsi="Times New Roman"/>
                <w:b w:val="false"/>
                <w:bCs w:val="false"/>
                <w:sz w:val="20"/>
                <w:szCs w:val="20"/>
              </w:rPr>
              <w:t xml:space="preserve">.</w:t>
            </w:r>
          </w:p>
        </w:tc>
        <w:tc>
          <w:tcPr>
            <w:tcW w:type="dxa" w:w="36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Feature families with a human-readable feature dictionary.</w:t>
            </w:r>
          </w:p>
        </w:tc>
      </w:tr>
      <w:tr>
        <w:trPr>
          <w:cantSplit/>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Communication</w:t>
            </w:r>
          </w:p>
        </w:tc>
        <w:tc>
          <w:tcPr>
            <w:tcW w:type="dxa" w:w="36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Selective explanations phrased for the recipient </w:t>
            </w:r>
            <w:sdt>
              <w:sdtPr>
                <w:rPr>
                  <w:rFonts w:ascii="Times New Roman" w:cs="Times New Roman" w:eastAsia="Times New Roman" w:hAnsi="Times New Roman"/>
                  <w:sz w:val="20"/>
                  <w:szCs w:val="20"/>
                </w:rPr>
                <w:tag w:val="MENDELEY_CITATION_v3_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"/>
                <w:id w:val="1752618008"/>
              </w:sdtPr>
              <w:sdtContent>
                <w:r>
                  <w:rPr>
                    <w:rFonts w:ascii="Times New Roman" w:cs="Times New Roman" w:eastAsia="Times New Roman" w:hAnsi="Times New Roman"/>
                    <w:sz w:val="20"/>
                    <w:szCs w:val="20"/>
                  </w:rPr>
                  <w:t xml:space="preserve">(Miller, 2019)</w:t>
                </w:r>
              </w:sdtContent>
            </w:sdt>
            <w:r>
              <w:rPr>
                <w:rFonts w:ascii="Times New Roman" w:cs="Times New Roman" w:eastAsia="Times New Roman" w:hAnsi="Times New Roman"/>
                <w:b w:val="false"/>
                <w:bCs w:val="false"/>
                <w:sz w:val="20"/>
                <w:szCs w:val="20"/>
              </w:rPr>
              <w:t xml:space="preserve">.</w:t>
            </w:r>
          </w:p>
        </w:tc>
        <w:tc>
          <w:tcPr>
            <w:tcW w:type="dxa" w:w="36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Progressive disclosure, side-by-side SHAP and LIME, role-gated views.</w:t>
            </w:r>
          </w:p>
        </w:tc>
      </w:tr>
      <w:tr>
        <w:trPr>
          <w:cantSplit/>
        </w:trPr>
        <w:tc>
          <w:tcPr>
            <w:tcW w:type="dxa" w:w="180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Design</w:t>
            </w:r>
          </w:p>
        </w:tc>
        <w:tc>
          <w:tcPr>
            <w:tcW w:type="dxa" w:w="361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Mapping of the five models above onto the technical architecture </w:t>
            </w:r>
            <w:sdt>
              <w:sdtPr>
                <w:rPr>
                  <w:rFonts w:ascii="Times New Roman" w:cs="Times New Roman" w:eastAsia="Times New Roman" w:hAnsi="Times New Roman"/>
                  <w:sz w:val="20"/>
                  <w:szCs w:val="20"/>
                </w:rPr>
                <w:tag w:val="MENDELEY_CITATION_v3_eyJjaXRhdGlvbklEIjogIk1FTkRFTEVZX0NJVEFUSU9OX2E0MDIwMmE0LWM2ZTgtNTFhZi1hZDJkLTYwOWQ0M2YxMzE3MSIsICJwcm9wZXJ0aWVzIjogeyJub3RlSW5kZXgiOiAwfSwgImlzRWRpdGVkIjogZmFsc2UsICJtYW51YWxPdmVycmlkZSI6IHsiaXNNYW51YWxseU92ZXJyaWRkZW4iOiBmYWxzZSwgImNpdGVwcm9jVGV4dCI6ICIoU2NocmVpYmVyIGV0IGFsLiwg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V9XX0="/>
                <w:id w:val="1464589643"/>
              </w:sdtPr>
              <w:sdtContent>
                <w:r>
                  <w:rPr>
                    <w:rFonts w:ascii="Times New Roman" w:cs="Times New Roman" w:eastAsia="Times New Roman" w:hAnsi="Times New Roman"/>
                    <w:sz w:val="20"/>
                    <w:szCs w:val="20"/>
                  </w:rPr>
                  <w:t xml:space="preserve">(Schreiber et al., 2000)</w:t>
                </w:r>
              </w:sdtContent>
            </w:sdt>
            <w:r>
              <w:rPr>
                <w:rFonts w:ascii="Times New Roman" w:cs="Times New Roman" w:eastAsia="Times New Roman" w:hAnsi="Times New Roman"/>
                <w:b w:val="false"/>
                <w:bCs w:val="false"/>
                <w:sz w:val="20"/>
                <w:szCs w:val="20"/>
              </w:rPr>
              <w:t xml:space="preserve">.</w:t>
            </w:r>
          </w:p>
        </w:tc>
        <w:tc>
          <w:tcPr>
            <w:tcW w:type="dxa" w:w="361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Five-layer architecture with role-based access control (Section 4).</w:t>
            </w:r>
          </w:p>
        </w:tc>
      </w:tr>
    </w:tbl>
    <w:p>
      <w:pPr>
        <w:spacing w:after="240" w:before="60" w:line="240"/>
      </w:pPr>
    </w:p>
    <w:p>
      <w:pPr>
        <w:keepNext/>
        <w:spacing w:after="0" w:before="120" w:line="480"/>
      </w:pPr>
      <w:r>
        <w:rPr>
          <w:rFonts w:ascii="Times New Roman" w:cs="Times New Roman" w:eastAsia="Times New Roman" w:hAnsi="Times New Roman"/>
          <w:i/>
          <w:iCs/>
          <w:sz w:val="24"/>
          <w:szCs w:val="24"/>
        </w:rPr>
        <w:t xml:space="preserve">3.2. Dataset and target</w:t>
      </w:r>
    </w:p>
    <w:p>
      <w:pPr>
        <w:spacing w:after="0" w:line="480"/>
        <w:jc w:val="left"/>
      </w:pPr>
      <w:r>
        <w:rPr>
          <w:rFonts w:ascii="Times New Roman" w:cs="Times New Roman" w:eastAsia="Times New Roman" w:hAnsi="Times New Roman"/>
          <w:sz w:val="24"/>
          <w:szCs w:val="24"/>
        </w:rPr>
        <w:t xml:space="preserve">OULAD comprises seven relational tables covering registrations, demographics, module presentations, assessments, assessment results, VLE resources and VLE interaction logs </w:t>
      </w:r>
      <w:sdt>
        <w:sdtPr>
          <w:rPr>
            <w:rFonts w:ascii="Times New Roman" w:cs="Times New Roman" w:eastAsia="Times New Roman" w:hAnsi="Times New Roman"/>
            <w:sz w:val="24"/>
            <w:szCs w:val="24"/>
          </w:rPr>
          <w:tag w:val="MENDELEY_CITATION_v3_eyJjaXRhdGlvbklEIjogIk1FTkRFTEVZX0NJVEFUSU9OX2QyOWNlY2ZiLTQzZTYtNTAxNC04NGI1LTc2NThlYzM0M2Q5My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388106950"/>
        </w:sdtPr>
        <w:sdtContent>
          <w:r>
            <w:rPr>
              <w:rFonts w:ascii="Times New Roman" w:cs="Times New Roman" w:eastAsia="Times New Roman" w:hAnsi="Times New Roman"/>
              <w:sz w:val="24"/>
              <w:szCs w:val="24"/>
            </w:rPr>
            <w:t xml:space="preserve">(Kuzilek et al., 2017)</w:t>
          </w:r>
        </w:sdtContent>
      </w:sdt>
      <w:r>
        <w:rPr>
          <w:rFonts w:ascii="Times New Roman" w:cs="Times New Roman" w:eastAsia="Times New Roman" w:hAnsi="Times New Roman"/>
          <w:sz w:val="24"/>
          <w:szCs w:val="24"/>
        </w:rPr>
        <w:t xml:space="preserve">. These were joined into one row per student, module and presentation, giving 32,593 observations. Following the convention in the OULAD literature </w:t>
      </w:r>
      <w:sdt>
        <w:sdtPr>
          <w:rPr>
            <w:rFonts w:ascii="Times New Roman" w:cs="Times New Roman" w:eastAsia="Times New Roman" w:hAnsi="Times New Roman"/>
            <w:sz w:val="24"/>
            <w:szCs w:val="24"/>
          </w:rPr>
          <w:tag w:val="MENDELEY_CITATION_v3_eyJjaXRhdGlvbklEIjogIk1FTkRFTEVZX0NJVEFUSU9OXzA4NmVlZDU2LTFjNTEtNTBmZi04YWFkLTRhMDRmYTMyZTE0ZSIsICJwcm9wZXJ0aWVzIjogeyJub3RlSW5kZXgiOiAwfSwgImlzRWRpdGVkIjogZmFsc2UsICJtYW51YWxPdmVycmlkZSI6IHsiaXNNYW51YWxseU92ZXJyaWRkZW4iOiBmYWxzZSwgImNpdGVwcm9jVGV4dCI6ICIoSmluIGV0IGFsLiwg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X1dfQ=="/>
          <w:id w:val="221310450"/>
        </w:sdtPr>
        <w:sdtContent>
          <w:r>
            <w:rPr>
              <w:rFonts w:ascii="Times New Roman" w:cs="Times New Roman" w:eastAsia="Times New Roman" w:hAnsi="Times New Roman"/>
              <w:sz w:val="24"/>
              <w:szCs w:val="24"/>
            </w:rPr>
            <w:t xml:space="preserve">(Jin et al., 2024)</w:t>
          </w:r>
        </w:sdtContent>
      </w:sdt>
      <w:r>
        <w:rPr>
          <w:rFonts w:ascii="Times New Roman" w:cs="Times New Roman" w:eastAsia="Times New Roman" w:hAnsi="Times New Roman"/>
          <w:sz w:val="24"/>
          <w:szCs w:val="24"/>
        </w:rPr>
        <w:t xml:space="preserve">, Withdrawn (n = 10,156) and Fail (n = 7,052) outcomes were mapped to the at-risk class (17,208 observations, 52.8%) and Pass (n = 12,361) and Distinction (n = 3,024) to the not-at-risk class (15,385, 47.2%). The classes are only mildly imbalanced. Because withdrawals account for 59% of the positive class, the model is best understood as substantially a withdrawal predictor.</w:t>
      </w:r>
    </w:p>
    <w:p>
      <w:pPr>
        <w:keepNext/>
        <w:spacing w:after="0" w:before="120" w:line="480"/>
      </w:pPr>
      <w:r>
        <w:rPr>
          <w:rFonts w:ascii="Times New Roman" w:cs="Times New Roman" w:eastAsia="Times New Roman" w:hAnsi="Times New Roman"/>
          <w:i/>
          <w:iCs/>
          <w:sz w:val="24"/>
          <w:szCs w:val="24"/>
        </w:rPr>
        <w:t xml:space="preserve">3.3. Features</w:t>
      </w:r>
    </w:p>
    <w:p>
      <w:pPr>
        <w:spacing w:after="0" w:line="480"/>
        <w:jc w:val="left"/>
      </w:pPr>
      <w:r>
        <w:rPr>
          <w:rFonts w:ascii="Times New Roman" w:cs="Times New Roman" w:eastAsia="Times New Roman" w:hAnsi="Times New Roman"/>
          <w:sz w:val="24"/>
          <w:szCs w:val="24"/>
        </w:rPr>
        <w:t xml:space="preserve">The model input comprised 24 columns (17 numeric and 7 categorical), expanding to 59 features after one-hot encoding (Appendix B). The features form three families. The engagement family contains total VLE clicks, active days, mean daily clicks and clicks in 7-, 14- and 28-day windows before each assessment deadline, following the deadline-anchored strategy of </w:t>
      </w:r>
      <w:r>
        <w:rPr>
          <w:rFonts w:ascii="Times New Roman" w:cs="Times New Roman" w:eastAsia="Times New Roman" w:hAnsi="Times New Roman"/>
          <w:sz w:val="24"/>
          <w:szCs w:val="24"/>
        </w:rPr>
        <w:t xml:space="preserve">Hlosta et al. </w:t>
      </w:r>
      <w:sdt>
        <w:sdtPr>
          <w:rPr>
            <w:rFonts w:ascii="Times New Roman" w:cs="Times New Roman" w:eastAsia="Times New Roman" w:hAnsi="Times New Roman"/>
            <w:sz w:val="24"/>
            <w:szCs w:val="24"/>
          </w:rPr>
          <w:tag w:val="MENDELEY_CITATION_v3_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"/>
          <w:id w:val="1248976841"/>
        </w:sdtPr>
        <w:sdtContent>
          <w:r>
            <w:rPr>
              <w:rFonts w:ascii="Times New Roman" w:cs="Times New Roman" w:eastAsia="Times New Roman" w:hAnsi="Times New Roman"/>
              <w:sz w:val="24"/>
              <w:szCs w:val="24"/>
            </w:rPr>
            <w:t xml:space="preserve">(2017)</w:t>
          </w:r>
        </w:sdtContent>
      </w:sdt>
      <w:r>
        <w:rPr>
          <w:rFonts w:ascii="Times New Roman" w:cs="Times New Roman" w:eastAsia="Times New Roman" w:hAnsi="Times New Roman"/>
          <w:sz w:val="24"/>
          <w:szCs w:val="24"/>
        </w:rPr>
        <w:t xml:space="preserve">; a programmatic check raises an error if any window includes activity on or after its deadline. The assessment family contains the number of assessments submitted, mean and minimum score, lateness, late submissions and banked results. The demographic and registration family contains module, gender, region, highest education, index of multiple deprivation (IMD) band, age band, disability, previous attempts, studied credits, registration date and presentation length. Counts were set to zero where no activity was recorded; other missing values were imputed inside the model pipeline (median or most frequent value) using the training folds only. All behavioural and assessment features were computed over the full course presentation, so the evaluation measures retrospective classification rather than performance at a predefined early-warning point.</w:t>
      </w:r>
    </w:p>
    <w:p>
      <w:pPr>
        <w:keepNext/>
        <w:spacing w:after="0" w:before="120" w:line="480"/>
      </w:pPr>
      <w:r>
        <w:rPr>
          <w:rFonts w:ascii="Times New Roman" w:cs="Times New Roman" w:eastAsia="Times New Roman" w:hAnsi="Times New Roman"/>
          <w:i/>
          <w:iCs/>
          <w:sz w:val="24"/>
          <w:szCs w:val="24"/>
        </w:rPr>
        <w:t xml:space="preserve">3.4. Models and evaluation protocol</w:t>
      </w:r>
    </w:p>
    <w:p>
      <w:pPr>
        <w:spacing w:after="0" w:line="480"/>
        <w:jc w:val="left"/>
      </w:pPr>
      <w:r>
        <w:rPr>
          <w:rFonts w:ascii="Times New Roman" w:cs="Times New Roman" w:eastAsia="Times New Roman" w:hAnsi="Times New Roman"/>
          <w:sz w:val="24"/>
          <w:szCs w:val="24"/>
        </w:rPr>
        <w:t xml:space="preserve">Three ensembles representing different points on the bias-variance spectrum were compared: Random Forest </w:t>
      </w:r>
      <w:sdt>
        <w:sdtPr>
          <w:rPr>
            <w:rFonts w:ascii="Times New Roman" w:cs="Times New Roman" w:eastAsia="Times New Roman" w:hAnsi="Times New Roman"/>
            <w:sz w:val="24"/>
            <w:szCs w:val="24"/>
          </w:rPr>
          <w:tag w:val="MENDELEY_CITATION_v3_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"/>
          <w:id w:val="1226652085"/>
        </w:sdtPr>
        <w:sdtContent>
          <w:r>
            <w:rPr>
              <w:rFonts w:ascii="Times New Roman" w:cs="Times New Roman" w:eastAsia="Times New Roman" w:hAnsi="Times New Roman"/>
              <w:sz w:val="24"/>
              <w:szCs w:val="24"/>
            </w:rPr>
            <w:t xml:space="preserve">(Breiman, 2001)</w:t>
          </w:r>
        </w:sdtContent>
      </w:sdt>
      <w:r>
        <w:rPr>
          <w:rFonts w:ascii="Times New Roman" w:cs="Times New Roman" w:eastAsia="Times New Roman" w:hAnsi="Times New Roman"/>
          <w:sz w:val="24"/>
          <w:szCs w:val="24"/>
        </w:rPr>
        <w:t xml:space="preserve">, XGBoost </w:t>
      </w:r>
      <w:sdt>
        <w:sdtPr>
          <w:rPr>
            <w:rFonts w:ascii="Times New Roman" w:cs="Times New Roman" w:eastAsia="Times New Roman" w:hAnsi="Times New Roman"/>
            <w:sz w:val="24"/>
            <w:szCs w:val="24"/>
          </w:rPr>
          <w:tag w:val="MENDELEY_CITATION_v3_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"/>
          <w:id w:val="1372056228"/>
        </w:sdtPr>
        <w:sdtContent>
          <w:r>
            <w:rPr>
              <w:rFonts w:ascii="Times New Roman" w:cs="Times New Roman" w:eastAsia="Times New Roman" w:hAnsi="Times New Roman"/>
              <w:sz w:val="24"/>
              <w:szCs w:val="24"/>
            </w:rPr>
            <w:t xml:space="preserve">(Chen &amp; Guestrin, 2016)</w:t>
          </w:r>
        </w:sdtContent>
      </w:sdt>
      <w:r>
        <w:rPr>
          <w:rFonts w:ascii="Times New Roman" w:cs="Times New Roman" w:eastAsia="Times New Roman" w:hAnsi="Times New Roman"/>
          <w:sz w:val="24"/>
          <w:szCs w:val="24"/>
        </w:rPr>
        <w:t xml:space="preserve"> and scikit-learn Gradient Boosting </w:t>
      </w:r>
      <w:sdt>
        <w:sdtPr>
          <w:rPr>
            <w:rFonts w:ascii="Times New Roman" w:cs="Times New Roman" w:eastAsia="Times New Roman" w:hAnsi="Times New Roman"/>
            <w:sz w:val="24"/>
            <w:szCs w:val="24"/>
          </w:rPr>
          <w:tag w:val="MENDELEY_CITATION_v3_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"/>
          <w:id w:val="403449955"/>
        </w:sdtPr>
        <w:sdtContent>
          <w:r>
            <w:rPr>
              <w:rFonts w:ascii="Times New Roman" w:cs="Times New Roman" w:eastAsia="Times New Roman" w:hAnsi="Times New Roman"/>
              <w:sz w:val="24"/>
              <w:szCs w:val="24"/>
            </w:rPr>
            <w:t xml:space="preserve">(Friedman, 2001; Pedregosa et al., 2011)</w:t>
          </w:r>
        </w:sdtContent>
      </w:sdt>
      <w:r>
        <w:rPr>
          <w:rFonts w:ascii="Times New Roman" w:cs="Times New Roman" w:eastAsia="Times New Roman" w:hAnsi="Times New Roman"/>
          <w:sz w:val="24"/>
          <w:szCs w:val="24"/>
        </w:rPr>
        <w:t xml:space="preserve">. Evaluation used four-fold GroupKFold cross-validation grouped by course presentation (2013B, 2013J, 2014B and 2014J), so no presentation appears in both the training and validation partitions of a fold, avoiding the leakage pattern described by </w:t>
      </w:r>
      <w:r>
        <w:rPr>
          <w:rFonts w:ascii="Times New Roman" w:cs="Times New Roman" w:eastAsia="Times New Roman" w:hAnsi="Times New Roman"/>
          <w:sz w:val="24"/>
          <w:szCs w:val="24"/>
        </w:rPr>
        <w:t xml:space="preserve">Krstajic et al. </w:t>
      </w:r>
      <w:sdt>
        <w:sdtPr>
          <w:rPr>
            <w:rFonts w:ascii="Times New Roman" w:cs="Times New Roman" w:eastAsia="Times New Roman" w:hAnsi="Times New Roman"/>
            <w:sz w:val="24"/>
            <w:szCs w:val="24"/>
          </w:rPr>
          <w:tag w:val="MENDELEY_CITATION_v3_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"/>
          <w:id w:val="799717634"/>
        </w:sdtPr>
        <w:sdtContent>
          <w:r>
            <w:rPr>
              <w:rFonts w:ascii="Times New Roman" w:cs="Times New Roman" w:eastAsia="Times New Roman" w:hAnsi="Times New Roman"/>
              <w:sz w:val="24"/>
              <w:szCs w:val="24"/>
            </w:rPr>
            <w:t xml:space="preserve">(2014)</w:t>
          </w:r>
        </w:sdtContent>
      </w:sdt>
      <w:r>
        <w:rPr>
          <w:rFonts w:ascii="Times New Roman" w:cs="Times New Roman" w:eastAsia="Times New Roman" w:hAnsi="Times New Roman"/>
          <w:sz w:val="24"/>
          <w:szCs w:val="24"/>
        </w:rPr>
        <w:t xml:space="preserve">. The folds were not stratified, since stratification is incompatible with grouping on a variable with four values. XGBoost used a fixed configuration (300 estimators, maximum depth 5, learning rate 0.05, subsample 0.8 and column subsample 0.8) without hyperparameter search or resampling, and the other two models were run under the identical preprocessing pipeline and protocol. Accuracy, precision, recall and F1-score were computed over out-of-fold predictions for all 32,593 observations at a 0.5 threshold, together with ROC-AUC. F1-score was used for comparative reporting, while recall was the primary criterion for selecting the prototype model: a student who is at risk but not flagged receives no support, whereas a student flagged unnecessarily is reviewed by a practitioner and can be set aside.</w:t>
      </w:r>
    </w:p>
    <w:p>
      <w:pPr>
        <w:keepNext/>
        <w:spacing w:after="0" w:before="120" w:line="480"/>
      </w:pPr>
      <w:r>
        <w:rPr>
          <w:rFonts w:ascii="Times New Roman" w:cs="Times New Roman" w:eastAsia="Times New Roman" w:hAnsi="Times New Roman"/>
          <w:i/>
          <w:iCs/>
          <w:sz w:val="24"/>
          <w:szCs w:val="24"/>
        </w:rPr>
        <w:t xml:space="preserve">3.5. Explanation analysis</w:t>
      </w:r>
    </w:p>
    <w:p>
      <w:pPr>
        <w:spacing w:after="0" w:line="480"/>
        <w:jc w:val="left"/>
      </w:pPr>
      <w:r>
        <w:rPr>
          <w:rFonts w:ascii="Times New Roman" w:cs="Times New Roman" w:eastAsia="Times New Roman" w:hAnsi="Times New Roman"/>
          <w:sz w:val="24"/>
          <w:szCs w:val="24"/>
        </w:rPr>
        <w:t xml:space="preserve">Global importance was computed with TreeSHAP </w:t>
      </w:r>
      <w:sdt>
        <w:sdtPr>
          <w:rPr>
            <w:rFonts w:ascii="Times New Roman" w:cs="Times New Roman" w:eastAsia="Times New Roman" w:hAnsi="Times New Roman"/>
            <w:sz w:val="24"/>
            <w:szCs w:val="24"/>
          </w:rPr>
          <w:tag w:val="MENDELEY_CITATION_v3_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"/>
          <w:id w:val="209230570"/>
        </w:sdtPr>
        <w:sdtContent>
          <w:r>
            <w:rPr>
              <w:rFonts w:ascii="Times New Roman" w:cs="Times New Roman" w:eastAsia="Times New Roman" w:hAnsi="Times New Roman"/>
              <w:sz w:val="24"/>
              <w:szCs w:val="24"/>
            </w:rPr>
            <w:t xml:space="preserve">(Lundberg et al., 2020)</w:t>
          </w:r>
        </w:sdtContent>
      </w:sdt>
      <w:r>
        <w:rPr>
          <w:rFonts w:ascii="Times New Roman" w:cs="Times New Roman" w:eastAsia="Times New Roman" w:hAnsi="Times New Roman"/>
          <w:sz w:val="24"/>
          <w:szCs w:val="24"/>
        </w:rPr>
        <w:t xml:space="preserve"> using the final fitted model across all 32,593 observations, ranking the 59 transformed features by mean absolute SHAP value in log-odds units; these values explain the final model and are not fold-specific. LIME </w:t>
      </w:r>
      <w:sdt>
        <w:sdtPr>
          <w:rPr>
            <w:rFonts w:ascii="Times New Roman" w:cs="Times New Roman" w:eastAsia="Times New Roman" w:hAnsi="Times New Roman"/>
            <w:sz w:val="24"/>
            <w:szCs w:val="24"/>
          </w:rPr>
          <w:tag w:val="MENDELEY_CITATION_v3_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"/>
          <w:id w:val="1176272277"/>
        </w:sdtPr>
        <w:sdtContent>
          <w:r>
            <w:rPr>
              <w:rFonts w:ascii="Times New Roman" w:cs="Times New Roman" w:eastAsia="Times New Roman" w:hAnsi="Times New Roman"/>
              <w:sz w:val="24"/>
              <w:szCs w:val="24"/>
            </w:rPr>
            <w:t xml:space="preserve">(Ribeiro et al., 2016)</w:t>
          </w:r>
        </w:sdtContent>
      </w:sdt>
      <w:r>
        <w:rPr>
          <w:rFonts w:ascii="Times New Roman" w:cs="Times New Roman" w:eastAsia="Times New Roman" w:hAnsi="Times New Roman"/>
          <w:sz w:val="24"/>
          <w:szCs w:val="24"/>
        </w:rPr>
        <w:t xml:space="preserve"> was run on a random sample of 40 observations (NumPy default_rng, seed 42), with explanations aggregated by mean absolute weight. Agreement was assessed at two levels: overlap of the aggregate top-10 rankings, and the mean overlap between each sampled instance’s top-5 SHAP and top-5 LIME features. To test whether the ordering of two near-duplicate engagement features was stable, the final model was refitted with seven further random seeds. The explanation stability and fidelity checks originally specified, following </w:t>
      </w:r>
      <w:r>
        <w:rPr>
          <w:rFonts w:ascii="Times New Roman" w:cs="Times New Roman" w:eastAsia="Times New Roman" w:hAnsi="Times New Roman"/>
          <w:sz w:val="24"/>
          <w:szCs w:val="24"/>
        </w:rPr>
        <w:t xml:space="preserve">Visani et al. </w:t>
      </w:r>
      <w:sdt>
        <w:sdtPr>
          <w:rPr>
            <w:rFonts w:ascii="Times New Roman" w:cs="Times New Roman" w:eastAsia="Times New Roman" w:hAnsi="Times New Roman"/>
            <w:sz w:val="24"/>
            <w:szCs w:val="24"/>
          </w:rPr>
          <w:tag w:val="MENDELEY_CITATION_v3_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"/>
          <w:id w:val="1529246226"/>
        </w:sdtPr>
        <w:sdtContent>
          <w:r>
            <w:rPr>
              <w:rFonts w:ascii="Times New Roman" w:cs="Times New Roman" w:eastAsia="Times New Roman" w:hAnsi="Times New Roman"/>
              <w:sz w:val="24"/>
              <w:szCs w:val="24"/>
            </w:rPr>
            <w:t xml:space="preserve">(2022)</w:t>
          </w:r>
        </w:sdtContent>
      </w:sdt>
      <w:r>
        <w:rPr>
          <w:rFonts w:ascii="Times New Roman" w:cs="Times New Roman" w:eastAsia="Times New Roman" w:hAnsi="Times New Roman"/>
          <w:sz w:val="24"/>
          <w:szCs w:val="24"/>
        </w:rPr>
        <w:t xml:space="preserve">, were not completed, so the explanation evaluation is limited to cross-method agreement.</w:t>
      </w:r>
    </w:p>
    <w:p>
      <w:pPr>
        <w:keepNext/>
        <w:spacing w:after="0" w:before="240" w:line="480"/>
      </w:pPr>
      <w:r>
        <w:rPr>
          <w:rFonts w:ascii="Times New Roman" w:cs="Times New Roman" w:eastAsia="Times New Roman" w:hAnsi="Times New Roman"/>
          <w:b/>
          <w:bCs/>
          <w:sz w:val="24"/>
          <w:szCs w:val="24"/>
        </w:rPr>
        <w:t xml:space="preserve">4. System design and implementation</w:t>
      </w:r>
    </w:p>
    <w:p>
      <w:pPr>
        <w:keepNext/>
        <w:spacing w:after="0" w:before="120" w:line="480"/>
      </w:pPr>
      <w:r>
        <w:rPr>
          <w:rFonts w:ascii="Times New Roman" w:cs="Times New Roman" w:eastAsia="Times New Roman" w:hAnsi="Times New Roman"/>
          <w:i/>
          <w:iCs/>
          <w:sz w:val="24"/>
          <w:szCs w:val="24"/>
        </w:rPr>
        <w:t xml:space="preserve">4.1. Architecture</w:t>
      </w:r>
    </w:p>
    <w:p>
      <w:pPr>
        <w:spacing w:after="0" w:line="480"/>
        <w:jc w:val="left"/>
      </w:pPr>
      <w:r>
        <w:rPr>
          <w:rFonts w:ascii="Times New Roman" w:cs="Times New Roman" w:eastAsia="Times New Roman" w:hAnsi="Times New Roman"/>
          <w:sz w:val="24"/>
          <w:szCs w:val="24"/>
        </w:rPr>
        <w:t xml:space="preserve">The system has five layers (Fig. 1): a Data Layer for feature engineering, a Prediction Engine for risk classification, an Explainability Module for SHAP and LIME, an Interface/API layer enforcing authentication and role-based access control, and a Presentation Layer with three role-differentiated views. The layers communicate through REST endpoints, so each can be revised independently, and explanation is treated as a core architectural component rather than an addition to the model </w:t>
      </w:r>
      <w:sdt>
        <w:sdtPr>
          <w:rPr>
            <w:rFonts w:ascii="Times New Roman" w:cs="Times New Roman" w:eastAsia="Times New Roman" w:hAnsi="Times New Roman"/>
            <w:sz w:val="24"/>
            <w:szCs w:val="24"/>
          </w:rPr>
          <w:tag w:val="MENDELEY_CITATION_v3_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"/>
          <w:id w:val="134838300"/>
        </w:sdtPr>
        <w:sdtContent>
          <w:r>
            <w:rPr>
              <w:rFonts w:ascii="Times New Roman" w:cs="Times New Roman" w:eastAsia="Times New Roman" w:hAnsi="Times New Roman"/>
              <w:sz w:val="24"/>
              <w:szCs w:val="24"/>
            </w:rPr>
            <w:t xml:space="preserve">(Mohseni et al., 2021)</w:t>
          </w:r>
        </w:sdtContent>
      </w:sdt>
      <w:r>
        <w:rPr>
          <w:rFonts w:ascii="Times New Roman" w:cs="Times New Roman" w:eastAsia="Times New Roman" w:hAnsi="Times New Roman"/>
          <w:sz w:val="24"/>
          <w:szCs w:val="24"/>
        </w:rPr>
        <w:t xml:space="preserve">. The fitted preprocessing pipeline and model are saved as one versioned artefact with a manifest recording the training date, feature dictionary version and evaluation metrics, so any prediction returned by the API can be traced to the model version and feature contract that produced it. A versioned feature dictionary also carries a human-readable label for each feature, so explanations are shown with meaningful labels rather than variable names </w:t>
      </w:r>
      <w:sdt>
        <w:sdtPr>
          <w:rPr>
            <w:rFonts w:ascii="Times New Roman" w:cs="Times New Roman" w:eastAsia="Times New Roman" w:hAnsi="Times New Roman"/>
            <w:sz w:val="24"/>
            <w:szCs w:val="24"/>
          </w:rPr>
          <w:tag w:val="MENDELEY_CITATION_v3_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"/>
          <w:id w:val="1211971682"/>
        </w:sdtPr>
        <w:sdtContent>
          <w:r>
            <w:rPr>
              <w:rFonts w:ascii="Times New Roman" w:cs="Times New Roman" w:eastAsia="Times New Roman" w:hAnsi="Times New Roman"/>
              <w:sz w:val="24"/>
              <w:szCs w:val="24"/>
            </w:rPr>
            <w:t xml:space="preserve">(Miller, 2019)</w:t>
          </w:r>
        </w:sdtContent>
      </w:sdt>
      <w:r>
        <w:rPr>
          <w:rFonts w:ascii="Times New Roman" w:cs="Times New Roman" w:eastAsia="Times New Roman" w:hAnsi="Times New Roman"/>
          <w:sz w:val="24"/>
          <w:szCs w:val="24"/>
        </w:rPr>
        <w:t xml:space="preserve">.</w:t>
      </w:r>
    </w:p>
    <w:p>
      <w:pPr>
        <w:keepNext/>
        <w:spacing w:before="240"/>
        <w:jc w:val="center"/>
      </w:pPr>
      <w:r>
        <w:drawing>
          <wp:inline distT="0" distB="0" distL="0" distR="0">
            <wp:extent cx="4324350" cy="4943475"/>
            <wp:effectExtent t="0" r="0" b="0" l="0"/>
            <wp:docPr id="1" name="fig_architecture" descr="fig_architecture" title="fig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4350" cy="4943475"/>
                    </a:xfrm>
                    <a:prstGeom prst="rect">
                      <a:avLst/>
                    </a:prstGeom>
                  </pic:spPr>
                </pic:pic>
              </a:graphicData>
            </a:graphic>
          </wp:inline>
        </w:drawing>
      </w:r>
    </w:p>
    <w:p>
      <w:pPr>
        <w:spacing w:after="240" w:before="60" w:line="276"/>
      </w:pPr>
      <w:r>
        <w:rPr>
          <w:rFonts w:ascii="Times New Roman" w:cs="Times New Roman" w:eastAsia="Times New Roman" w:hAnsi="Times New Roman"/>
          <w:sz w:val="22"/>
          <w:szCs w:val="22"/>
        </w:rPr>
        <w:t xml:space="preserve">Fig. 1. Implemented system architecture, showing the data, prediction, explainability, API and presentation layers, the model development environment and the two LMS integration paths tested. All services run locally under Docker Compose.</w:t>
      </w:r>
    </w:p>
    <w:p>
      <w:pPr>
        <w:keepNext/>
        <w:spacing w:after="0" w:before="120" w:line="480"/>
      </w:pPr>
      <w:r>
        <w:rPr>
          <w:rFonts w:ascii="Times New Roman" w:cs="Times New Roman" w:eastAsia="Times New Roman" w:hAnsi="Times New Roman"/>
          <w:i/>
          <w:iCs/>
          <w:sz w:val="24"/>
          <w:szCs w:val="24"/>
        </w:rPr>
        <w:t xml:space="preserve">4.2. Explanation services</w:t>
      </w:r>
    </w:p>
    <w:p>
      <w:pPr>
        <w:spacing w:after="0" w:line="480"/>
        <w:jc w:val="left"/>
      </w:pPr>
      <w:r>
        <w:rPr>
          <w:rFonts w:ascii="Times New Roman" w:cs="Times New Roman" w:eastAsia="Times New Roman" w:hAnsi="Times New Roman"/>
          <w:sz w:val="24"/>
          <w:szCs w:val="24"/>
        </w:rPr>
        <w:t xml:space="preserve">The Explainability Module has two services (Fig. 2). A global service computes TreeSHAP values once per model version and caches them for the cohort-level views. A local service computes a local SHAP explanation and an independent LIME explanation on demand for a single prediction, using the exact feature vector the model scored. Caching the global values reflects the higher computing time of SHAP reported by </w:t>
      </w:r>
      <w:r>
        <w:rPr>
          <w:rFonts w:ascii="Times New Roman" w:cs="Times New Roman" w:eastAsia="Times New Roman" w:hAnsi="Times New Roman"/>
          <w:sz w:val="24"/>
          <w:szCs w:val="24"/>
        </w:rPr>
        <w:t xml:space="preserve">Salih et al. </w:t>
      </w:r>
      <w:sdt>
        <w:sdtPr>
          <w:rPr>
            <w:rFonts w:ascii="Times New Roman" w:cs="Times New Roman" w:eastAsia="Times New Roman" w:hAnsi="Times New Roman"/>
            <w:sz w:val="24"/>
            <w:szCs w:val="24"/>
          </w:rPr>
          <w:tag w:val="MENDELEY_CITATION_v3_eyJjaXRhdGlvbklEIjogIk1FTkRFTEVZX0NJVEFUSU9OX2E5YmMzZjlkLTIzNWUtNTdlNC1iY2MzLTNmNjAzNDIyYTI3My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127992539"/>
        </w:sdtPr>
        <w:sdtContent>
          <w:r>
            <w:rPr>
              <w:rFonts w:ascii="Times New Roman" w:cs="Times New Roman" w:eastAsia="Times New Roman" w:hAnsi="Times New Roman"/>
              <w:sz w:val="24"/>
              <w:szCs w:val="24"/>
            </w:rPr>
            <w:t xml:space="preserve">(2025)</w:t>
          </w:r>
        </w:sdtContent>
      </w:sdt>
      <w:r>
        <w:rPr>
          <w:rFonts w:ascii="Times New Roman" w:cs="Times New Roman" w:eastAsia="Times New Roman" w:hAnsi="Times New Roman"/>
          <w:sz w:val="24"/>
          <w:szCs w:val="24"/>
        </w:rPr>
        <w:t xml:space="preserve">, whereas LIME relies on perturbation and must be regenerated for each instance. Both explanations are shown side by side so that a user can see where they agree and where they differ, following the argument of </w:t>
      </w:r>
      <w:r>
        <w:rPr>
          <w:rFonts w:ascii="Times New Roman" w:cs="Times New Roman" w:eastAsia="Times New Roman" w:hAnsi="Times New Roman"/>
          <w:sz w:val="24"/>
          <w:szCs w:val="24"/>
        </w:rPr>
        <w:t xml:space="preserve">Salih et al. </w:t>
      </w:r>
      <w:sdt>
        <w:sdtPr>
          <w:rPr>
            <w:rFonts w:ascii="Times New Roman" w:cs="Times New Roman" w:eastAsia="Times New Roman" w:hAnsi="Times New Roman"/>
            <w:sz w:val="24"/>
            <w:szCs w:val="24"/>
          </w:rPr>
          <w:tag w:val="MENDELEY_CITATION_v3_eyJjaXRhdGlvbklEIjogIk1FTkRFTEVZX0NJVEFUSU9OX2FkNzI5NjZkLTIxYmItNTQ3Zi05YjRiLTgzZWMxMTVkM2FmYi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1329312985"/>
        </w:sdtPr>
        <w:sdtContent>
          <w:r>
            <w:rPr>
              <w:rFonts w:ascii="Times New Roman" w:cs="Times New Roman" w:eastAsia="Times New Roman" w:hAnsi="Times New Roman"/>
              <w:sz w:val="24"/>
              <w:szCs w:val="24"/>
            </w:rPr>
            <w:t xml:space="preserve">(2025)</w:t>
          </w:r>
        </w:sdtContent>
      </w:sdt>
      <w:r>
        <w:rPr>
          <w:rFonts w:ascii="Times New Roman" w:cs="Times New Roman" w:eastAsia="Times New Roman" w:hAnsi="Times New Roman"/>
          <w:sz w:val="24"/>
          <w:szCs w:val="24"/>
        </w:rPr>
        <w:t xml:space="preserve"> for using the two methods together. Following the selectivity property of explanations </w:t>
      </w:r>
      <w:sdt>
        <w:sdtPr>
          <w:rPr>
            <w:rFonts w:ascii="Times New Roman" w:cs="Times New Roman" w:eastAsia="Times New Roman" w:hAnsi="Times New Roman"/>
            <w:sz w:val="24"/>
            <w:szCs w:val="24"/>
          </w:rPr>
          <w:tag w:val="MENDELEY_CITATION_v3_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"/>
          <w:id w:val="442292976"/>
        </w:sdtPr>
        <w:sdtContent>
          <w:r>
            <w:rPr>
              <w:rFonts w:ascii="Times New Roman" w:cs="Times New Roman" w:eastAsia="Times New Roman" w:hAnsi="Times New Roman"/>
              <w:sz w:val="24"/>
              <w:szCs w:val="24"/>
            </w:rPr>
            <w:t xml:space="preserve">(Miller, 2019)</w:t>
          </w:r>
        </w:sdtContent>
      </w:sdt>
      <w:r>
        <w:rPr>
          <w:rFonts w:ascii="Times New Roman" w:cs="Times New Roman" w:eastAsia="Times New Roman" w:hAnsi="Times New Roman"/>
          <w:sz w:val="24"/>
          <w:szCs w:val="24"/>
        </w:rPr>
        <w:t xml:space="preserve"> and evidence that comprehension degrades when full attribution vectors are displayed </w:t>
      </w:r>
      <w:sdt>
        <w:sdtPr>
          <w:rPr>
            <w:rFonts w:ascii="Times New Roman" w:cs="Times New Roman" w:eastAsia="Times New Roman" w:hAnsi="Times New Roman"/>
            <w:sz w:val="24"/>
            <w:szCs w:val="24"/>
          </w:rPr>
          <w:tag w:val="MENDELEY_CITATION_v3_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"/>
          <w:id w:val="1066042003"/>
        </w:sdtPr>
        <w:sdtContent>
          <w:r>
            <w:rPr>
              <w:rFonts w:ascii="Times New Roman" w:cs="Times New Roman" w:eastAsia="Times New Roman" w:hAnsi="Times New Roman"/>
              <w:sz w:val="24"/>
              <w:szCs w:val="24"/>
            </w:rPr>
            <w:t xml:space="preserve">(Poursabzi-Sangdeh et al., 2021)</w:t>
          </w:r>
        </w:sdtContent>
      </w:sdt>
      <w:r>
        <w:rPr>
          <w:rFonts w:ascii="Times New Roman" w:cs="Times New Roman" w:eastAsia="Times New Roman" w:hAnsi="Times New Roman"/>
          <w:sz w:val="24"/>
          <w:szCs w:val="24"/>
        </w:rPr>
        <w:t xml:space="preserve">, the interface shows a small number of leading contributions rather than the complete vector.</w:t>
      </w:r>
    </w:p>
    <w:p>
      <w:pPr>
        <w:keepNext/>
        <w:spacing w:before="240"/>
        <w:jc w:val="center"/>
      </w:pPr>
      <w:r>
        <w:drawing>
          <wp:inline distT="0" distB="0" distL="0" distR="0">
            <wp:extent cx="4676775" cy="2352675"/>
            <wp:effectExtent t="0" r="0" b="0" l="0"/>
            <wp:docPr id="1" name="fig_pipeline" descr="fig_pipeline" title="fig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2352675"/>
                    </a:xfrm>
                    <a:prstGeom prst="rect">
                      <a:avLst/>
                    </a:prstGeom>
                  </pic:spPr>
                </pic:pic>
              </a:graphicData>
            </a:graphic>
          </wp:inline>
        </w:drawing>
      </w:r>
    </w:p>
    <w:p>
      <w:pPr>
        <w:spacing w:after="240" w:before="60" w:line="276"/>
      </w:pPr>
      <w:r>
        <w:rPr>
          <w:rFonts w:ascii="Times New Roman" w:cs="Times New Roman" w:eastAsia="Times New Roman" w:hAnsi="Times New Roman"/>
          <w:sz w:val="22"/>
          <w:szCs w:val="22"/>
        </w:rPr>
        <w:t xml:space="preserve">Fig. 2. Dual-service explainability pipeline: global TreeSHAP values are pre-computed and cached for cohort views, while LIME and local SHAP are generated on demand for individual students.</w:t>
      </w:r>
    </w:p>
    <w:p>
      <w:pPr>
        <w:keepNext/>
        <w:spacing w:after="0" w:before="120" w:line="480"/>
      </w:pPr>
      <w:r>
        <w:rPr>
          <w:rFonts w:ascii="Times New Roman" w:cs="Times New Roman" w:eastAsia="Times New Roman" w:hAnsi="Times New Roman"/>
          <w:i/>
          <w:iCs/>
          <w:sz w:val="24"/>
          <w:szCs w:val="24"/>
        </w:rPr>
        <w:t xml:space="preserve">4.3. Role-aware views</w:t>
      </w:r>
    </w:p>
    <w:p>
      <w:pPr>
        <w:spacing w:after="0" w:line="480"/>
        <w:jc w:val="left"/>
      </w:pPr>
      <w:r>
        <w:rPr>
          <w:rFonts w:ascii="Times New Roman" w:cs="Times New Roman" w:eastAsia="Times New Roman" w:hAnsi="Times New Roman"/>
          <w:sz w:val="24"/>
          <w:szCs w:val="24"/>
        </w:rPr>
        <w:t xml:space="preserve">Each view was designed around an information brief derived from the Agent Model (Table 2). The instructor view gives per-student detail with SHAP and LIME shown side by side, following evidence that teachers act on dashboard information at the level of the individual learner </w:t>
      </w:r>
      <w:sdt>
        <w:sdtPr>
          <w:rPr>
            <w:rFonts w:ascii="Times New Roman" w:cs="Times New Roman" w:eastAsia="Times New Roman" w:hAnsi="Times New Roman"/>
            <w:sz w:val="24"/>
            <w:szCs w:val="24"/>
          </w:rPr>
          <w:tag w:val="MENDELEY_CITATION_v3_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"/>
          <w:id w:val="1461147819"/>
        </w:sdtPr>
        <w:sdtContent>
          <w:r>
            <w:rPr>
              <w:rFonts w:ascii="Times New Roman" w:cs="Times New Roman" w:eastAsia="Times New Roman" w:hAnsi="Times New Roman"/>
              <w:sz w:val="24"/>
              <w:szCs w:val="24"/>
            </w:rPr>
            <w:t xml:space="preserve">(Molenaar &amp; Knoop-van Campen, 2019)</w:t>
          </w:r>
        </w:sdtContent>
      </w:sdt>
      <w:r>
        <w:rPr>
          <w:rFonts w:ascii="Times New Roman" w:cs="Times New Roman" w:eastAsia="Times New Roman" w:hAnsi="Times New Roman"/>
          <w:sz w:val="24"/>
          <w:szCs w:val="24"/>
        </w:rPr>
        <w:t xml:space="preserve">. The advisor view averages the reasoning across a caseload of students at or above the watch threshold, following the caseload orientation of LADA </w:t>
      </w:r>
      <w:sdt>
        <w:sdtPr>
          <w:rPr>
            <w:rFonts w:ascii="Times New Roman" w:cs="Times New Roman" w:eastAsia="Times New Roman" w:hAnsi="Times New Roman"/>
            <w:sz w:val="24"/>
            <w:szCs w:val="24"/>
          </w:rPr>
          <w:tag w:val="MENDELEY_CITATION_v3_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"/>
          <w:id w:val="1141860530"/>
        </w:sdtPr>
        <w:sdtContent>
          <w:r>
            <w:rPr>
              <w:rFonts w:ascii="Times New Roman" w:cs="Times New Roman" w:eastAsia="Times New Roman" w:hAnsi="Times New Roman"/>
              <w:sz w:val="24"/>
              <w:szCs w:val="24"/>
            </w:rPr>
            <w:t xml:space="preserve">(Gutiérrez et al., 2020)</w:t>
          </w:r>
        </w:sdtContent>
      </w:sdt>
      <w:r>
        <w:rPr>
          <w:rFonts w:ascii="Times New Roman" w:cs="Times New Roman" w:eastAsia="Times New Roman" w:hAnsi="Times New Roman"/>
          <w:sz w:val="24"/>
          <w:szCs w:val="24"/>
        </w:rPr>
        <w:t xml:space="preserve">. The administrator view shows institution-wide model performance and a full-population reasoning trail, in line with institutional decision-support patterns </w:t>
      </w:r>
      <w:sdt>
        <w:sdtPr>
          <w:rPr>
            <w:rFonts w:ascii="Times New Roman" w:cs="Times New Roman" w:eastAsia="Times New Roman" w:hAnsi="Times New Roman"/>
            <w:sz w:val="24"/>
            <w:szCs w:val="24"/>
          </w:rPr>
          <w:tag w:val="MENDELEY_CITATION_v3_eyJjaXRhdGlvbklEIjogIk1FTkRFTEVZX0NJVEFUSU9OX2UxYzgxNDIzLWUzODgtNTcwYi04ZjI3LWU4YzUzNWJiNjJmOCIsICJwcm9wZXJ0aWVzIjogeyJub3RlSW5kZXgiOiAwfSwgImlzRWRpdGVkIjogZmFsc2UsICJtYW51YWxPdmVycmlkZSI6IHsiaXNNYW51YWxseU92ZXJyaWRkZW4iOiBmYWxzZSwgImNpdGVwcm9jVGV4dCI6ICIoVHNhaSAmIEdhxaFldmnEhywgMjAxNykiLCAibWFudWFsT3ZlcnJpZGVUZXh0IjogIiJ9LCAiY2l0YXRpb25JdGVtcyI6IFt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fV19"/>
          <w:id w:val="918247488"/>
        </w:sdtPr>
        <w:sdtContent>
          <w:r>
            <w:rPr>
              <w:rFonts w:ascii="Times New Roman" w:cs="Times New Roman" w:eastAsia="Times New Roman" w:hAnsi="Times New Roman"/>
              <w:sz w:val="24"/>
              <w:szCs w:val="24"/>
            </w:rPr>
            <w:t xml:space="preserve">(Tsai &amp; Gašević, 2017)</w:t>
          </w:r>
        </w:sdtContent>
      </w:sdt>
      <w:r>
        <w:rPr>
          <w:rFonts w:ascii="Times New Roman" w:cs="Times New Roman" w:eastAsia="Times New Roman" w:hAnsi="Times New Roman"/>
          <w:sz w:val="24"/>
          <w:szCs w:val="24"/>
        </w:rPr>
        <w:t xml:space="preserve">. All three views reuse one "reasoning trail" component, a chart of signed SHAP and LIME contributions, at different levels of aggregation, so the roles differ in the granularity rather than the visual form of the knowledge they receive </w:t>
      </w:r>
      <w:sdt>
        <w:sdtPr>
          <w:rPr>
            <w:rFonts w:ascii="Times New Roman" w:cs="Times New Roman" w:eastAsia="Times New Roman" w:hAnsi="Times New Roman"/>
            <w:sz w:val="24"/>
            <w:szCs w:val="24"/>
          </w:rPr>
          <w:tag w:val="MENDELEY_CITATION_v3_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"/>
          <w:id w:val="1669086093"/>
        </w:sdtPr>
        <w:sdtContent>
          <w:r>
            <w:rPr>
              <w:rFonts w:ascii="Times New Roman" w:cs="Times New Roman" w:eastAsia="Times New Roman" w:hAnsi="Times New Roman"/>
              <w:sz w:val="24"/>
              <w:szCs w:val="24"/>
            </w:rPr>
            <w:t xml:space="preserve">(Sokol &amp; Flach, 2020)</w:t>
          </w:r>
        </w:sdtContent>
      </w:sdt>
      <w:r>
        <w:rPr>
          <w:rFonts w:ascii="Times New Roman" w:cs="Times New Roman" w:eastAsia="Times New Roman" w:hAnsi="Times New Roman"/>
          <w:sz w:val="24"/>
          <w:szCs w:val="24"/>
        </w:rPr>
        <w:t xml:space="preserve">. Progressive disclosure is applied throughout: compact risk summaries appear by default and attribution detail on request </w:t>
      </w:r>
      <w:sdt>
        <w:sdtPr>
          <w:rPr>
            <w:rFonts w:ascii="Times New Roman" w:cs="Times New Roman" w:eastAsia="Times New Roman" w:hAnsi="Times New Roman"/>
            <w:sz w:val="24"/>
            <w:szCs w:val="24"/>
          </w:rPr>
          <w:tag w:val="MENDELEY_CITATION_v3_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"/>
          <w:id w:val="674625912"/>
        </w:sdtPr>
        <w:sdtContent>
          <w:r>
            <w:rPr>
              <w:rFonts w:ascii="Times New Roman" w:cs="Times New Roman" w:eastAsia="Times New Roman" w:hAnsi="Times New Roman"/>
              <w:sz w:val="24"/>
              <w:szCs w:val="24"/>
            </w:rPr>
            <w:t xml:space="preserve">(Springer &amp; Whittaker, 2020)</w:t>
          </w:r>
        </w:sdtContent>
      </w:sdt>
      <w:r>
        <w:rPr>
          <w:rFonts w:ascii="Times New Roman" w:cs="Times New Roman" w:eastAsia="Times New Roman" w:hAnsi="Times New Roman"/>
          <w:sz w:val="24"/>
          <w:szCs w:val="24"/>
        </w:rPr>
        <w:t xml:space="preserve">. Fig. 3 shows the three views.</w:t>
      </w:r>
    </w:p>
    <w:p>
      <w:pPr>
        <w:keepNext/>
        <w:spacing w:after="80" w:before="240" w:line="276"/>
      </w:pPr>
      <w:r>
        <w:rPr>
          <w:rFonts w:ascii="Times New Roman" w:cs="Times New Roman" w:eastAsia="Times New Roman" w:hAnsi="Times New Roman"/>
          <w:sz w:val="22"/>
          <w:szCs w:val="22"/>
        </w:rPr>
        <w:t xml:space="preserve">Table 2. Role-based dashboard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6"/>
        <w:gridCol w:w="1981"/>
        <w:gridCol w:w="2312"/>
        <w:gridCol w:w="1981"/>
        <w:gridCol w:w="1376"/>
      </w:tblGrid>
      <w:tr>
        <w:trPr>
          <w:cantSplit/>
          <w:tblHeader/>
        </w:trPr>
        <w:tc>
          <w:tcPr>
            <w:tcW w:type="dxa" w:w="137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Role</w:t>
            </w:r>
          </w:p>
        </w:tc>
        <w:tc>
          <w:tcPr>
            <w:tcW w:type="dxa" w:w="198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Decision</w:t>
            </w:r>
          </w:p>
        </w:tc>
        <w:tc>
          <w:tcPr>
            <w:tcW w:type="dxa" w:w="231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Information needed</w:t>
            </w:r>
          </w:p>
        </w:tc>
        <w:tc>
          <w:tcPr>
            <w:tcW w:type="dxa" w:w="198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Dashboard component</w:t>
            </w:r>
          </w:p>
        </w:tc>
        <w:tc>
          <w:tcPr>
            <w:tcW w:type="dxa" w:w="137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Granularity</w:t>
            </w:r>
          </w:p>
        </w:tc>
      </w:tr>
      <w:tr>
        <w:trPr>
          <w:cantSplit/>
        </w:trPr>
        <w:tc>
          <w:tcPr>
            <w:tcW w:type="dxa" w:w="137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Instructor</w:t>
            </w:r>
          </w:p>
        </w:tc>
        <w:tc>
          <w:tcPr>
            <w:tcW w:type="dxa" w:w="19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Whether to act within a course that is currently running.</w:t>
            </w:r>
          </w:p>
        </w:tc>
        <w:tc>
          <w:tcPr>
            <w:tcW w:type="dxa" w:w="23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Class-level engagement in the current period and per-student risk drivers at the level of assessments and weekly activity.</w:t>
            </w:r>
          </w:p>
        </w:tc>
        <w:tc>
          <w:tcPr>
            <w:tcW w:type="dxa" w:w="19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Per-student reasoning trail with SHAP and LIME side by side.</w:t>
            </w:r>
          </w:p>
        </w:tc>
        <w:tc>
          <w:tcPr>
            <w:tcW w:type="dxa" w:w="137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Individual</w:t>
            </w:r>
          </w:p>
        </w:tc>
      </w:tr>
      <w:tr>
        <w:trPr>
          <w:cantSplit/>
        </w:trPr>
        <w:tc>
          <w:tcPr>
            <w:tcW w:type="dxa" w:w="137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Advisor</w:t>
            </w:r>
          </w:p>
        </w:tc>
        <w:tc>
          <w:tcPr>
            <w:tcW w:type="dxa" w:w="19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How to approach a particular student and prioritise a caseload.</w:t>
            </w:r>
          </w:p>
        </w:tc>
        <w:tc>
          <w:tcPr>
            <w:tcW w:type="dxa" w:w="23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Views across modules for a caseload, with demographic context suited to one-to-one consultations.</w:t>
            </w:r>
          </w:p>
        </w:tc>
        <w:tc>
          <w:tcPr>
            <w:tcW w:type="dxa" w:w="19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Caseload-averaged reasoning trail for students at or above the watch threshold.</w:t>
            </w:r>
          </w:p>
        </w:tc>
        <w:tc>
          <w:tcPr>
            <w:tcW w:type="dxa" w:w="137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Caseload</w:t>
            </w:r>
          </w:p>
        </w:tc>
      </w:tr>
      <w:tr>
        <w:trPr>
          <w:cantSplit/>
        </w:trPr>
        <w:tc>
          <w:tcPr>
            <w:tcW w:type="dxa" w:w="137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Administrator</w:t>
            </w:r>
          </w:p>
        </w:tc>
        <w:tc>
          <w:tcPr>
            <w:tcW w:type="dxa" w:w="198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Where to direct institutional attention and resources.</w:t>
            </w:r>
          </w:p>
        </w:tc>
        <w:tc>
          <w:tcPr>
            <w:tcW w:type="dxa" w:w="231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Cohort-level aggregations and module-over-module comparisons.</w:t>
            </w:r>
          </w:p>
        </w:tc>
        <w:tc>
          <w:tcPr>
            <w:tcW w:type="dxa" w:w="198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Institution-wide performance summary and full-population reasoning trail.</w:t>
            </w:r>
          </w:p>
        </w:tc>
        <w:tc>
          <w:tcPr>
            <w:tcW w:type="dxa" w:w="137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Cohort</w:t>
            </w:r>
          </w:p>
        </w:tc>
      </w:tr>
    </w:tbl>
    <w:p>
      <w:pPr>
        <w:spacing w:after="240" w:before="60" w:line="240"/>
      </w:pPr>
    </w:p>
    <w:p>
      <w:pPr>
        <w:keepNext/>
        <w:spacing w:before="120"/>
        <w:jc w:val="center"/>
      </w:pPr>
      <w:r>
        <w:drawing>
          <wp:inline distT="0" distB="0" distL="0" distR="0">
            <wp:extent cx="4619625" cy="2590800"/>
            <wp:effectExtent t="0" r="0" b="0" l="0"/>
            <wp:docPr id="1" name="fig_instructor" descr="fig_instructor" title="fig_instr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19625" cy="2590800"/>
                    </a:xfrm>
                    <a:prstGeom prst="rect">
                      <a:avLst/>
                    </a:prstGeom>
                  </pic:spPr>
                </pic:pic>
              </a:graphicData>
            </a:graphic>
          </wp:inline>
        </w:drawing>
      </w:r>
    </w:p>
    <w:p>
      <w:pPr>
        <w:keepNext/>
        <w:spacing w:after="60" w:line="276"/>
        <w:jc w:val="center"/>
      </w:pPr>
      <w:r>
        <w:rPr>
          <w:rFonts w:ascii="Times New Roman" w:cs="Times New Roman" w:eastAsia="Times New Roman" w:hAnsi="Times New Roman"/>
          <w:sz w:val="22"/>
          <w:szCs w:val="22"/>
        </w:rPr>
        <w:t xml:space="preserve">(a) Instructor view: per-student SHAP and LIME reasoning trail.</w:t>
      </w:r>
    </w:p>
    <w:p>
      <w:pPr>
        <w:keepNext/>
        <w:spacing w:before="120"/>
        <w:jc w:val="center"/>
      </w:pPr>
      <w:r>
        <w:drawing>
          <wp:inline distT="0" distB="0" distL="0" distR="0">
            <wp:extent cx="4772025" cy="2590800"/>
            <wp:effectExtent t="0" r="0" b="0" l="0"/>
            <wp:docPr id="1" name="fig_advisor" descr="fig_advisor" title="fig_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72025" cy="2590800"/>
                    </a:xfrm>
                    <a:prstGeom prst="rect">
                      <a:avLst/>
                    </a:prstGeom>
                  </pic:spPr>
                </pic:pic>
              </a:graphicData>
            </a:graphic>
          </wp:inline>
        </w:drawing>
      </w:r>
    </w:p>
    <w:p>
      <w:pPr>
        <w:keepNext/>
        <w:spacing w:after="60" w:line="276"/>
        <w:jc w:val="center"/>
      </w:pPr>
      <w:r>
        <w:rPr>
          <w:rFonts w:ascii="Times New Roman" w:cs="Times New Roman" w:eastAsia="Times New Roman" w:hAnsi="Times New Roman"/>
          <w:sz w:val="22"/>
          <w:szCs w:val="22"/>
        </w:rPr>
        <w:t xml:space="preserve">(b) Advisor view: caseload-averaged reasoning trail for students at or above the watch threshold.</w:t>
      </w:r>
    </w:p>
    <w:p>
      <w:pPr>
        <w:keepNext/>
        <w:spacing w:before="120"/>
        <w:jc w:val="center"/>
      </w:pPr>
      <w:r>
        <w:drawing>
          <wp:inline distT="0" distB="0" distL="0" distR="0">
            <wp:extent cx="4295775" cy="2590800"/>
            <wp:effectExtent t="0" r="0" b="0" l="0"/>
            <wp:docPr id="1" name="fig_admin" descr="fig_admin" title="fig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95775" cy="2590800"/>
                    </a:xfrm>
                    <a:prstGeom prst="rect">
                      <a:avLst/>
                    </a:prstGeom>
                  </pic:spPr>
                </pic:pic>
              </a:graphicData>
            </a:graphic>
          </wp:inline>
        </w:drawing>
      </w:r>
    </w:p>
    <w:p>
      <w:pPr>
        <w:keepNext/>
        <w:spacing w:after="60" w:line="276"/>
        <w:jc w:val="center"/>
      </w:pPr>
      <w:r>
        <w:rPr>
          <w:rFonts w:ascii="Times New Roman" w:cs="Times New Roman" w:eastAsia="Times New Roman" w:hAnsi="Times New Roman"/>
          <w:sz w:val="22"/>
          <w:szCs w:val="22"/>
        </w:rPr>
        <w:t xml:space="preserve">(c) Administrator view: institution-wide performance summary and full-population reasoning trail.</w:t>
      </w:r>
    </w:p>
    <w:p>
      <w:pPr>
        <w:spacing w:after="240" w:before="60" w:line="276"/>
      </w:pPr>
      <w:r>
        <w:rPr>
          <w:rFonts w:ascii="Times New Roman" w:cs="Times New Roman" w:eastAsia="Times New Roman" w:hAnsi="Times New Roman"/>
          <w:sz w:val="22"/>
          <w:szCs w:val="22"/>
        </w:rPr>
        <w:t xml:space="preserve">Fig. 3. The three role-gated dashboard views rendered from the same prediction and explanation services.</w:t>
      </w:r>
    </w:p>
    <w:p>
      <w:pPr>
        <w:keepNext/>
        <w:spacing w:after="0" w:before="120" w:line="480"/>
      </w:pPr>
      <w:r>
        <w:rPr>
          <w:rFonts w:ascii="Times New Roman" w:cs="Times New Roman" w:eastAsia="Times New Roman" w:hAnsi="Times New Roman"/>
          <w:i/>
          <w:iCs/>
          <w:sz w:val="24"/>
          <w:szCs w:val="24"/>
        </w:rPr>
        <w:t xml:space="preserve">4.4. Security and LMS integration</w:t>
      </w:r>
    </w:p>
    <w:p>
      <w:pPr>
        <w:spacing w:after="0" w:line="480"/>
        <w:jc w:val="left"/>
      </w:pPr>
      <w:r>
        <w:rPr>
          <w:rFonts w:ascii="Times New Roman" w:cs="Times New Roman" w:eastAsia="Times New Roman" w:hAnsi="Times New Roman"/>
          <w:sz w:val="24"/>
          <w:szCs w:val="24"/>
        </w:rPr>
        <w:t xml:space="preserve">Role separation is enforced at both the LMS and the API, following the defence-in-depth principle of </w:t>
      </w:r>
      <w:r>
        <w:rPr>
          <w:rFonts w:ascii="Times New Roman" w:cs="Times New Roman" w:eastAsia="Times New Roman" w:hAnsi="Times New Roman"/>
          <w:sz w:val="24"/>
          <w:szCs w:val="24"/>
        </w:rPr>
        <w:t xml:space="preserve">Saltzer and Schroeder </w:t>
      </w:r>
      <w:sdt>
        <w:sdtPr>
          <w:rPr>
            <w:rFonts w:ascii="Times New Roman" w:cs="Times New Roman" w:eastAsia="Times New Roman" w:hAnsi="Times New Roman"/>
            <w:sz w:val="24"/>
            <w:szCs w:val="24"/>
          </w:rPr>
          <w:tag w:val="MENDELEY_CITATION_v3_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"/>
          <w:id w:val="999872393"/>
        </w:sdtPr>
        <w:sdtContent>
          <w:r>
            <w:rPr>
              <w:rFonts w:ascii="Times New Roman" w:cs="Times New Roman" w:eastAsia="Times New Roman" w:hAnsi="Times New Roman"/>
              <w:sz w:val="24"/>
              <w:szCs w:val="24"/>
            </w:rPr>
            <w:t xml:space="preserve">(1975)</w:t>
          </w:r>
        </w:sdtContent>
      </w:sdt>
      <w:r>
        <w:rPr>
          <w:rFonts w:ascii="Times New Roman" w:cs="Times New Roman" w:eastAsia="Times New Roman" w:hAnsi="Times New Roman"/>
          <w:sz w:val="24"/>
          <w:szCs w:val="24"/>
        </w:rPr>
        <w:t xml:space="preserve">. The API accepts either a JSON Web Token </w:t>
      </w:r>
      <w:sdt>
        <w:sdtPr>
          <w:rPr>
            <w:rFonts w:ascii="Times New Roman" w:cs="Times New Roman" w:eastAsia="Times New Roman" w:hAnsi="Times New Roman"/>
            <w:sz w:val="24"/>
            <w:szCs w:val="24"/>
          </w:rPr>
          <w:tag w:val="MENDELEY_CITATION_v3_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"/>
          <w:id w:val="1257484521"/>
        </w:sdtPr>
        <w:sdtContent>
          <w:r>
            <w:rPr>
              <w:rFonts w:ascii="Times New Roman" w:cs="Times New Roman" w:eastAsia="Times New Roman" w:hAnsi="Times New Roman"/>
              <w:sz w:val="24"/>
              <w:szCs w:val="24"/>
            </w:rPr>
            <w:t xml:space="preserve">(Jones et al., 2015)</w:t>
          </w:r>
        </w:sdtContent>
      </w:sdt>
      <w:r>
        <w:rPr>
          <w:rFonts w:ascii="Times New Roman" w:cs="Times New Roman" w:eastAsia="Times New Roman" w:hAnsi="Times New Roman"/>
          <w:sz w:val="24"/>
          <w:szCs w:val="24"/>
        </w:rPr>
        <w:t xml:space="preserve"> from its own login or, for server-to-server calls from the Moodle plugin, a shared service key, and it checks the forwarded role against each endpoint. The visible view is gated by the authenticated session, with no client-side mechanism to switch roles. Two integration paths were tested locally in Docker. In Moodle 5.2 the dashboard was integrated as a native local plugin, with all 22 module presentations loaded as courses, 28,785 students as users and 32,593 registrations as enrolments; login, role and course context come from Moodle, and cross-role and cross-course requests were refused when tested (Fig. 4). In Canvas, the dashboard was embedded through an External URL module item, because the available Canvas image predates LTI 1.3 support, so role resolution on that path relies on the dashboard’s own authentication. Both integrations establish technical feasibility rather than deployment readiness.</w:t>
      </w:r>
    </w:p>
    <w:p>
      <w:pPr>
        <w:keepNext/>
        <w:spacing w:before="240"/>
        <w:jc w:val="center"/>
      </w:pPr>
      <w:r>
        <w:drawing>
          <wp:inline distT="0" distB="0" distL="0" distR="0">
            <wp:extent cx="4676775" cy="3248025"/>
            <wp:effectExtent t="0" r="0" b="0" l="0"/>
            <wp:docPr id="1" name="fig_moodle" descr="fig_moodle" title="fig_moo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3248025"/>
                    </a:xfrm>
                    <a:prstGeom prst="rect">
                      <a:avLst/>
                    </a:prstGeom>
                  </pic:spPr>
                </pic:pic>
              </a:graphicData>
            </a:graphic>
          </wp:inline>
        </w:drawing>
      </w:r>
    </w:p>
    <w:p>
      <w:pPr>
        <w:spacing w:after="240" w:before="60" w:line="276"/>
      </w:pPr>
      <w:r>
        <w:rPr>
          <w:rFonts w:ascii="Times New Roman" w:cs="Times New Roman" w:eastAsia="Times New Roman" w:hAnsi="Times New Roman"/>
          <w:sz w:val="22"/>
          <w:szCs w:val="22"/>
        </w:rPr>
        <w:t xml:space="preserve">Fig. 4. At-risk insights page of the Moodle plugin in course FFF-2014J, showing the SHAP and LIME reasoning trail for one student.</w:t>
      </w:r>
    </w:p>
    <w:p>
      <w:pPr>
        <w:keepNext/>
        <w:spacing w:after="0" w:before="240" w:line="480"/>
      </w:pPr>
      <w:r>
        <w:rPr>
          <w:rFonts w:ascii="Times New Roman" w:cs="Times New Roman" w:eastAsia="Times New Roman" w:hAnsi="Times New Roman"/>
          <w:b/>
          <w:bCs/>
          <w:sz w:val="24"/>
          <w:szCs w:val="24"/>
        </w:rPr>
        <w:t xml:space="preserve">5. Results</w:t>
      </w:r>
    </w:p>
    <w:p>
      <w:pPr>
        <w:keepNext/>
        <w:spacing w:after="0" w:before="120" w:line="480"/>
      </w:pPr>
      <w:r>
        <w:rPr>
          <w:rFonts w:ascii="Times New Roman" w:cs="Times New Roman" w:eastAsia="Times New Roman" w:hAnsi="Times New Roman"/>
          <w:i/>
          <w:iCs/>
          <w:sz w:val="24"/>
          <w:szCs w:val="24"/>
        </w:rPr>
        <w:t xml:space="preserve">5.1. Predictive performance</w:t>
      </w:r>
    </w:p>
    <w:p>
      <w:pPr>
        <w:spacing w:after="0" w:line="480"/>
        <w:jc w:val="left"/>
      </w:pPr>
      <w:r>
        <w:rPr>
          <w:rFonts w:ascii="Times New Roman" w:cs="Times New Roman" w:eastAsia="Times New Roman" w:hAnsi="Times New Roman"/>
          <w:sz w:val="24"/>
          <w:szCs w:val="24"/>
        </w:rPr>
        <w:t xml:space="preserve">Table 3 reports out-of-fold performance for the three models. The prototype XGBoost model reached an accuracy of 0.8774, precision of 0.8659, recall of 0.9085, F1-score of 0.8867 and ROC-AUC of 0.9624. Its confusion matrix (Fig. 5) contains 15,634 true positives, 1,574 false negatives, 12,963 true negatives and 2,422 false positives, giving a specificity of 0.8426; about 13% of positive flags were therefore false. Random Forest obtained the highest F1-score (0.8976), accuracy and precision, while XGBoost had the highest recall. The spread in F1-score across the three models was 0.011. Under the recall-first selection criterion, XGBoost was retained for the prototype.</w:t>
      </w:r>
    </w:p>
    <w:p>
      <w:pPr>
        <w:keepNext/>
        <w:spacing w:after="80" w:before="240" w:line="276"/>
      </w:pPr>
      <w:r>
        <w:rPr>
          <w:rFonts w:ascii="Times New Roman" w:cs="Times New Roman" w:eastAsia="Times New Roman" w:hAnsi="Times New Roman"/>
          <w:sz w:val="22"/>
          <w:szCs w:val="22"/>
        </w:rPr>
        <w:t xml:space="preserve">Table 3. Out-of-fold performance under four-fold GroupKFold cross-validation grouped by course presentation (n = 32,593; threshold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1"/>
        <w:gridCol w:w="1289"/>
        <w:gridCol w:w="1289"/>
        <w:gridCol w:w="1289"/>
        <w:gridCol w:w="1289"/>
        <w:gridCol w:w="1549"/>
      </w:tblGrid>
      <w:tr>
        <w:trPr>
          <w:cantSplit/>
          <w:tblHeader/>
        </w:trPr>
        <w:tc>
          <w:tcPr>
            <w:tcW w:type="dxa" w:w="232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Model</w:t>
            </w:r>
          </w:p>
        </w:tc>
        <w:tc>
          <w:tcPr>
            <w:tcW w:type="dxa" w:w="128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Accuracy</w:t>
            </w:r>
          </w:p>
        </w:tc>
        <w:tc>
          <w:tcPr>
            <w:tcW w:type="dxa" w:w="128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Precision</w:t>
            </w:r>
          </w:p>
        </w:tc>
        <w:tc>
          <w:tcPr>
            <w:tcW w:type="dxa" w:w="128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Recall</w:t>
            </w:r>
          </w:p>
        </w:tc>
        <w:tc>
          <w:tcPr>
            <w:tcW w:type="dxa" w:w="128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F1-score</w:t>
            </w:r>
          </w:p>
        </w:tc>
        <w:tc>
          <w:tcPr>
            <w:tcW w:type="dxa" w:w="154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Prototype</w:t>
            </w:r>
          </w:p>
        </w:tc>
      </w:tr>
      <w:tr>
        <w:trPr>
          <w:cantSplit/>
        </w:trPr>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XGBoost</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0.8774</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0.8659</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0.9085</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0.8867</w:t>
            </w:r>
          </w:p>
        </w:tc>
        <w:tc>
          <w:tcPr>
            <w:tcW w:type="dxa" w:w="154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Yes</w:t>
            </w:r>
          </w:p>
        </w:tc>
      </w:tr>
      <w:tr>
        <w:trPr>
          <w:cantSplit/>
        </w:trPr>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Random Forest</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0.8921</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0.8997</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0.8955</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0.8976</w:t>
            </w:r>
          </w:p>
        </w:tc>
        <w:tc>
          <w:tcPr>
            <w:tcW w:type="dxa" w:w="154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No</w:t>
            </w:r>
          </w:p>
        </w:tc>
      </w:tr>
      <w:tr>
        <w:trPr>
          <w:cantSplit/>
        </w:trPr>
        <w:tc>
          <w:tcPr>
            <w:tcW w:type="dxa" w:w="232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Gradient Boosting</w:t>
            </w:r>
          </w:p>
        </w:tc>
        <w:tc>
          <w:tcPr>
            <w:tcW w:type="dxa" w:w="128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0.8869</w:t>
            </w:r>
          </w:p>
        </w:tc>
        <w:tc>
          <w:tcPr>
            <w:tcW w:type="dxa" w:w="128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0.8904</w:t>
            </w:r>
          </w:p>
        </w:tc>
        <w:tc>
          <w:tcPr>
            <w:tcW w:type="dxa" w:w="128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0.8962</w:t>
            </w:r>
          </w:p>
        </w:tc>
        <w:tc>
          <w:tcPr>
            <w:tcW w:type="dxa" w:w="128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0.8932</w:t>
            </w:r>
          </w:p>
        </w:tc>
        <w:tc>
          <w:tcPr>
            <w:tcW w:type="dxa" w:w="154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No</w:t>
            </w:r>
          </w:p>
        </w:tc>
      </w:tr>
    </w:tbl>
    <w:p>
      <w:pPr>
        <w:spacing w:after="240" w:before="60" w:line="240"/>
      </w:pPr>
      <w:r>
        <w:rPr>
          <w:rFonts w:ascii="Times New Roman" w:cs="Times New Roman" w:eastAsia="Times New Roman" w:hAnsi="Times New Roman"/>
          <w:sz w:val="20"/>
          <w:szCs w:val="20"/>
        </w:rPr>
        <w:t xml:space="preserve">Note. ROC-AUC for XGBoost was 0.9624. Bold marks the best value in each column.</w:t>
      </w:r>
    </w:p>
    <w:p>
      <w:pPr>
        <w:keepNext/>
        <w:spacing w:before="240"/>
        <w:jc w:val="center"/>
      </w:pPr>
      <w:r>
        <w:drawing>
          <wp:inline distT="0" distB="0" distL="0" distR="0">
            <wp:extent cx="5400675" cy="2057400"/>
            <wp:effectExtent t="0" r="0" b="0" l="0"/>
            <wp:docPr id="1" name="fig_performance" descr="fig_performance" title="fig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057400"/>
                    </a:xfrm>
                    <a:prstGeom prst="rect">
                      <a:avLst/>
                    </a:prstGeom>
                  </pic:spPr>
                </pic:pic>
              </a:graphicData>
            </a:graphic>
          </wp:inline>
        </w:drawing>
      </w:r>
    </w:p>
    <w:p>
      <w:pPr>
        <w:spacing w:after="240" w:before="60" w:line="276"/>
      </w:pPr>
      <w:r>
        <w:rPr>
          <w:rFonts w:ascii="Times New Roman" w:cs="Times New Roman" w:eastAsia="Times New Roman" w:hAnsi="Times New Roman"/>
          <w:sz w:val="22"/>
          <w:szCs w:val="22"/>
        </w:rPr>
        <w:t xml:space="preserve">Fig. 5. Out-of-fold accuracy, precision, recall and F1-score of the XGBoost prototype (left) and its confusion matrix at the 0.5 threshold (right), across all 32,593 observations.</w:t>
      </w:r>
    </w:p>
    <w:p>
      <w:pPr>
        <w:keepNext/>
        <w:spacing w:after="0" w:before="120" w:line="480"/>
      </w:pPr>
      <w:r>
        <w:rPr>
          <w:rFonts w:ascii="Times New Roman" w:cs="Times New Roman" w:eastAsia="Times New Roman" w:hAnsi="Times New Roman"/>
          <w:i/>
          <w:iCs/>
          <w:sz w:val="24"/>
          <w:szCs w:val="24"/>
        </w:rPr>
        <w:t xml:space="preserve">5.2. Variability across course presentations</w:t>
      </w:r>
    </w:p>
    <w:p>
      <w:pPr>
        <w:spacing w:after="0" w:line="480"/>
        <w:jc w:val="left"/>
      </w:pPr>
      <w:r>
        <w:rPr>
          <w:rFonts w:ascii="Times New Roman" w:cs="Times New Roman" w:eastAsia="Times New Roman" w:hAnsi="Times New Roman"/>
          <w:sz w:val="24"/>
          <w:szCs w:val="24"/>
        </w:rPr>
        <w:t xml:space="preserve">Because each fold holds out one presentation, performance can be reported for each unseen presentation (Table 4, Fig. 6). Accuracy ranged from 0.8456 (2014J) to 0.9161 (2013J), a spread of more than seven percentage points, and the error pattern reversed: the 2013 presentations had precision above 0.95 with recall of 0.86 to 0.88, while the 2014 presentations had precision of 0.81 to 0.82 with recall up to 0.9627. With only four presentation-level folds, the source of this variation cannot be attributed precisely, but the model’s operating point was not stable across cohorts even with the model and threshold held fixed.</w:t>
      </w:r>
    </w:p>
    <w:p>
      <w:pPr>
        <w:keepNext/>
        <w:spacing w:after="80" w:before="240" w:line="276"/>
      </w:pPr>
      <w:r>
        <w:rPr>
          <w:rFonts w:ascii="Times New Roman" w:cs="Times New Roman" w:eastAsia="Times New Roman" w:hAnsi="Times New Roman"/>
          <w:sz w:val="22"/>
          <w:szCs w:val="22"/>
        </w:rPr>
        <w:t xml:space="preserve">Table 4. XGBoost out-of-fold performance with each course presentation held out in 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128"/>
        <w:gridCol w:w="1379"/>
        <w:gridCol w:w="1254"/>
        <w:gridCol w:w="1254"/>
        <w:gridCol w:w="1254"/>
        <w:gridCol w:w="1253"/>
      </w:tblGrid>
      <w:tr>
        <w:trPr>
          <w:cantSplit/>
          <w:tblHeader/>
        </w:trPr>
        <w:tc>
          <w:tcPr>
            <w:tcW w:type="dxa" w:w="150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Presentation</w:t>
            </w:r>
          </w:p>
        </w:tc>
        <w:tc>
          <w:tcPr>
            <w:tcW w:type="dxa" w:w="112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n</w:t>
            </w:r>
          </w:p>
        </w:tc>
        <w:tc>
          <w:tcPr>
            <w:tcW w:type="dxa" w:w="137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At-risk rate</w:t>
            </w:r>
          </w:p>
        </w:tc>
        <w:tc>
          <w:tcPr>
            <w:tcW w:type="dxa" w:w="125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Accuracy</w:t>
            </w:r>
          </w:p>
        </w:tc>
        <w:tc>
          <w:tcPr>
            <w:tcW w:type="dxa" w:w="125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Precision</w:t>
            </w:r>
          </w:p>
        </w:tc>
        <w:tc>
          <w:tcPr>
            <w:tcW w:type="dxa" w:w="125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Recall</w:t>
            </w:r>
          </w:p>
        </w:tc>
        <w:tc>
          <w:tcPr>
            <w:tcW w:type="dxa" w:w="1253"/>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F1-score</w:t>
            </w:r>
          </w:p>
        </w:tc>
      </w:tr>
      <w:tr>
        <w:trPr>
          <w:cantSplit/>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2013B</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4,684</w:t>
            </w:r>
          </w:p>
        </w:tc>
        <w:tc>
          <w:tcPr>
            <w:tcW w:type="dxa" w:w="13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0.5527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0.9065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0.9506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0.8764</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0.9120</w:t>
            </w:r>
          </w:p>
        </w:tc>
      </w:tr>
      <w:tr>
        <w:trPr>
          <w:cantSplit/>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2013J</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8,845</w:t>
            </w:r>
          </w:p>
        </w:tc>
        <w:tc>
          <w:tcPr>
            <w:tcW w:type="dxa" w:w="13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0.4941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0.9161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0.9690</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0.8577</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0.9099</w:t>
            </w:r>
          </w:p>
        </w:tc>
      </w:tr>
      <w:tr>
        <w:trPr>
          <w:cantSplit/>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2014B</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7,804</w:t>
            </w:r>
          </w:p>
        </w:tc>
        <w:tc>
          <w:tcPr>
            <w:tcW w:type="dxa" w:w="13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0.5697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0.8619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0.8243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0.9627</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0.8882</w:t>
            </w:r>
          </w:p>
        </w:tc>
      </w:tr>
      <w:tr>
        <w:trPr>
          <w:cantSplit/>
        </w:trPr>
        <w:tc>
          <w:tcPr>
            <w:tcW w:type="dxa" w:w="150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2014J</w:t>
            </w:r>
          </w:p>
        </w:tc>
        <w:tc>
          <w:tcPr>
            <w:tcW w:type="dxa" w:w="112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11,260</w:t>
            </w:r>
          </w:p>
        </w:tc>
        <w:tc>
          <w:tcPr>
            <w:tcW w:type="dxa" w:w="137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0.5154</w:t>
            </w:r>
          </w:p>
        </w:tc>
        <w:tc>
          <w:tcPr>
            <w:tcW w:type="dxa" w:w="125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0.8456</w:t>
            </w:r>
          </w:p>
        </w:tc>
        <w:tc>
          <w:tcPr>
            <w:tcW w:type="dxa" w:w="125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0.8075</w:t>
            </w:r>
          </w:p>
        </w:tc>
        <w:tc>
          <w:tcPr>
            <w:tcW w:type="dxa" w:w="125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0.9197</w:t>
            </w:r>
          </w:p>
        </w:tc>
        <w:tc>
          <w:tcPr>
            <w:tcW w:type="dxa" w:w="1253"/>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0.8600</w:t>
            </w:r>
          </w:p>
        </w:tc>
      </w:tr>
    </w:tbl>
    <w:p>
      <w:pPr>
        <w:spacing w:after="240" w:before="60" w:line="240"/>
      </w:pPr>
    </w:p>
    <w:p>
      <w:pPr>
        <w:keepNext/>
        <w:spacing w:before="240"/>
        <w:jc w:val="center"/>
      </w:pPr>
      <w:r>
        <w:drawing>
          <wp:inline distT="0" distB="0" distL="0" distR="0">
            <wp:extent cx="4676775" cy="2457450"/>
            <wp:effectExtent t="0" r="0" b="0" l="0"/>
            <wp:docPr id="1" name="fig_presentations" descr="fig_presentations" title="fig_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457450"/>
                    </a:xfrm>
                    <a:prstGeom prst="rect">
                      <a:avLst/>
                    </a:prstGeom>
                  </pic:spPr>
                </pic:pic>
              </a:graphicData>
            </a:graphic>
          </wp:inline>
        </w:drawing>
      </w:r>
    </w:p>
    <w:p>
      <w:pPr>
        <w:spacing w:after="240" w:before="60" w:line="276"/>
      </w:pPr>
      <w:r>
        <w:rPr>
          <w:rFonts w:ascii="Times New Roman" w:cs="Times New Roman" w:eastAsia="Times New Roman" w:hAnsi="Times New Roman"/>
          <w:sz w:val="22"/>
          <w:szCs w:val="22"/>
        </w:rPr>
        <w:t xml:space="preserve">Fig. 6. XGBoost out-of-fold accuracy, precision, recall and F1-score for each held-out course presentation.</w:t>
      </w:r>
    </w:p>
    <w:p>
      <w:pPr>
        <w:keepNext/>
        <w:spacing w:after="0" w:before="120" w:line="480"/>
      </w:pPr>
      <w:r>
        <w:rPr>
          <w:rFonts w:ascii="Times New Roman" w:cs="Times New Roman" w:eastAsia="Times New Roman" w:hAnsi="Times New Roman"/>
          <w:i/>
          <w:iCs/>
          <w:sz w:val="24"/>
          <w:szCs w:val="24"/>
        </w:rPr>
        <w:t xml:space="preserve">5.3. Global SHAP explanations</w:t>
      </w:r>
    </w:p>
    <w:p>
      <w:pPr>
        <w:spacing w:after="0" w:line="480"/>
        <w:jc w:val="left"/>
      </w:pPr>
      <w:r>
        <w:rPr>
          <w:rFonts w:ascii="Times New Roman" w:cs="Times New Roman" w:eastAsia="Times New Roman" w:hAnsi="Times New Roman"/>
          <w:sz w:val="24"/>
          <w:szCs w:val="24"/>
        </w:rPr>
        <w:t xml:space="preserve">The number of assessments submitted dominated the global TreeSHAP ranking, with a mean absolute SHAP value of 3.1110, more than four times that of the second feature, active days (0.7087) (Table 5, Fig. 7). For the number of assessments submitted, mean score, active days, total clicks and minimum score, the correlation between feature value and SHAP value was strongly negative (−0.69 to −0.96), so higher values pushed predictions away from the at-risk class. The 28-day pre-deadline click window was an exception, with a positive correlation (+0.8354), in the opposite direction to total clicks and active days. The engagement variables are highly collinear (Spearman correlation of 0.98 between the 28-day window and total clicks; 0.95 and 0.92 for the 14- and 7-day windows), and SHAP attributions are affected by collinearity </w:t>
      </w:r>
      <w:sdt>
        <w:sdtPr>
          <w:rPr>
            <w:rFonts w:ascii="Times New Roman" w:cs="Times New Roman" w:eastAsia="Times New Roman" w:hAnsi="Times New Roman"/>
            <w:sz w:val="24"/>
            <w:szCs w:val="24"/>
          </w:rPr>
          <w:tag w:val="MENDELEY_CITATION_v3_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"/>
          <w:id w:val="1983075268"/>
        </w:sdtPr>
        <w:sdtContent>
          <w:r>
            <w:rPr>
              <w:rFonts w:ascii="Times New Roman" w:cs="Times New Roman" w:eastAsia="Times New Roman" w:hAnsi="Times New Roman"/>
              <w:sz w:val="24"/>
              <w:szCs w:val="24"/>
            </w:rPr>
            <w:t xml:space="preserve">(Salih et al., 2025)</w:t>
          </w:r>
        </w:sdtContent>
      </w:sdt>
      <w:r>
        <w:rPr>
          <w:rFonts w:ascii="Times New Roman" w:cs="Times New Roman" w:eastAsia="Times New Roman" w:hAnsi="Times New Roman"/>
          <w:sz w:val="24"/>
          <w:szCs w:val="24"/>
        </w:rPr>
        <w:t xml:space="preserve">. This is one possible explanation, but no dependence analysis was carried out, so the sign is reported as an observed property of the fitted model and not as evidence that late-window activity is itself a risk factor.</w:t>
      </w:r>
    </w:p>
    <w:p>
      <w:pPr>
        <w:keepNext/>
        <w:spacing w:after="80" w:before="240" w:line="276"/>
      </w:pPr>
      <w:r>
        <w:rPr>
          <w:rFonts w:ascii="Times New Roman" w:cs="Times New Roman" w:eastAsia="Times New Roman" w:hAnsi="Times New Roman"/>
          <w:sz w:val="22"/>
          <w:szCs w:val="22"/>
        </w:rPr>
        <w:t xml:space="preserve">Table 5. Top 10 features by global TreeSHAP importance and by aggregate LIME 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2"/>
        <w:gridCol w:w="2927"/>
        <w:gridCol w:w="1220"/>
        <w:gridCol w:w="2927"/>
        <w:gridCol w:w="1220"/>
      </w:tblGrid>
      <w:tr>
        <w:trPr>
          <w:cantSplit/>
          <w:tblHeader/>
        </w:trPr>
        <w:tc>
          <w:tcPr>
            <w:tcW w:type="dxa" w:w="73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Rank</w:t>
            </w:r>
          </w:p>
        </w:tc>
        <w:tc>
          <w:tcPr>
            <w:tcW w:type="dxa" w:w="292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SHAP feature</w:t>
            </w:r>
          </w:p>
        </w:tc>
        <w:tc>
          <w:tcPr>
            <w:tcW w:type="dxa" w:w="122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Mean |SHAP|</w:t>
            </w:r>
          </w:p>
        </w:tc>
        <w:tc>
          <w:tcPr>
            <w:tcW w:type="dxa" w:w="292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LIME feature (40 instances)</w:t>
            </w:r>
          </w:p>
        </w:tc>
        <w:tc>
          <w:tcPr>
            <w:tcW w:type="dxa" w:w="122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Mean |weight|</w:t>
            </w:r>
          </w:p>
        </w:tc>
      </w:tr>
      <w:tr>
        <w:trPr>
          <w:cantSplit/>
        </w:trPr>
        <w:tc>
          <w:tcPr>
            <w:tcW w:type="dxa" w:w="73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1</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Assessments submitted</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3.1110</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Assessments submitted</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0.3961</w:t>
            </w:r>
          </w:p>
        </w:tc>
      </w:tr>
      <w:tr>
        <w:trPr>
          <w:cantSplit/>
        </w:trPr>
        <w:tc>
          <w:tcPr>
            <w:tcW w:type="dxa" w:w="73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2</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Active days</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0.7087</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Module = FFF</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0.1397</w:t>
            </w:r>
          </w:p>
        </w:tc>
      </w:tr>
      <w:tr>
        <w:trPr>
          <w:cantSplit/>
        </w:trPr>
        <w:tc>
          <w:tcPr>
            <w:tcW w:type="dxa" w:w="73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3</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Module = FFF</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0.5338</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Module = AAA</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0.0995</w:t>
            </w:r>
          </w:p>
        </w:tc>
      </w:tr>
      <w:tr>
        <w:trPr>
          <w:cantSplit/>
        </w:trPr>
        <w:tc>
          <w:tcPr>
            <w:tcW w:type="dxa" w:w="73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4</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Mean score</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0.4790</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Mean score</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0.0640</w:t>
            </w:r>
          </w:p>
        </w:tc>
      </w:tr>
      <w:tr>
        <w:trPr>
          <w:cantSplit/>
        </w:trPr>
        <w:tc>
          <w:tcPr>
            <w:tcW w:type="dxa" w:w="73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5</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Total clicks</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0.3819</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Active days</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0.0498</w:t>
            </w:r>
          </w:p>
        </w:tc>
      </w:tr>
      <w:tr>
        <w:trPr>
          <w:cantSplit/>
        </w:trPr>
        <w:tc>
          <w:tcPr>
            <w:tcW w:type="dxa" w:w="73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6</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Clicks 28 days before deadline</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0.3111</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Presentation length</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0.0447</w:t>
            </w:r>
          </w:p>
        </w:tc>
      </w:tr>
      <w:tr>
        <w:trPr>
          <w:cantSplit/>
        </w:trPr>
        <w:tc>
          <w:tcPr>
            <w:tcW w:type="dxa" w:w="73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7</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Minimum score</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0.2741</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Clicks 28 days before deadline</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0.0236</w:t>
            </w:r>
          </w:p>
        </w:tc>
      </w:tr>
      <w:tr>
        <w:trPr>
          <w:cantSplit/>
        </w:trPr>
        <w:tc>
          <w:tcPr>
            <w:tcW w:type="dxa" w:w="73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8</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Presentation length</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0.2718</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Minimum score</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0.0183</w:t>
            </w:r>
          </w:p>
        </w:tc>
      </w:tr>
      <w:tr>
        <w:trPr>
          <w:cantSplit/>
        </w:trPr>
        <w:tc>
          <w:tcPr>
            <w:tcW w:type="dxa" w:w="73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9</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Module = EEE</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0.2285</w:t>
            </w:r>
          </w:p>
        </w:tc>
        <w:tc>
          <w:tcPr>
            <w:tcW w:type="dxa" w:w="29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Registration date</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0.0073</w:t>
            </w:r>
          </w:p>
        </w:tc>
      </w:tr>
      <w:tr>
        <w:trPr>
          <w:cantSplit/>
        </w:trPr>
        <w:tc>
          <w:tcPr>
            <w:tcW w:type="dxa" w:w="73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10</w:t>
            </w:r>
          </w:p>
        </w:tc>
        <w:tc>
          <w:tcPr>
            <w:tcW w:type="dxa" w:w="292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Mean days late</w:t>
            </w:r>
          </w:p>
        </w:tc>
        <w:tc>
          <w:tcPr>
            <w:tcW w:type="dxa" w:w="122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0.1468</w:t>
            </w:r>
          </w:p>
        </w:tc>
        <w:tc>
          <w:tcPr>
            <w:tcW w:type="dxa" w:w="292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Region = Wales</w:t>
            </w:r>
          </w:p>
        </w:tc>
        <w:tc>
          <w:tcPr>
            <w:tcW w:type="dxa" w:w="122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0.0043</w:t>
            </w:r>
          </w:p>
        </w:tc>
      </w:tr>
    </w:tbl>
    <w:p>
      <w:pPr>
        <w:spacing w:after="240" w:before="60" w:line="240"/>
      </w:pPr>
      <w:r>
        <w:rPr>
          <w:rFonts w:ascii="Times New Roman" w:cs="Times New Roman" w:eastAsia="Times New Roman" w:hAnsi="Times New Roman"/>
          <w:sz w:val="20"/>
          <w:szCs w:val="20"/>
        </w:rPr>
        <w:t xml:space="preserve">Note. SHAP values are in log-odds units, computed with the final fitted model over all 32,593 observations. Seven features appear in both top-10 lists. Mean instance-level top-5 overlap: 0.635 (SD 0.197).</w:t>
      </w:r>
    </w:p>
    <w:p>
      <w:pPr>
        <w:keepNext/>
        <w:spacing w:before="240"/>
        <w:jc w:val="center"/>
      </w:pPr>
      <w:r>
        <w:drawing>
          <wp:inline distT="0" distB="0" distL="0" distR="0">
            <wp:extent cx="4676775" cy="2857500"/>
            <wp:effectExtent t="0" r="0" b="0" l="0"/>
            <wp:docPr id="1" name="fig_shap" descr="fig_shap" title="fig_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76775" cy="2857500"/>
                    </a:xfrm>
                    <a:prstGeom prst="rect">
                      <a:avLst/>
                    </a:prstGeom>
                  </pic:spPr>
                </pic:pic>
              </a:graphicData>
            </a:graphic>
          </wp:inline>
        </w:drawing>
      </w:r>
    </w:p>
    <w:p>
      <w:pPr>
        <w:spacing w:after="240" w:before="60" w:line="276"/>
      </w:pPr>
      <w:r>
        <w:rPr>
          <w:rFonts w:ascii="Times New Roman" w:cs="Times New Roman" w:eastAsia="Times New Roman" w:hAnsi="Times New Roman"/>
          <w:sz w:val="22"/>
          <w:szCs w:val="22"/>
        </w:rPr>
        <w:t xml:space="preserve">Fig. 7. Top 15 features by global TreeSHAP importance (mean absolute SHAP value), computed with the final fitted model across all 32,593 observations.</w:t>
      </w:r>
    </w:p>
    <w:p>
      <w:pPr>
        <w:keepNext/>
        <w:spacing w:after="0" w:before="120" w:line="480"/>
      </w:pPr>
      <w:r>
        <w:rPr>
          <w:rFonts w:ascii="Times New Roman" w:cs="Times New Roman" w:eastAsia="Times New Roman" w:hAnsi="Times New Roman"/>
          <w:i/>
          <w:iCs/>
          <w:sz w:val="24"/>
          <w:szCs w:val="24"/>
        </w:rPr>
        <w:t xml:space="preserve">5.4. Agreement between SHAP and LIME</w:t>
      </w:r>
    </w:p>
    <w:p>
      <w:pPr>
        <w:spacing w:after="0" w:line="480"/>
        <w:jc w:val="left"/>
      </w:pPr>
      <w:r>
        <w:rPr>
          <w:rFonts w:ascii="Times New Roman" w:cs="Times New Roman" w:eastAsia="Times New Roman" w:hAnsi="Times New Roman"/>
          <w:sz w:val="24"/>
          <w:szCs w:val="24"/>
        </w:rPr>
        <w:t xml:space="preserve">Aggregated over the 40 sampled instances, LIME also ranked the number of assessments submitted first (mean absolute weight 0.3961), followed by the FFF and AAA module indicators and mean score (Fig. 8). The two aggregate top-10 rankings shared seven features: assessments submitted, active days, module FFF, mean score, the 28-day click window, minimum score and presentation length. SHAP additionally ranked total clicks, module EEE and mean lateness in its top ten, whereas LIME ranked module AAA, registration date and the Wales region indicator. At the instance level, the mean top-5 overlap was 0.635 (SD 0.197): on average just over three of a student’s top five SHAP features also appeared in that student’s top five LIME features. LIME tended to rank module indicators higher, consistent with its local, sample-based construction being more sensitive to instances in which module identity is locally decisive. In representative cases, such as a student in FFF-2014J predicted at 0.9998 (true label at risk) and a student in FFF-2014B predicted at 0.0038 (true label not at risk), both methods led with the number of assessments submitted.</w:t>
      </w:r>
    </w:p>
    <w:p>
      <w:pPr>
        <w:keepNext/>
        <w:spacing w:before="240"/>
        <w:jc w:val="center"/>
      </w:pPr>
      <w:r>
        <w:drawing>
          <wp:inline distT="0" distB="0" distL="0" distR="0">
            <wp:extent cx="5400675" cy="2028825"/>
            <wp:effectExtent t="0" r="0" b="0" l="0"/>
            <wp:docPr id="1" name="fig_shap_lime" descr="fig_shap_lime" title="fig_shap_l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028825"/>
                    </a:xfrm>
                    <a:prstGeom prst="rect">
                      <a:avLst/>
                    </a:prstGeom>
                  </pic:spPr>
                </pic:pic>
              </a:graphicData>
            </a:graphic>
          </wp:inline>
        </w:drawing>
      </w:r>
    </w:p>
    <w:p>
      <w:pPr>
        <w:spacing w:after="240" w:before="60" w:line="276"/>
      </w:pPr>
      <w:r>
        <w:rPr>
          <w:rFonts w:ascii="Times New Roman" w:cs="Times New Roman" w:eastAsia="Times New Roman" w:hAnsi="Times New Roman"/>
          <w:sz w:val="22"/>
          <w:szCs w:val="22"/>
        </w:rPr>
        <w:t xml:space="preserve">Fig. 8. Global SHAP top-10 features (left) and aggregate LIME top-10 features over 40 sampled instances (right).</w:t>
      </w:r>
    </w:p>
    <w:p>
      <w:pPr>
        <w:keepNext/>
        <w:spacing w:after="0" w:before="120" w:line="480"/>
      </w:pPr>
      <w:r>
        <w:rPr>
          <w:rFonts w:ascii="Times New Roman" w:cs="Times New Roman" w:eastAsia="Times New Roman" w:hAnsi="Times New Roman"/>
          <w:i/>
          <w:iCs/>
          <w:sz w:val="24"/>
          <w:szCs w:val="24"/>
        </w:rPr>
        <w:t xml:space="preserve">5.5. Stability of near-duplicate feature rankings</w:t>
      </w:r>
    </w:p>
    <w:p>
      <w:pPr>
        <w:spacing w:after="0" w:line="480"/>
        <w:jc w:val="left"/>
      </w:pPr>
      <w:r>
        <w:rPr>
          <w:rFonts w:ascii="Times New Roman" w:cs="Times New Roman" w:eastAsia="Times New Roman" w:hAnsi="Times New Roman"/>
          <w:sz w:val="24"/>
          <w:szCs w:val="24"/>
        </w:rPr>
        <w:t xml:space="preserve">The 28-day click window (0.3111) and total clicks (0.3819) sat close together in the SHAP ranking. Across eight fits with different random seeds, the 28-day window ranked above total clicks in four fits and below it in the other four, while the combined importance of the two features stayed within 0.57 to 0.69. Their relative order is therefore not a stable property of the model: where two features carry almost the same information, the ensemble distributes credit between them according to its random subsampling. The combined share of pre-deadline and total engagement was stable and well below that of assessment submission. In a separate execution, the out-of-fold metrics were reproduced exactly, matching those recorded in the model manifest, including the confusion matrix cell for cell.</w:t>
      </w:r>
    </w:p>
    <w:p>
      <w:pPr>
        <w:keepNext/>
        <w:spacing w:after="0" w:before="240" w:line="480"/>
      </w:pPr>
      <w:r>
        <w:rPr>
          <w:rFonts w:ascii="Times New Roman" w:cs="Times New Roman" w:eastAsia="Times New Roman" w:hAnsi="Times New Roman"/>
          <w:b/>
          <w:bCs/>
          <w:sz w:val="24"/>
          <w:szCs w:val="24"/>
        </w:rPr>
        <w:t xml:space="preserve">6. Discussion</w:t>
      </w:r>
    </w:p>
    <w:p>
      <w:pPr>
        <w:keepNext/>
        <w:spacing w:after="0" w:before="120" w:line="480"/>
      </w:pPr>
      <w:r>
        <w:rPr>
          <w:rFonts w:ascii="Times New Roman" w:cs="Times New Roman" w:eastAsia="Times New Roman" w:hAnsi="Times New Roman"/>
          <w:i/>
          <w:iCs/>
          <w:sz w:val="24"/>
          <w:szCs w:val="24"/>
        </w:rPr>
        <w:t xml:space="preserve">6.1. Predictive performance under a strict protocol</w:t>
      </w:r>
    </w:p>
    <w:p>
      <w:pPr>
        <w:spacing w:after="0" w:line="480"/>
        <w:jc w:val="left"/>
      </w:pPr>
      <w:r>
        <w:rPr>
          <w:rFonts w:ascii="Times New Roman" w:cs="Times New Roman" w:eastAsia="Times New Roman" w:hAnsi="Times New Roman"/>
          <w:sz w:val="24"/>
          <w:szCs w:val="24"/>
        </w:rPr>
        <w:t xml:space="preserve">The figures in Table 3 are lower than the highest accuracies reported on OULAD, such as the 96.9% reported by </w:t>
      </w:r>
      <w:r>
        <w:rPr>
          <w:rFonts w:ascii="Times New Roman" w:cs="Times New Roman" w:eastAsia="Times New Roman" w:hAnsi="Times New Roman"/>
          <w:sz w:val="24"/>
          <w:szCs w:val="24"/>
        </w:rPr>
        <w:t xml:space="preserve">Wang </w:t>
      </w:r>
      <w:sdt>
        <w:sdtPr>
          <w:rPr>
            <w:rFonts w:ascii="Times New Roman" w:cs="Times New Roman" w:eastAsia="Times New Roman" w:hAnsi="Times New Roman"/>
            <w:sz w:val="24"/>
            <w:szCs w:val="24"/>
          </w:rPr>
          <w:tag w:val="MENDELEY_CITATION_v3_eyJjaXRhdGlvbklEIjogIk1FTkRFTEVZX0NJVEFUSU9OXzNlODBhNzg4LWM4ZjAtNTQxYi1iYjI3LTEwZDMxMzU4MDUxOCIsICJwcm9wZXJ0aWVzIjogeyJub3RlSW5kZXgiOiAwfSwgImlzRWRpdGVkIjogZmFsc2UsICJtYW51YWxPdmVycmlkZSI6IHsiaXNNYW51YWxseU92ZXJyaWRkZW4iOiBmYWxzZSwgImNpdGVwcm9jVGV4dCI6ICIoMjAyNSkiLCAibWFudWFsT3ZlcnJpZGVUZXh0IjogIiJ9LCAiY2l0YXRpb25JdGVtcyI6IFt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UsICJzdXBwcmVzcy1hdXRob3IiOiB0cnVlfV19"/>
          <w:id w:val="973206041"/>
        </w:sdtPr>
        <w:sdtContent>
          <w:r>
            <w:rPr>
              <w:rFonts w:ascii="Times New Roman" w:cs="Times New Roman" w:eastAsia="Times New Roman" w:hAnsi="Times New Roman"/>
              <w:sz w:val="24"/>
              <w:szCs w:val="24"/>
            </w:rPr>
            <w:t xml:space="preserve">(2025)</w:t>
          </w:r>
        </w:sdtContent>
      </w:sdt>
      <w:r>
        <w:rPr>
          <w:rFonts w:ascii="Times New Roman" w:cs="Times New Roman" w:eastAsia="Times New Roman" w:hAnsi="Times New Roman"/>
          <w:sz w:val="24"/>
          <w:szCs w:val="24"/>
        </w:rPr>
        <w:t xml:space="preserve">, but they are not comparable. Grouping folds by presentation means every prediction was made by a model that had not seen the student’s cohort, which is closer to applying an existing model to a new presentation than the stratified random splits used in much of the literature </w:t>
      </w:r>
      <w:sdt>
        <w:sdtPr>
          <w:rPr>
            <w:rFonts w:ascii="Times New Roman" w:cs="Times New Roman" w:eastAsia="Times New Roman" w:hAnsi="Times New Roman"/>
            <w:sz w:val="24"/>
            <w:szCs w:val="24"/>
          </w:rPr>
          <w:tag w:val="MENDELEY_CITATION_v3_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"/>
          <w:id w:val="776492205"/>
        </w:sdtPr>
        <w:sdtContent>
          <w:r>
            <w:rPr>
              <w:rFonts w:ascii="Times New Roman" w:cs="Times New Roman" w:eastAsia="Times New Roman" w:hAnsi="Times New Roman"/>
              <w:sz w:val="24"/>
              <w:szCs w:val="24"/>
            </w:rPr>
            <w:t xml:space="preserve">(Jin et al., 2024; Krstajic et al., 2014)</w:t>
          </w:r>
        </w:sdtContent>
      </w:sdt>
      <w:r>
        <w:rPr>
          <w:rFonts w:ascii="Times New Roman" w:cs="Times New Roman" w:eastAsia="Times New Roman" w:hAnsi="Times New Roman"/>
          <w:sz w:val="24"/>
          <w:szCs w:val="24"/>
        </w:rPr>
        <w:t xml:space="preserve">. The per-presentation results reinforce this: one fixed model under one fixed protocol varied by more than seven accuracy points depending only on which presentation was held out. If protocol and cohort produce this much variation within a single evaluation, numerical differences between studies that differ in split, label definition and feature horizon carry little information about relative model quality </w:t>
      </w:r>
      <w:sdt>
        <w:sdtPr>
          <w:rPr>
            <w:rFonts w:ascii="Times New Roman" w:cs="Times New Roman" w:eastAsia="Times New Roman" w:hAnsi="Times New Roman"/>
            <w:sz w:val="24"/>
            <w:szCs w:val="24"/>
          </w:rPr>
          <w:tag w:val="MENDELEY_CITATION_v3_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"/>
          <w:id w:val="643744727"/>
        </w:sdtPr>
        <w:sdtContent>
          <w:r>
            <w:rPr>
              <w:rFonts w:ascii="Times New Roman" w:cs="Times New Roman" w:eastAsia="Times New Roman" w:hAnsi="Times New Roman"/>
              <w:sz w:val="24"/>
              <w:szCs w:val="24"/>
            </w:rPr>
            <w:t xml:space="preserve">(Pelánek, 2018)</w:t>
          </w:r>
        </w:sdtContent>
      </w:sdt>
      <w:r>
        <w:rPr>
          <w:rFonts w:ascii="Times New Roman" w:cs="Times New Roman" w:eastAsia="Times New Roman" w:hAnsi="Times New Roman"/>
          <w:sz w:val="24"/>
          <w:szCs w:val="24"/>
        </w:rPr>
        <w:t xml:space="preserve">.</w:t>
      </w:r>
    </w:p>
    <w:p>
      <w:pPr>
        <w:spacing w:after="0" w:line="480"/>
        <w:ind w:firstLine="567"/>
        <w:jc w:val="left"/>
      </w:pPr>
      <w:r>
        <w:rPr>
          <w:rFonts w:ascii="Times New Roman" w:cs="Times New Roman" w:eastAsia="Times New Roman" w:hAnsi="Times New Roman"/>
          <w:sz w:val="24"/>
          <w:szCs w:val="24"/>
        </w:rPr>
        <w:t xml:space="preserve">The error profile is asymmetric: recall exceeded precision at the untuned 0.5 threshold, so the model leans towards flagging. The 1,574 false negatives are students for whom no role would have received a basis to act, while the 2,422 false positives represent staff effort directed at students who did not withdraw or fail. The comparison with Random Forest shows that the choice of selection metric encodes a judgement about which error matters more, and stating that judgement explicitly is preferable to inheriting it from a general-purpose metric. Because the operating point changed between cohorts, an institution could not fully anticipate the error profile for a new cohort, which argues for periodic revalidation and for showing the current operating point to the roles that rely on it.</w:t>
      </w:r>
    </w:p>
    <w:p>
      <w:pPr>
        <w:keepNext/>
        <w:spacing w:after="0" w:before="120" w:line="480"/>
      </w:pPr>
      <w:r>
        <w:rPr>
          <w:rFonts w:ascii="Times New Roman" w:cs="Times New Roman" w:eastAsia="Times New Roman" w:hAnsi="Times New Roman"/>
          <w:i/>
          <w:iCs/>
          <w:sz w:val="24"/>
          <w:szCs w:val="24"/>
        </w:rPr>
        <w:t xml:space="preserve">6.2. What the explanations show</w:t>
      </w:r>
    </w:p>
    <w:p>
      <w:pPr>
        <w:spacing w:after="0" w:line="480"/>
        <w:jc w:val="left"/>
      </w:pPr>
      <w:r>
        <w:rPr>
          <w:rFonts w:ascii="Times New Roman" w:cs="Times New Roman" w:eastAsia="Times New Roman" w:hAnsi="Times New Roman"/>
          <w:sz w:val="24"/>
          <w:szCs w:val="24"/>
        </w:rPr>
        <w:t xml:space="preserve">The concentration of attribution on the number of assessments submitted has a benefit and a cost. Assessment submission is a concrete behaviour that an instructor or advisor can act on, but a reasoning trail dominated by one feature offers less differentiated information than an explanation layer might suggest, and may be read as confirming what is already visible in the gradebook. The direction of that association is also ambiguous, since a student who has decided to withdraw will stop submitting work. The attributions describe how the fitted model reached its output, not what caused a student’s situation, and the dashboard and this paper use the language of contribution and association rather than cause.</w:t>
      </w:r>
    </w:p>
    <w:p>
      <w:pPr>
        <w:spacing w:after="0" w:line="480"/>
        <w:ind w:firstLine="567"/>
        <w:jc w:val="left"/>
      </w:pPr>
      <w:r>
        <w:rPr>
          <w:rFonts w:ascii="Times New Roman" w:cs="Times New Roman" w:eastAsia="Times New Roman" w:hAnsi="Times New Roman"/>
          <w:sz w:val="24"/>
          <w:szCs w:val="24"/>
        </w:rPr>
        <w:t xml:space="preserve">The partial agreement between the methods is the most distinctive explainability finding. The methods agree strongly in aggregate but are not interchangeable for a single prediction, which is the level at which an instructor or advisor would consult them. This is not an error in either method: TreeSHAP computes exact Shapley values for the tree ensemble, whereas LIME fits a sparse local surrogate to sampled perturbations, so the two answer related but different questions </w:t>
      </w:r>
      <w:sdt>
        <w:sdtPr>
          <w:rPr>
            <w:rFonts w:ascii="Times New Roman" w:cs="Times New Roman" w:eastAsia="Times New Roman" w:hAnsi="Times New Roman"/>
            <w:sz w:val="24"/>
            <w:szCs w:val="24"/>
          </w:rPr>
          <w:tag w:val="MENDELEY_CITATION_v3_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"/>
          <w:id w:val="533492028"/>
        </w:sdtPr>
        <w:sdtContent>
          <w:r>
            <w:rPr>
              <w:rFonts w:ascii="Times New Roman" w:cs="Times New Roman" w:eastAsia="Times New Roman" w:hAnsi="Times New Roman"/>
              <w:sz w:val="24"/>
              <w:szCs w:val="24"/>
            </w:rPr>
            <w:t xml:space="preserve">(Lundberg et al., 2020; Ribeiro et al., 2016)</w:t>
          </w:r>
        </w:sdtContent>
      </w:sdt>
      <w:r>
        <w:rPr>
          <w:rFonts w:ascii="Times New Roman" w:cs="Times New Roman" w:eastAsia="Times New Roman" w:hAnsi="Times New Roman"/>
          <w:sz w:val="24"/>
          <w:szCs w:val="24"/>
        </w:rPr>
        <w:t xml:space="preserve">. The measured overlap converts the principled argument for showing both methods </w:t>
      </w:r>
      <w:sdt>
        <w:sdtPr>
          <w:rPr>
            <w:rFonts w:ascii="Times New Roman" w:cs="Times New Roman" w:eastAsia="Times New Roman" w:hAnsi="Times New Roman"/>
            <w:sz w:val="24"/>
            <w:szCs w:val="24"/>
          </w:rPr>
          <w:tag w:val="MENDELEY_CITATION_v3_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"/>
          <w:id w:val="1705916948"/>
        </w:sdtPr>
        <w:sdtContent>
          <w:r>
            <w:rPr>
              <w:rFonts w:ascii="Times New Roman" w:cs="Times New Roman" w:eastAsia="Times New Roman" w:hAnsi="Times New Roman"/>
              <w:sz w:val="24"/>
              <w:szCs w:val="24"/>
            </w:rPr>
            <w:t xml:space="preserve">(Salih et al., 2025)</w:t>
          </w:r>
        </w:sdtContent>
      </w:sdt>
      <w:r>
        <w:rPr>
          <w:rFonts w:ascii="Times New Roman" w:cs="Times New Roman" w:eastAsia="Times New Roman" w:hAnsi="Times New Roman"/>
          <w:sz w:val="24"/>
          <w:szCs w:val="24"/>
        </w:rPr>
        <w:t xml:space="preserve"> into an argument from evidence within this system: showing one method alone would hide a measurable degree of disagreement. Where the methods agree, a practitioner has a firmer basis for treating a contributor as a stable part of the model’s reasoning; where they diverge, the appropriate response is more caution about that explanation. The finding is consistent with the variability reported by </w:t>
      </w:r>
      <w:r>
        <w:rPr>
          <w:rFonts w:ascii="Times New Roman" w:cs="Times New Roman" w:eastAsia="Times New Roman" w:hAnsi="Times New Roman"/>
          <w:sz w:val="24"/>
          <w:szCs w:val="24"/>
        </w:rPr>
        <w:t xml:space="preserve">Hooshyar and Yang </w:t>
      </w:r>
      <w:sdt>
        <w:sdtPr>
          <w:rPr>
            <w:rFonts w:ascii="Times New Roman" w:cs="Times New Roman" w:eastAsia="Times New Roman" w:hAnsi="Times New Roman"/>
            <w:sz w:val="24"/>
            <w:szCs w:val="24"/>
          </w:rPr>
          <w:tag w:val="MENDELEY_CITATION_v3_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"/>
          <w:id w:val="386046158"/>
        </w:sdtPr>
        <w:sdtContent>
          <w:r>
            <w:rPr>
              <w:rFonts w:ascii="Times New Roman" w:cs="Times New Roman" w:eastAsia="Times New Roman" w:hAnsi="Times New Roman"/>
              <w:sz w:val="24"/>
              <w:szCs w:val="24"/>
            </w:rPr>
            <w:t xml:space="preserve">(2024)</w:t>
          </w:r>
        </w:sdtContent>
      </w:sdt>
      <w:r>
        <w:rPr>
          <w:rFonts w:ascii="Times New Roman" w:cs="Times New Roman" w:eastAsia="Times New Roman" w:hAnsi="Times New Roman"/>
          <w:sz w:val="24"/>
          <w:szCs w:val="24"/>
        </w:rPr>
        <w:t xml:space="preserve"> and adds a quantity to it for this model and dataset. The 28-day window result shows why direction must be inspected alongside magnitude: a ranking alone would have suggested that heavier late activity is a warning sign, which the evidence does not support.</w:t>
      </w:r>
    </w:p>
    <w:p>
      <w:pPr>
        <w:keepNext/>
        <w:spacing w:after="0" w:before="120" w:line="480"/>
      </w:pPr>
      <w:r>
        <w:rPr>
          <w:rFonts w:ascii="Times New Roman" w:cs="Times New Roman" w:eastAsia="Times New Roman" w:hAnsi="Times New Roman"/>
          <w:i/>
          <w:iCs/>
          <w:sz w:val="24"/>
          <w:szCs w:val="24"/>
        </w:rPr>
        <w:t xml:space="preserve">6.3. Role-aware design and the limits of the system</w:t>
      </w:r>
    </w:p>
    <w:p>
      <w:pPr>
        <w:spacing w:after="0" w:line="480"/>
        <w:jc w:val="left"/>
      </w:pPr>
      <w:r>
        <w:rPr>
          <w:rFonts w:ascii="Times New Roman" w:cs="Times New Roman" w:eastAsia="Times New Roman" w:hAnsi="Times New Roman"/>
          <w:sz w:val="24"/>
          <w:szCs w:val="24"/>
        </w:rPr>
        <w:t xml:space="preserve">The rationale for differentiating views is that the three roles act on different objects. The prediction and its attribution are the same for each role, but an instructor decides whether to change something in a running course, an advisor decides how to approach a particular student, and an administrator decides where to direct institutional attention. A single view would require at least two of them to aggregate or disaggregate information themselves. The technical results also indicate what each role specifically needs. For advisors, a caseload drawn from a cohort resembling 2014B (recall 0.9627, precision 0.8243) would be larger and contain more students who were not going to withdraw, so a caseload view that does not show current precision leaves the advisor unable to weigh each flag. For administrators, the between-cohort variability is arguably the most useful single output, since it indicates how often the model needs revisiting.</w:t>
      </w:r>
    </w:p>
    <w:p>
      <w:pPr>
        <w:spacing w:after="0" w:line="480"/>
        <w:ind w:firstLine="567"/>
        <w:jc w:val="left"/>
      </w:pPr>
      <w:r>
        <w:rPr>
          <w:rFonts w:ascii="Times New Roman" w:cs="Times New Roman" w:eastAsia="Times New Roman" w:hAnsi="Times New Roman"/>
          <w:sz w:val="24"/>
          <w:szCs w:val="24"/>
        </w:rPr>
        <w:t xml:space="preserve">CommonKADS contributed traceability from institutional context to interface: the Task Model’s decomposition into risk assessment, explanation generation, role assignment and explanation delivery is mirrored by the five-layer architecture, and each view’s granularity traces to the Agent Model. The Task Model stops at explanation delivery. Intervention is a task for the human agent, and the system is designed to support human interpretation without taking over the intervention decision (Fig. 9). An attribution identifying low assessment submission narrows where a practitioner should look but does not indicate what to do, since a student struggling with the material, one managing illness and one who has decided to leave may present the same feature values. A flag with a plausible explanation may still be a false positive, as roughly 13% of flags were here, and each would have been accompanied by a coherent reasoning trail. Whether side-by-side explanations help practitioners calibrate their reliance or make the interface harder to read can only be settled by observation; </w:t>
      </w:r>
      <w:r>
        <w:rPr>
          <w:rFonts w:ascii="Times New Roman" w:cs="Times New Roman" w:eastAsia="Times New Roman" w:hAnsi="Times New Roman"/>
          <w:sz w:val="24"/>
          <w:szCs w:val="24"/>
        </w:rPr>
        <w:t xml:space="preserve">Brdnik et al. </w:t>
      </w:r>
      <w:sdt>
        <w:sdtPr>
          <w:rPr>
            <w:rFonts w:ascii="Times New Roman" w:cs="Times New Roman" w:eastAsia="Times New Roman" w:hAnsi="Times New Roman"/>
            <w:sz w:val="24"/>
            <w:szCs w:val="24"/>
          </w:rPr>
          <w:tag w:val="MENDELEY_CITATION_v3_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"/>
          <w:id w:val="1501079115"/>
        </w:sdtPr>
        <w:sdtContent>
          <w:r>
            <w:rPr>
              <w:rFonts w:ascii="Times New Roman" w:cs="Times New Roman" w:eastAsia="Times New Roman" w:hAnsi="Times New Roman"/>
              <w:sz w:val="24"/>
              <w:szCs w:val="24"/>
            </w:rPr>
            <w:t xml:space="preserve">(2023)</w:t>
          </w:r>
        </w:sdtContent>
      </w:sdt>
      <w:r>
        <w:rPr>
          <w:rFonts w:ascii="Times New Roman" w:cs="Times New Roman" w:eastAsia="Times New Roman" w:hAnsi="Times New Roman"/>
          <w:sz w:val="24"/>
          <w:szCs w:val="24"/>
        </w:rPr>
        <w:t xml:space="preserve"> show how perceived trust and satisfaction with SHAP and LIME can be measured in a learning analytics setting.</w:t>
      </w:r>
    </w:p>
    <w:p>
      <w:pPr>
        <w:keepNext/>
        <w:spacing w:before="240"/>
        <w:jc w:val="center"/>
      </w:pPr>
      <w:r>
        <w:drawing>
          <wp:inline distT="0" distB="0" distL="0" distR="0">
            <wp:extent cx="5400675" cy="2019300"/>
            <wp:effectExtent t="0" r="0" b="0" l="0"/>
            <wp:docPr id="1" name="fig_pei" descr="fig_pei" title="fig_p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019300"/>
                    </a:xfrm>
                    <a:prstGeom prst="rect">
                      <a:avLst/>
                    </a:prstGeom>
                  </pic:spPr>
                </pic:pic>
              </a:graphicData>
            </a:graphic>
          </wp:inline>
        </w:drawing>
      </w:r>
    </w:p>
    <w:p>
      <w:pPr>
        <w:spacing w:after="240" w:before="60" w:line="276"/>
      </w:pPr>
      <w:r>
        <w:rPr>
          <w:rFonts w:ascii="Times New Roman" w:cs="Times New Roman" w:eastAsia="Times New Roman" w:hAnsi="Times New Roman"/>
          <w:sz w:val="22"/>
          <w:szCs w:val="22"/>
        </w:rPr>
        <w:t xml:space="preserve">Fig. 9. Relationship between prediction, explanation, human interpretation and intervention. The system performs the first two stages; interpretation and intervention remain with the practitioner.</w:t>
      </w:r>
    </w:p>
    <w:p>
      <w:pPr>
        <w:keepNext/>
        <w:spacing w:after="0" w:before="120" w:line="480"/>
      </w:pPr>
      <w:r>
        <w:rPr>
          <w:rFonts w:ascii="Times New Roman" w:cs="Times New Roman" w:eastAsia="Times New Roman" w:hAnsi="Times New Roman"/>
          <w:i/>
          <w:iCs/>
          <w:sz w:val="24"/>
          <w:szCs w:val="24"/>
        </w:rPr>
        <w:t xml:space="preserve">6.4. Candidate design guidelines</w:t>
      </w:r>
    </w:p>
    <w:p>
      <w:pPr>
        <w:spacing w:after="0" w:line="480"/>
        <w:jc w:val="left"/>
      </w:pPr>
      <w:r>
        <w:rPr>
          <w:rFonts w:ascii="Times New Roman" w:cs="Times New Roman" w:eastAsia="Times New Roman" w:hAnsi="Times New Roman"/>
          <w:sz w:val="24"/>
          <w:szCs w:val="24"/>
        </w:rPr>
        <w:t xml:space="preserve">The findings suggest six guidelines for explainable learning analytics dashboards, offered as candidates for empirical validation:</w:t>
      </w:r>
    </w:p>
    <w:p>
      <w:pPr>
        <w:pStyle w:val="ListParagraph"/>
        <w:numPr>
          <w:ilvl w:val="0"/>
          <w:numId w:val="2"/>
        </w:numPr>
        <w:spacing w:line="480"/>
      </w:pPr>
      <w:r>
        <w:rPr>
          <w:rFonts w:ascii="Times New Roman" w:cs="Times New Roman" w:eastAsia="Times New Roman" w:hAnsi="Times New Roman"/>
          <w:sz w:val="24"/>
          <w:szCs w:val="24"/>
        </w:rPr>
        <w:t xml:space="preserve">Report the agreement between explanation methods where more than one is available, since a single method presents a more settled picture of local model behaviour than the attributions support.</w:t>
      </w:r>
    </w:p>
    <w:p>
      <w:pPr>
        <w:pStyle w:val="ListParagraph"/>
        <w:numPr>
          <w:ilvl w:val="0"/>
          <w:numId w:val="2"/>
        </w:numPr>
        <w:spacing w:line="480"/>
      </w:pPr>
      <w:r>
        <w:rPr>
          <w:rFonts w:ascii="Times New Roman" w:cs="Times New Roman" w:eastAsia="Times New Roman" w:hAnsi="Times New Roman"/>
          <w:sz w:val="24"/>
          <w:szCs w:val="24"/>
        </w:rPr>
        <w:t xml:space="preserve">Let users inspect the direction of each contribution, not only its magnitude, and check for collinearity artefacts before attributions reach practitioners.</w:t>
      </w:r>
    </w:p>
    <w:p>
      <w:pPr>
        <w:pStyle w:val="ListParagraph"/>
        <w:numPr>
          <w:ilvl w:val="0"/>
          <w:numId w:val="2"/>
        </w:numPr>
        <w:spacing w:line="480"/>
      </w:pPr>
      <w:r>
        <w:rPr>
          <w:rFonts w:ascii="Times New Roman" w:cs="Times New Roman" w:eastAsia="Times New Roman" w:hAnsi="Times New Roman"/>
          <w:sz w:val="24"/>
          <w:szCs w:val="24"/>
        </w:rPr>
        <w:t xml:space="preserve">Use the language of contribution and association rather than causal or prescriptive language.</w:t>
      </w:r>
    </w:p>
    <w:p>
      <w:pPr>
        <w:pStyle w:val="ListParagraph"/>
        <w:numPr>
          <w:ilvl w:val="0"/>
          <w:numId w:val="2"/>
        </w:numPr>
        <w:spacing w:line="480"/>
      </w:pPr>
      <w:r>
        <w:rPr>
          <w:rFonts w:ascii="Times New Roman" w:cs="Times New Roman" w:eastAsia="Times New Roman" w:hAnsi="Times New Roman"/>
          <w:sz w:val="24"/>
          <w:szCs w:val="24"/>
        </w:rPr>
        <w:t xml:space="preserve">Show the current operating point (the balance between missed students and false alarms) to the roles that rely on it, and revalidate it for each new cohort.</w:t>
      </w:r>
    </w:p>
    <w:p>
      <w:pPr>
        <w:pStyle w:val="ListParagraph"/>
        <w:numPr>
          <w:ilvl w:val="0"/>
          <w:numId w:val="2"/>
        </w:numPr>
        <w:spacing w:line="480"/>
      </w:pPr>
      <w:r>
        <w:rPr>
          <w:rFonts w:ascii="Times New Roman" w:cs="Times New Roman" w:eastAsia="Times New Roman" w:hAnsi="Times New Roman"/>
          <w:sz w:val="24"/>
          <w:szCs w:val="24"/>
        </w:rPr>
        <w:t xml:space="preserve">Keep the boundary between explanation delivery by the system and intervention by the human, rather than extending the system to recommend actions its explanation methods cannot justify.</w:t>
      </w:r>
    </w:p>
    <w:p>
      <w:pPr>
        <w:pStyle w:val="ListParagraph"/>
        <w:numPr>
          <w:ilvl w:val="0"/>
          <w:numId w:val="2"/>
        </w:numPr>
        <w:spacing w:line="480"/>
      </w:pPr>
      <w:r>
        <w:rPr>
          <w:rFonts w:ascii="Times New Roman" w:cs="Times New Roman" w:eastAsia="Times New Roman" w:hAnsi="Times New Roman"/>
          <w:sz w:val="24"/>
          <w:szCs w:val="24"/>
        </w:rPr>
        <w:t xml:space="preserve">Report subgroup performance before the system is used to direct resources, and enforce role-based access to per-student risk information at more than one layer.</w:t>
      </w:r>
    </w:p>
    <w:p>
      <w:pPr>
        <w:keepNext/>
        <w:spacing w:after="0" w:before="120" w:line="480"/>
      </w:pPr>
      <w:r>
        <w:rPr>
          <w:rFonts w:ascii="Times New Roman" w:cs="Times New Roman" w:eastAsia="Times New Roman" w:hAnsi="Times New Roman"/>
          <w:i/>
          <w:iCs/>
          <w:sz w:val="24"/>
          <w:szCs w:val="24"/>
        </w:rPr>
        <w:t xml:space="preserve">6.5. Transferability</w:t>
      </w:r>
    </w:p>
    <w:p>
      <w:pPr>
        <w:spacing w:after="0" w:line="480"/>
        <w:jc w:val="left"/>
      </w:pPr>
      <w:r>
        <w:rPr>
          <w:rFonts w:ascii="Times New Roman" w:cs="Times New Roman" w:eastAsia="Times New Roman" w:hAnsi="Times New Roman"/>
          <w:sz w:val="24"/>
          <w:szCs w:val="24"/>
        </w:rPr>
        <w:t xml:space="preserve">All results come from one distance-learning institution, where the LMS is the primary site of study and withdrawal is common, and from presentations in 2013 and 2014. Given that performance moved by more than seven accuracy points across four presentations of the same modules, a model trained at one institution should be expected to need retraining and revalidation elsewhere rather than transfer as a fitted artefact. The CommonKADS design process, the layered architecture, the cached-global and on-demand-local explanation services and the reasoning trail rendered at several levels of aggregation do not depend on OULAD and are the parts most likely to transfer. Transfer would require LMS interaction and assessment data of sufficient completeness, reliably recorded deadlines, an outcome definition suited to the institution, roles that correspond to those modelled here and a governance position on the use of per-student risk predictions. Where teaching is largely in person and the LMS holds only supplementary material, the engagement features that carry much of the signal here would be sparse, and the approach would need to be reconsidered at the level of the Knowledge Model.</w:t>
      </w:r>
    </w:p>
    <w:p>
      <w:pPr>
        <w:keepNext/>
        <w:spacing w:after="0" w:before="120" w:line="480"/>
      </w:pPr>
      <w:r>
        <w:rPr>
          <w:rFonts w:ascii="Times New Roman" w:cs="Times New Roman" w:eastAsia="Times New Roman" w:hAnsi="Times New Roman"/>
          <w:i/>
          <w:iCs/>
          <w:sz w:val="24"/>
          <w:szCs w:val="24"/>
        </w:rPr>
        <w:t xml:space="preserve">6.6. Limitations</w:t>
      </w:r>
    </w:p>
    <w:p>
      <w:pPr>
        <w:spacing w:after="0" w:line="480"/>
        <w:jc w:val="left"/>
      </w:pPr>
      <w:r>
        <w:rPr>
          <w:rFonts w:ascii="Times New Roman" w:cs="Times New Roman" w:eastAsia="Times New Roman" w:hAnsi="Times New Roman"/>
          <w:sz w:val="24"/>
          <w:szCs w:val="24"/>
        </w:rPr>
        <w:t xml:space="preserve">Five limitations constrain these findings. First, no practitioner used the system, so trust, comprehension, usability and decision quality were not measured, and the role-specific design rests on published accounts rather than elicitation. Second, the features were computed over the full presentation, so the evaluation establishes retrospective classification rather than early-warning performance. Third, calibration of the displayed probabilities, subgroup fairness, explanation stability and fidelity, hyperparameter tuning, class-imbalance handling and trajectory features were planned but not completed, and the LIME analysis rests on 40 instances, with explanations computed in a one-hot feature space that splits categorical attributes across several indicators. Fourth, one registration feature (withdrew_before_start) partly encodes the outcome, since all 3,097 observations with this flag are labelled at risk; its mean absolute SHAP value in the final model is 0.00, because the same students have no submitted assessments, but it should be removed in future iterations. Fifth, the LMS integrations were tested in local containers rather than institutional installations.</w:t>
      </w:r>
    </w:p>
    <w:p>
      <w:pPr>
        <w:keepNext/>
        <w:spacing w:after="0" w:before="120" w:line="480"/>
      </w:pPr>
      <w:r>
        <w:rPr>
          <w:rFonts w:ascii="Times New Roman" w:cs="Times New Roman" w:eastAsia="Times New Roman" w:hAnsi="Times New Roman"/>
          <w:i/>
          <w:iCs/>
          <w:sz w:val="24"/>
          <w:szCs w:val="24"/>
        </w:rPr>
        <w:t xml:space="preserve">6.7. Future work</w:t>
      </w:r>
    </w:p>
    <w:p>
      <w:pPr>
        <w:spacing w:after="0" w:line="480"/>
        <w:jc w:val="left"/>
      </w:pPr>
      <w:r>
        <w:rPr>
          <w:rFonts w:ascii="Times New Roman" w:cs="Times New Roman" w:eastAsia="Times New Roman" w:hAnsi="Times New Roman"/>
          <w:sz w:val="24"/>
          <w:szCs w:val="24"/>
        </w:rPr>
        <w:t xml:space="preserve">Three priorities follow directly from these limitations: an early-warning evaluation with features restricted to the information available at fixed points such as weeks 2, 4, 6 and 8 </w:t>
      </w:r>
      <w:sdt>
        <w:sdtPr>
          <w:rPr>
            <w:rFonts w:ascii="Times New Roman" w:cs="Times New Roman" w:eastAsia="Times New Roman" w:hAnsi="Times New Roman"/>
            <w:sz w:val="24"/>
            <w:szCs w:val="24"/>
          </w:rPr>
          <w:tag w:val="MENDELEY_CITATION_v3_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"/>
          <w:id w:val="1674671377"/>
        </w:sdtPr>
        <w:sdtContent>
          <w:r>
            <w:rPr>
              <w:rFonts w:ascii="Times New Roman" w:cs="Times New Roman" w:eastAsia="Times New Roman" w:hAnsi="Times New Roman"/>
              <w:sz w:val="24"/>
              <w:szCs w:val="24"/>
            </w:rPr>
            <w:t xml:space="preserve">(Adnan et al., 2021)</w:t>
          </w:r>
        </w:sdtContent>
      </w:sdt>
      <w:r>
        <w:rPr>
          <w:rFonts w:ascii="Times New Roman" w:cs="Times New Roman" w:eastAsia="Times New Roman" w:hAnsi="Times New Roman"/>
          <w:sz w:val="24"/>
          <w:szCs w:val="24"/>
        </w:rPr>
        <w:t xml:space="preserve">; a calibration study comparing isotonic regression and Platt scaling </w:t>
      </w:r>
      <w:sdt>
        <w:sdtPr>
          <w:rPr>
            <w:rFonts w:ascii="Times New Roman" w:cs="Times New Roman" w:eastAsia="Times New Roman" w:hAnsi="Times New Roman"/>
            <w:sz w:val="24"/>
            <w:szCs w:val="24"/>
          </w:rPr>
          <w:tag w:val="MENDELEY_CITATION_v3_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"/>
          <w:id w:val="524193278"/>
        </w:sdtPr>
        <w:sdtContent>
          <w:r>
            <w:rPr>
              <w:rFonts w:ascii="Times New Roman" w:cs="Times New Roman" w:eastAsia="Times New Roman" w:hAnsi="Times New Roman"/>
              <w:sz w:val="24"/>
              <w:szCs w:val="24"/>
            </w:rPr>
            <w:t xml:space="preserve">(Guo et al., 2017; Niculescu-Mizil &amp; Caruana, 2005)</w:t>
          </w:r>
        </w:sdtContent>
      </w:sdt>
      <w:r>
        <w:rPr>
          <w:rFonts w:ascii="Times New Roman" w:cs="Times New Roman" w:eastAsia="Times New Roman" w:hAnsi="Times New Roman"/>
          <w:sz w:val="24"/>
          <w:szCs w:val="24"/>
        </w:rPr>
        <w:t xml:space="preserve">; and a subgroup fairness assessment across gender, age band, disability and IMD band </w:t>
      </w:r>
      <w:sdt>
        <w:sdtPr>
          <w:rPr>
            <w:rFonts w:ascii="Times New Roman" w:cs="Times New Roman" w:eastAsia="Times New Roman" w:hAnsi="Times New Roman"/>
            <w:sz w:val="24"/>
            <w:szCs w:val="24"/>
          </w:rPr>
          <w:tag w:val="MENDELEY_CITATION_v3_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"/>
          <w:id w:val="175782304"/>
        </w:sdtPr>
        <w:sdtContent>
          <w:r>
            <w:rPr>
              <w:rFonts w:ascii="Times New Roman" w:cs="Times New Roman" w:eastAsia="Times New Roman" w:hAnsi="Times New Roman"/>
              <w:sz w:val="24"/>
              <w:szCs w:val="24"/>
            </w:rPr>
            <w:t xml:space="preserve">(Hardt et al., 2016; Mitchell et al., 2019)</w:t>
          </w:r>
        </w:sdtContent>
      </w:sdt>
      <w:r>
        <w:rPr>
          <w:rFonts w:ascii="Times New Roman" w:cs="Times New Roman" w:eastAsia="Times New Roman" w:hAnsi="Times New Roman"/>
          <w:sz w:val="24"/>
          <w:szCs w:val="24"/>
        </w:rPr>
        <w:t xml:space="preserve">. Beyond these, a study with instructors, advisors and administrators should test how the role-specific views are read and used, drawing on the perceived usefulness and ease of use constructs of TAM, and the approach should be applied to data from other institutions and modes of study.</w:t>
      </w:r>
    </w:p>
    <w:p>
      <w:pPr>
        <w:keepNext/>
        <w:spacing w:after="0" w:before="240" w:line="480"/>
      </w:pPr>
      <w:r>
        <w:rPr>
          <w:rFonts w:ascii="Times New Roman" w:cs="Times New Roman" w:eastAsia="Times New Roman" w:hAnsi="Times New Roman"/>
          <w:b/>
          <w:bCs/>
          <w:sz w:val="24"/>
          <w:szCs w:val="24"/>
        </w:rPr>
        <w:t xml:space="preserve">7. Conclusion</w:t>
      </w:r>
    </w:p>
    <w:p>
      <w:pPr>
        <w:spacing w:after="0" w:line="480"/>
        <w:jc w:val="left"/>
      </w:pPr>
      <w:r>
        <w:rPr>
          <w:rFonts w:ascii="Times New Roman" w:cs="Times New Roman" w:eastAsia="Times New Roman" w:hAnsi="Times New Roman"/>
          <w:sz w:val="24"/>
          <w:szCs w:val="24"/>
        </w:rPr>
        <w:t xml:space="preserve">This study designed, implemented and technically evaluated a role-aware explainable AI dashboard that delivers predictions and explanations from one model to instructors, advisors and administrators at different levels of aggregation. On RQ1, a cached global TreeSHAP service paired with on-demand local SHAP and LIME ran at full dataset scale and produced attributions traceable to a versioned model and feature contract. On RQ2, the CommonKADS models yielded a traceable specification of three role-gated views that share one reasoning trail at individual, caseload and cohort granularity. On RQ3, the technical preconditions for supporting practitioner interpretation are in place: the model discriminates well on unseen presentations, and its explanations are human-readable and cross-checked, with a measured instance-level SHAP and LIME overlap of 0.635 that supports showing both methods. Results describe retrospective classification on a single dataset, and whether the dashboard improves practitioners’ trust, understanding or decisions remains to be tested. The prototype provides a verified technical foundation for that evaluation.</w:t>
      </w:r>
    </w:p>
    <w:p>
      <w:pPr>
        <w:keepNext/>
        <w:spacing w:after="0" w:before="240" w:line="480"/>
      </w:pPr>
      <w:r>
        <w:rPr>
          <w:rFonts w:ascii="Times New Roman" w:cs="Times New Roman" w:eastAsia="Times New Roman" w:hAnsi="Times New Roman"/>
          <w:b/>
          <w:bCs/>
          <w:sz w:val="24"/>
          <w:szCs w:val="24"/>
        </w:rPr>
        <w:t xml:space="preserve">CRediT authorship contribution statement</w:t>
      </w:r>
    </w:p>
    <w:p>
      <w:pPr>
        <w:spacing w:line="480"/>
      </w:pPr>
      <w:r>
        <w:rPr>
          <w:rFonts w:ascii="Times New Roman" w:cs="Times New Roman" w:eastAsia="Times New Roman" w:hAnsi="Times New Roman"/>
          <w:sz w:val="24"/>
          <w:szCs w:val="24"/>
        </w:rPr>
        <w:t xml:space="preserve">Daniel Larry: Conceptualization, Methodology, Software, Formal analysis, Investigation, Data curation, Visualization, Writing – original draft. Zainab Shamsiya Usman: Supervision, Methodology, Writing – review &amp; editing.</w:t>
      </w:r>
      <w:r>
        <w:rPr>
          <w:rFonts w:ascii="Times New Roman" w:cs="Times New Roman" w:eastAsia="Times New Roman" w:hAnsi="Times New Roman"/>
          <w:sz w:val="24"/>
          <w:szCs w:val="24"/>
          <w:highlight w:val="yellow"/>
        </w:rPr>
        <w:t xml:space="preserve"> [Authors to confirm.]</w:t>
      </w:r>
    </w:p>
    <w:p>
      <w:pPr>
        <w:keepNext/>
        <w:spacing w:after="0" w:before="240" w:line="480"/>
      </w:pPr>
      <w:r>
        <w:rPr>
          <w:rFonts w:ascii="Times New Roman" w:cs="Times New Roman" w:eastAsia="Times New Roman" w:hAnsi="Times New Roman"/>
          <w:b/>
          <w:bCs/>
          <w:sz w:val="24"/>
          <w:szCs w:val="24"/>
        </w:rPr>
        <w:t xml:space="preserve">Declaration of competing interest</w:t>
      </w:r>
    </w:p>
    <w:p>
      <w:pPr>
        <w:spacing w:line="480"/>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r>
        <w:rPr>
          <w:rFonts w:ascii="Times New Roman" w:cs="Times New Roman" w:eastAsia="Times New Roman" w:hAnsi="Times New Roman"/>
          <w:sz w:val="24"/>
          <w:szCs w:val="24"/>
          <w:highlight w:val="yellow"/>
        </w:rPr>
        <w:t xml:space="preserve"> [Authors to confirm.]</w:t>
      </w:r>
    </w:p>
    <w:p>
      <w:pPr>
        <w:keepNext/>
        <w:spacing w:after="0" w:before="240" w:line="480"/>
      </w:pPr>
      <w:r>
        <w:rPr>
          <w:rFonts w:ascii="Times New Roman" w:cs="Times New Roman" w:eastAsia="Times New Roman" w:hAnsi="Times New Roman"/>
          <w:b/>
          <w:bCs/>
          <w:sz w:val="24"/>
          <w:szCs w:val="24"/>
        </w:rPr>
        <w:t xml:space="preserve">Funding</w:t>
      </w:r>
    </w:p>
    <w:p>
      <w:pPr>
        <w:spacing w:line="480"/>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r>
        <w:rPr>
          <w:rFonts w:ascii="Times New Roman" w:cs="Times New Roman" w:eastAsia="Times New Roman" w:hAnsi="Times New Roman"/>
          <w:sz w:val="24"/>
          <w:szCs w:val="24"/>
          <w:highlight w:val="yellow"/>
        </w:rPr>
        <w:t xml:space="preserve"> [Authors to confirm.]</w:t>
      </w:r>
    </w:p>
    <w:p>
      <w:pPr>
        <w:keepNext/>
        <w:spacing w:after="0" w:before="240" w:line="480"/>
      </w:pPr>
      <w:r>
        <w:rPr>
          <w:rFonts w:ascii="Times New Roman" w:cs="Times New Roman" w:eastAsia="Times New Roman" w:hAnsi="Times New Roman"/>
          <w:b/>
          <w:bCs/>
          <w:sz w:val="24"/>
          <w:szCs w:val="24"/>
        </w:rPr>
        <w:t xml:space="preserve">Ethics statement</w:t>
      </w:r>
    </w:p>
    <w:p>
      <w:pPr>
        <w:spacing w:line="480"/>
      </w:pPr>
      <w:r>
        <w:rPr>
          <w:rFonts w:ascii="Times New Roman" w:cs="Times New Roman" w:eastAsia="Times New Roman" w:hAnsi="Times New Roman"/>
          <w:sz w:val="24"/>
          <w:szCs w:val="24"/>
        </w:rPr>
        <w:t xml:space="preserve">The study used only the publicly available, anonymised Open University Learning Analytics Dataset. No primary data were collected from students, instructors, advisors or administrators.</w:t>
      </w:r>
    </w:p>
    <w:p>
      <w:pPr>
        <w:keepNext/>
        <w:spacing w:after="0" w:before="240" w:line="480"/>
      </w:pPr>
      <w:r>
        <w:rPr>
          <w:rFonts w:ascii="Times New Roman" w:cs="Times New Roman" w:eastAsia="Times New Roman" w:hAnsi="Times New Roman"/>
          <w:b/>
          <w:bCs/>
          <w:sz w:val="24"/>
          <w:szCs w:val="24"/>
        </w:rPr>
        <w:t xml:space="preserve">Data availability</w:t>
      </w:r>
    </w:p>
    <w:p>
      <w:pPr>
        <w:spacing w:line="480"/>
      </w:pPr>
      <w:r>
        <w:rPr>
          <w:rFonts w:ascii="Times New Roman" w:cs="Times New Roman" w:eastAsia="Times New Roman" w:hAnsi="Times New Roman"/>
          <w:sz w:val="24"/>
          <w:szCs w:val="24"/>
        </w:rPr>
        <w:t xml:space="preserve">OULAD is publicly available </w:t>
      </w:r>
      <w:sdt>
        <w:sdtPr>
          <w:rPr>
            <w:rFonts w:ascii="Times New Roman" w:cs="Times New Roman" w:eastAsia="Times New Roman" w:hAnsi="Times New Roman"/>
            <w:sz w:val="24"/>
            <w:szCs w:val="24"/>
          </w:rPr>
          <w:tag w:val="MENDELEY_CITATION_v3_eyJjaXRhdGlvbklEIjogIk1FTkRFTEVZX0NJVEFUSU9OXzRiMTZlMmFmLWU3NjEtNTYzNS1iYTFkLTYxOGJmNzBhZWFhNC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1233565528"/>
        </w:sdtPr>
        <w:sdtContent>
          <w:r>
            <w:rPr>
              <w:rFonts w:ascii="Times New Roman" w:cs="Times New Roman" w:eastAsia="Times New Roman" w:hAnsi="Times New Roman"/>
              <w:sz w:val="24"/>
              <w:szCs w:val="24"/>
            </w:rPr>
            <w:t xml:space="preserve">(Kuzilek et al., 2017)</w:t>
          </w:r>
        </w:sdtContent>
      </w:sdt>
      <w:r>
        <w:rPr>
          <w:rFonts w:ascii="Times New Roman" w:cs="Times New Roman" w:eastAsia="Times New Roman" w:hAnsi="Times New Roman"/>
          <w:sz w:val="24"/>
          <w:szCs w:val="24"/>
        </w:rPr>
        <w:t xml:space="preserve">. The prototype source code, including data preparation, model training, explanation services, the Flask API, the React dashboard and the Moodle plugin, is available at https://github.com/daniel-larry/role-aware-xai-dashboard.</w:t>
      </w:r>
    </w:p>
    <w:p>
      <w:pPr>
        <w:keepNext/>
        <w:spacing w:after="0" w:before="240" w:line="480"/>
      </w:pPr>
      <w:r>
        <w:rPr>
          <w:rFonts w:ascii="Times New Roman" w:cs="Times New Roman" w:eastAsia="Times New Roman" w:hAnsi="Times New Roman"/>
          <w:b/>
          <w:bCs/>
          <w:sz w:val="24"/>
          <w:szCs w:val="24"/>
        </w:rPr>
        <w:t xml:space="preserve">Declaration of generative AI and AI-assisted technologies in the writing process</w:t>
      </w:r>
    </w:p>
    <w:p>
      <w:pPr>
        <w:spacing w:line="480"/>
      </w:pPr>
      <w:r>
        <w:rPr>
          <w:rFonts w:ascii="Times New Roman" w:cs="Times New Roman" w:eastAsia="Times New Roman" w:hAnsi="Times New Roman"/>
          <w:sz w:val="24"/>
          <w:szCs w:val="24"/>
        </w:rPr>
        <w:t xml:space="preserve">During the preparation of this work the authors used Claude (Anthropic) to condense the master’s thesis on which this article is based into journal format and to verify and format the references. After using this tool, the authors reviewed and edited the content as needed and take full responsibility for the content of the published article.</w:t>
      </w:r>
      <w:r>
        <w:rPr>
          <w:rFonts w:ascii="Times New Roman" w:cs="Times New Roman" w:eastAsia="Times New Roman" w:hAnsi="Times New Roman"/>
          <w:sz w:val="24"/>
          <w:szCs w:val="24"/>
          <w:highlight w:val="yellow"/>
        </w:rPr>
        <w:t xml:space="preserve"> [Authors to confirm.]</w:t>
      </w:r>
    </w:p>
    <w:p>
      <w:pPr>
        <w:keepNext/>
        <w:spacing w:after="0" w:before="240" w:line="480"/>
      </w:pPr>
      <w:r>
        <w:rPr>
          <w:rFonts w:ascii="Times New Roman" w:cs="Times New Roman" w:eastAsia="Times New Roman" w:hAnsi="Times New Roman"/>
          <w:b/>
          <w:bCs/>
          <w:sz w:val="24"/>
          <w:szCs w:val="24"/>
        </w:rPr>
        <w:t xml:space="preserve">Acknowledgements</w:t>
      </w:r>
    </w:p>
    <w:p>
      <w:pPr>
        <w:spacing w:line="480"/>
      </w:pPr>
      <w:r>
        <w:rPr>
          <w:rFonts w:ascii="Times New Roman" w:cs="Times New Roman" w:eastAsia="Times New Roman" w:hAnsi="Times New Roman"/>
          <w:sz w:val="24"/>
          <w:szCs w:val="24"/>
        </w:rPr>
        <w:t xml:space="preserve">This article is based on the first author’s MSc thesis in Computer Science at the American University of Nigeria.</w:t>
      </w:r>
    </w:p>
    <w:p>
      <w:pPr>
        <w:keepNext/>
        <w:spacing w:after="0" w:before="240" w:line="480"/>
      </w:pPr>
      <w:r>
        <w:rPr>
          <w:rFonts w:ascii="Times New Roman" w:cs="Times New Roman" w:eastAsia="Times New Roman" w:hAnsi="Times New Roman"/>
          <w:b/>
          <w:bCs/>
          <w:sz w:val="24"/>
          <w:szCs w:val="24"/>
        </w:rPr>
        <w:t xml:space="preserve">Appendix A. Reproducibility details</w:t>
      </w:r>
    </w:p>
    <w:p>
      <w:pPr>
        <w:keepNext/>
        <w:spacing w:after="80" w:before="240" w:line="276"/>
      </w:pPr>
      <w:r>
        <w:rPr>
          <w:rFonts w:ascii="Times New Roman" w:cs="Times New Roman" w:eastAsia="Times New Roman" w:hAnsi="Times New Roman"/>
          <w:sz w:val="22"/>
          <w:szCs w:val="22"/>
        </w:rPr>
        <w:t xml:space="preserve">Table A.1. Reproducibility details of the evaluated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6249"/>
      </w:tblGrid>
      <w:tr>
        <w:trPr>
          <w:cantSplit/>
          <w:tblHeader/>
        </w:trPr>
        <w:tc>
          <w:tcPr>
            <w:tcW w:type="dxa" w:w="277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Item</w:t>
            </w:r>
          </w:p>
        </w:tc>
        <w:tc>
          <w:tcPr>
            <w:tcW w:type="dxa" w:w="624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Value</w:t>
            </w:r>
          </w:p>
        </w:tc>
      </w:tr>
      <w:tr>
        <w:trPr>
          <w:cantSplit/>
        </w:trPr>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Software</w:t>
            </w:r>
          </w:p>
        </w:tc>
        <w:tc>
          <w:tcPr>
            <w:tcW w:type="dxa" w:w="624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Python 3.11.16; scikit-learn 1.9.1; xgboost 3.2.0; pandas 3.0.6; NumPy 2.4.6; SHAP 0.51.0; LIME 0.2.0.1; joblib 1.6.0; Flask 3.1.3; PyJWT 2.15.1; gunicorn 26.2.0.</w:t>
            </w:r>
          </w:p>
        </w:tc>
      </w:tr>
      <w:tr>
        <w:trPr>
          <w:cantSplit/>
        </w:trPr>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Hardware</w:t>
            </w:r>
          </w:p>
        </w:tc>
        <w:tc>
          <w:tcPr>
            <w:tcW w:type="dxa" w:w="624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Docker container on a Linux x86_64 host with 4 virtual CPUs and 16 GB of memory; no GPU.</w:t>
            </w:r>
          </w:p>
        </w:tc>
      </w:tr>
      <w:tr>
        <w:trPr>
          <w:cantSplit/>
        </w:trPr>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Code version</w:t>
            </w:r>
          </w:p>
        </w:tc>
        <w:tc>
          <w:tcPr>
            <w:tcW w:type="dxa" w:w="624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github.com/daniel-larry/role-aware-xai-dashboard, branch main, commit 7c0068b.</w:t>
            </w:r>
          </w:p>
        </w:tc>
      </w:tr>
      <w:tr>
        <w:trPr>
          <w:cantSplit/>
        </w:trPr>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Model artefact</w:t>
            </w:r>
          </w:p>
        </w:tc>
        <w:tc>
          <w:tcPr>
            <w:tcW w:type="dxa" w:w="624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Serialised joblib pipeline (preprocessing and model) with a JSON manifest; identifier xgb-20260929-112741.</w:t>
            </w:r>
          </w:p>
        </w:tc>
      </w:tr>
      <w:tr>
        <w:trPr>
          <w:cantSplit/>
        </w:trPr>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Model configuration</w:t>
            </w:r>
          </w:p>
        </w:tc>
        <w:tc>
          <w:tcPr>
            <w:tcW w:type="dxa" w:w="624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XGBoost, 300 estimators, maximum depth 5, learning rate 0.05, subsample 0.8, column subsample 0.8; threshold 0.5; no resampling or hyperparameter search.</w:t>
            </w:r>
          </w:p>
        </w:tc>
      </w:tr>
      <w:tr>
        <w:trPr>
          <w:cantSplit/>
        </w:trPr>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Validation</w:t>
            </w:r>
          </w:p>
        </w:tc>
        <w:tc>
          <w:tcPr>
            <w:tcW w:type="dxa" w:w="624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GroupKFold, four folds grouped by code_presentation (2013B, 2013J, 2014B, 2014J); out-of-fold metrics over all 32,593 observations.</w:t>
            </w:r>
          </w:p>
        </w:tc>
      </w:tr>
      <w:tr>
        <w:trPr>
          <w:cantSplit/>
        </w:trPr>
        <w:tc>
          <w:tcPr>
            <w:tcW w:type="dxa" w:w="277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Random seeds</w:t>
            </w:r>
          </w:p>
        </w:tc>
        <w:tc>
          <w:tcPr>
            <w:tcW w:type="dxa" w:w="624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random_state = 42 throughout; LIME sample of 40 instances with NumPy default_rng, seed 42; seed-stability refits with random_state 1 to 7.</w:t>
            </w:r>
          </w:p>
        </w:tc>
      </w:tr>
    </w:tbl>
    <w:p>
      <w:pPr>
        <w:spacing w:after="240" w:before="60" w:line="240"/>
      </w:pPr>
    </w:p>
    <w:p>
      <w:pPr>
        <w:keepNext/>
        <w:spacing w:after="0" w:before="240" w:line="480"/>
      </w:pPr>
      <w:r>
        <w:rPr>
          <w:rFonts w:ascii="Times New Roman" w:cs="Times New Roman" w:eastAsia="Times New Roman" w:hAnsi="Times New Roman"/>
          <w:b/>
          <w:bCs/>
          <w:sz w:val="24"/>
          <w:szCs w:val="24"/>
        </w:rPr>
        <w:t xml:space="preserve">Appendix B. Feature definitions</w:t>
      </w:r>
    </w:p>
    <w:p>
      <w:pPr>
        <w:spacing w:after="0" w:line="480"/>
        <w:jc w:val="left"/>
      </w:pPr>
      <w:r>
        <w:rPr>
          <w:rFonts w:ascii="Times New Roman" w:cs="Times New Roman" w:eastAsia="Times New Roman" w:hAnsi="Times New Roman"/>
          <w:sz w:val="24"/>
          <w:szCs w:val="24"/>
        </w:rPr>
        <w:t xml:space="preserve">Features marked "Full presentation" were computed over the whole course presentation and are not available at an early-warning point as constructed.</w:t>
      </w:r>
    </w:p>
    <w:p>
      <w:pPr>
        <w:keepNext/>
        <w:spacing w:after="80" w:before="240" w:line="276"/>
      </w:pPr>
      <w:r>
        <w:rPr>
          <w:rFonts w:ascii="Times New Roman" w:cs="Times New Roman" w:eastAsia="Times New Roman" w:hAnsi="Times New Roman"/>
          <w:sz w:val="22"/>
          <w:szCs w:val="22"/>
        </w:rPr>
        <w:t xml:space="preserve">Table B.1. Input features of the evaluated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5"/>
        <w:gridCol w:w="4166"/>
        <w:gridCol w:w="1805"/>
      </w:tblGrid>
      <w:tr>
        <w:trPr>
          <w:cantSplit/>
          <w:tblHeader/>
        </w:trPr>
        <w:tc>
          <w:tcPr>
            <w:tcW w:type="dxa" w:w="30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18"/>
                <w:szCs w:val="18"/>
              </w:rPr>
              <w:t xml:space="preserve">Feature</w:t>
            </w:r>
          </w:p>
        </w:tc>
        <w:tc>
          <w:tcPr>
            <w:tcW w:type="dxa" w:w="416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18"/>
                <w:szCs w:val="18"/>
              </w:rPr>
              <w:t xml:space="preserve">Definition</w:t>
            </w:r>
          </w:p>
        </w:tc>
        <w:tc>
          <w:tcPr>
            <w:tcW w:type="dxa" w:w="180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18"/>
                <w:szCs w:val="18"/>
              </w:rPr>
              <w:t xml:space="preserve">Availability</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num_of_prev_attempts</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Number of previous attempts at the module</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Registration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studied_credits</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Total credits of the modules being studied</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Registration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date_registration</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Registration date relative to module start (days)</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Registration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withdrew_before_start</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Unregistered on or before the module start (see Section 6.6)</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Before start</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module_presentation_length</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Length of the module presentation (days)</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Before start</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n_assessments_submitted</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Number of assessments submitted</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mean_score</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Mean score of submitted assessments</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min_score</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Lowest score of submitted assessments</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mean_days_late</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Mean lateness of submissions (on-time counted as 0)</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n_late_submissions</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Number of submissions after the deadline</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n_banked</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Assessment results carried over from a previous presentation</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clicks_7d/14d/28d_before_deadline</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VLE clicks in the 7, 14 and 28 days before assessment deadlines</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total_clicks</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Total VLE clicks</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active_days</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Number of days with VLE activity</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mean_daily_clicks</w:t>
            </w:r>
          </w:p>
        </w:tc>
        <w:tc>
          <w:tcPr>
            <w:tcW w:type="dxa" w:w="41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Total clicks divided by active days</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Full presentation</w:t>
            </w:r>
          </w:p>
        </w:tc>
      </w:tr>
      <w:tr>
        <w:trPr>
          <w:cantSplit/>
        </w:trPr>
        <w:tc>
          <w:tcPr>
            <w:tcW w:type="dxa" w:w="30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code_module, gender, region, highest_education, imd_band, age_band, disability</w:t>
            </w:r>
          </w:p>
        </w:tc>
        <w:tc>
          <w:tcPr>
            <w:tcW w:type="dxa" w:w="416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Categorical attributes, one-hot encoded</w:t>
            </w:r>
          </w:p>
        </w:tc>
        <w:tc>
          <w:tcPr>
            <w:tcW w:type="dxa" w:w="180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18"/>
                <w:szCs w:val="18"/>
              </w:rPr>
              <w:t xml:space="preserve">Registration</w:t>
            </w:r>
          </w:p>
        </w:tc>
      </w:tr>
    </w:tbl>
    <w:p>
      <w:pPr>
        <w:spacing w:after="240" w:before="60" w:line="240"/>
      </w:pPr>
    </w:p>
    <w:p>
      <w:r>
        <w:br w:type="page"/>
      </w:r>
    </w:p>
    <w:p>
      <w:pPr>
        <w:keepNext/>
        <w:spacing w:after="0" w:before="240" w:line="480"/>
      </w:pPr>
      <w:r>
        <w:rPr>
          <w:rFonts w:ascii="Times New Roman" w:cs="Times New Roman" w:eastAsia="Times New Roman" w:hAnsi="Times New Roman"/>
          <w:b/>
          <w:bCs/>
          <w:sz w:val="24"/>
          <w:szCs w:val="24"/>
        </w:rPr>
        <w:t xml:space="preserve">References</w:t>
      </w:r>
    </w:p>
    <w:sdt>
      <w:sdtPr>
        <w:tag w:val="MENDELEY_BIBLIOGRAPHY"/>
        <w:id w:val="644780075"/>
      </w:sdtPr>
      <w:sdtContent>
        <w:p>
          <w:pPr>
            <w:spacing w:line="480"/>
            <w:ind w:left="720" w:hanging="720"/>
          </w:pPr>
          <w:r>
            <w:rPr>
              <w:rFonts w:ascii="Times New Roman" w:cs="Times New Roman" w:eastAsia="Times New Roman" w:hAnsi="Times New Roman"/>
              <w:i w:val="false"/>
              <w:iCs w:val="false"/>
              <w:sz w:val="24"/>
              <w:szCs w:val="24"/>
            </w:rPr>
            <w:t xml:space="preserve">Adnan, M., Habib, A., Ashraf, J., Mussadiq, S., Raza, A. A., Abid, M., Bashir, M., &amp; Khan, S. U. (2021). Predicting at-risk students at different percentages of course length for early intervention using machine learning models. </w:t>
          </w:r>
          <w:r>
            <w:rPr>
              <w:rFonts w:ascii="Times New Roman" w:cs="Times New Roman" w:eastAsia="Times New Roman" w:hAnsi="Times New Roman"/>
              <w:i/>
              <w:iCs/>
              <w:sz w:val="24"/>
              <w:szCs w:val="24"/>
            </w:rPr>
            <w:t xml:space="preserve">IEEE Access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9</w:t>
          </w:r>
          <w:r>
            <w:rPr>
              <w:rFonts w:ascii="Times New Roman" w:cs="Times New Roman" w:eastAsia="Times New Roman" w:hAnsi="Times New Roman"/>
              <w:i w:val="false"/>
              <w:iCs w:val="false"/>
              <w:sz w:val="24"/>
              <w:szCs w:val="24"/>
            </w:rPr>
            <w:t xml:space="preserve">, 7519–7539. https://doi.org/10.1109/ACCESS.2021.3049446</w:t>
          </w:r>
        </w:p>
        <w:p>
          <w:pPr>
            <w:spacing w:line="480"/>
            <w:ind w:left="720" w:hanging="720"/>
          </w:pPr>
          <w:r>
            <w:rPr>
              <w:rFonts w:ascii="Times New Roman" w:cs="Times New Roman" w:eastAsia="Times New Roman" w:hAnsi="Times New Roman"/>
              <w:i w:val="false"/>
              <w:iCs w:val="false"/>
              <w:sz w:val="24"/>
              <w:szCs w:val="24"/>
            </w:rPr>
            <w:t xml:space="preserve">Afzaal, M., Nouri, J., Zia, A., Papapetrou, P., Fors, U., Wu, Y., Li, X., &amp; Weegar, R. (2021). Explainable AI for data-driven feedback and intelligent action recommendations to support students self-regulation. </w:t>
          </w:r>
          <w:r>
            <w:rPr>
              <w:rFonts w:ascii="Times New Roman" w:cs="Times New Roman" w:eastAsia="Times New Roman" w:hAnsi="Times New Roman"/>
              <w:i/>
              <w:iCs/>
              <w:sz w:val="24"/>
              <w:szCs w:val="24"/>
            </w:rPr>
            <w:t xml:space="preserve">Frontiers in Artificial Intelligence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4</w:t>
          </w:r>
          <w:r>
            <w:rPr>
              <w:rFonts w:ascii="Times New Roman" w:cs="Times New Roman" w:eastAsia="Times New Roman" w:hAnsi="Times New Roman"/>
              <w:i w:val="false"/>
              <w:iCs w:val="false"/>
              <w:sz w:val="24"/>
              <w:szCs w:val="24"/>
            </w:rPr>
            <w:t xml:space="preserve">, Article 723447. https://doi.org/10.3389/frai.2021.723447</w:t>
          </w:r>
        </w:p>
        <w:p>
          <w:pPr>
            <w:spacing w:line="480"/>
            <w:ind w:left="720" w:hanging="720"/>
          </w:pPr>
          <w:r>
            <w:rPr>
              <w:rFonts w:ascii="Times New Roman" w:cs="Times New Roman" w:eastAsia="Times New Roman" w:hAnsi="Times New Roman"/>
              <w:i w:val="false"/>
              <w:iCs w:val="false"/>
              <w:sz w:val="24"/>
              <w:szCs w:val="24"/>
            </w:rPr>
            <w:t xml:space="preserve">Ahmed, W., Wani, M. A., Plawiak, P., Meshoul, S., Mahmoud, A., &amp; Hammad, M. (2025). Machine learning-based academic performance prediction with explainability for enhanced decision-making in educational institutions. </w:t>
          </w:r>
          <w:r>
            <w:rPr>
              <w:rFonts w:ascii="Times New Roman" w:cs="Times New Roman" w:eastAsia="Times New Roman" w:hAnsi="Times New Roman"/>
              <w:i/>
              <w:iCs/>
              <w:sz w:val="24"/>
              <w:szCs w:val="24"/>
            </w:rPr>
            <w:t xml:space="preserve">Scientific Reports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i w:val="false"/>
              <w:iCs w:val="false"/>
              <w:sz w:val="24"/>
              <w:szCs w:val="24"/>
            </w:rPr>
            <w:t xml:space="preserve">(1), Article 26879. https://doi.org/10.1038/s41598-025-12353-4</w:t>
          </w:r>
        </w:p>
        <w:p>
          <w:pPr>
            <w:spacing w:line="480"/>
            <w:ind w:left="720" w:hanging="720"/>
          </w:pPr>
          <w:r>
            <w:rPr>
              <w:rFonts w:ascii="Times New Roman" w:cs="Times New Roman" w:eastAsia="Times New Roman" w:hAnsi="Times New Roman"/>
              <w:i w:val="false"/>
              <w:iCs w:val="false"/>
              <w:sz w:val="24"/>
              <w:szCs w:val="24"/>
            </w:rPr>
            <w:t xml:space="preserve">Ali, S., Abuhmed, T., El-Sappagh, S., Muhammad, K., Alonso-Moral, J. M., Confalonieri, R., Guidotti, R., Del Ser, J., Díaz-Rodríguez, N., &amp; Herrera, F. (2023). Explainable Artificial Intelligence (XAI): What we know and what is left to attain Trustworthy Artificial Intelligence. </w:t>
          </w:r>
          <w:r>
            <w:rPr>
              <w:rFonts w:ascii="Times New Roman" w:cs="Times New Roman" w:eastAsia="Times New Roman" w:hAnsi="Times New Roman"/>
              <w:i/>
              <w:iCs/>
              <w:sz w:val="24"/>
              <w:szCs w:val="24"/>
            </w:rPr>
            <w:t xml:space="preserve">Information Fusion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99</w:t>
          </w:r>
          <w:r>
            <w:rPr>
              <w:rFonts w:ascii="Times New Roman" w:cs="Times New Roman" w:eastAsia="Times New Roman" w:hAnsi="Times New Roman"/>
              <w:i w:val="false"/>
              <w:iCs w:val="false"/>
              <w:sz w:val="24"/>
              <w:szCs w:val="24"/>
            </w:rPr>
            <w:t xml:space="preserve">, Article 101805. https://doi.org/10.1016/j.inffus.2023.101805</w:t>
          </w:r>
        </w:p>
        <w:p>
          <w:pPr>
            <w:spacing w:line="480"/>
            <w:ind w:left="720" w:hanging="720"/>
          </w:pPr>
          <w:r>
            <w:rPr>
              <w:rFonts w:ascii="Times New Roman" w:cs="Times New Roman" w:eastAsia="Times New Roman" w:hAnsi="Times New Roman"/>
              <w:i w:val="false"/>
              <w:iCs w:val="false"/>
              <w:sz w:val="24"/>
              <w:szCs w:val="24"/>
            </w:rPr>
            <w:t xml:space="preserve">Baker, R. S., &amp; Hawn, A. (2022). Algorithmic bias in education. </w:t>
          </w:r>
          <w:r>
            <w:rPr>
              <w:rFonts w:ascii="Times New Roman" w:cs="Times New Roman" w:eastAsia="Times New Roman" w:hAnsi="Times New Roman"/>
              <w:i/>
              <w:iCs/>
              <w:sz w:val="24"/>
              <w:szCs w:val="24"/>
            </w:rPr>
            <w:t xml:space="preserve">International Journal of Artificial Intelligence in Education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32</w:t>
          </w:r>
          <w:r>
            <w:rPr>
              <w:rFonts w:ascii="Times New Roman" w:cs="Times New Roman" w:eastAsia="Times New Roman" w:hAnsi="Times New Roman"/>
              <w:i w:val="false"/>
              <w:iCs w:val="false"/>
              <w:sz w:val="24"/>
              <w:szCs w:val="24"/>
            </w:rPr>
            <w:t xml:space="preserve">(4), 1052–1092. https://doi.org/10.1007/s40593-021-00285-9</w:t>
          </w:r>
        </w:p>
        <w:p>
          <w:pPr>
            <w:spacing w:line="480"/>
            <w:ind w:left="720" w:hanging="720"/>
          </w:pPr>
          <w:r>
            <w:rPr>
              <w:rFonts w:ascii="Times New Roman" w:cs="Times New Roman" w:eastAsia="Times New Roman" w:hAnsi="Times New Roman"/>
              <w:i w:val="false"/>
              <w:iCs w:val="false"/>
              <w:sz w:val="24"/>
              <w:szCs w:val="24"/>
            </w:rPr>
            <w:t xml:space="preserve">Barredo Arrieta, A., Díaz-Rodríguez, N., Del Ser, J., Bennetot, A., Tabik, S., Barbado, A., García, S., Gil-López, S., Molina, D., Benjamins, R., Chatila, R., &amp; Herrera, F. (2020). Explainable Artificial Intelligence (XAI): Concepts, taxonomies, opportunities and challenges toward responsible AI. </w:t>
          </w:r>
          <w:r>
            <w:rPr>
              <w:rFonts w:ascii="Times New Roman" w:cs="Times New Roman" w:eastAsia="Times New Roman" w:hAnsi="Times New Roman"/>
              <w:i/>
              <w:iCs/>
              <w:sz w:val="24"/>
              <w:szCs w:val="24"/>
            </w:rPr>
            <w:t xml:space="preserve">Information Fusion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58</w:t>
          </w:r>
          <w:r>
            <w:rPr>
              <w:rFonts w:ascii="Times New Roman" w:cs="Times New Roman" w:eastAsia="Times New Roman" w:hAnsi="Times New Roman"/>
              <w:i w:val="false"/>
              <w:iCs w:val="false"/>
              <w:sz w:val="24"/>
              <w:szCs w:val="24"/>
            </w:rPr>
            <w:t xml:space="preserve">, 82–115. https://doi.org/10.1016/j.inffus.2019.12.012</w:t>
          </w:r>
        </w:p>
        <w:p>
          <w:pPr>
            <w:spacing w:line="480"/>
            <w:ind w:left="720" w:hanging="720"/>
          </w:pPr>
          <w:r>
            <w:rPr>
              <w:rFonts w:ascii="Times New Roman" w:cs="Times New Roman" w:eastAsia="Times New Roman" w:hAnsi="Times New Roman"/>
              <w:i w:val="false"/>
              <w:iCs w:val="false"/>
              <w:sz w:val="24"/>
              <w:szCs w:val="24"/>
            </w:rPr>
            <w:t xml:space="preserve">Brdnik, S., Podgorelec, V., &amp; Šumak, B. (2023). Assessing perceived trust and satisfaction with multiple explanation techniques in XAI-enhanced learning analytics. </w:t>
          </w:r>
          <w:r>
            <w:rPr>
              <w:rFonts w:ascii="Times New Roman" w:cs="Times New Roman" w:eastAsia="Times New Roman" w:hAnsi="Times New Roman"/>
              <w:i/>
              <w:iCs/>
              <w:sz w:val="24"/>
              <w:szCs w:val="24"/>
            </w:rPr>
            <w:t xml:space="preserve">Electronics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i w:val="false"/>
              <w:iCs w:val="false"/>
              <w:sz w:val="24"/>
              <w:szCs w:val="24"/>
            </w:rPr>
            <w:t xml:space="preserve">(12), 2594. https://doi.org/10.3390/electronics12122594</w:t>
          </w:r>
        </w:p>
        <w:p>
          <w:pPr>
            <w:spacing w:line="480"/>
            <w:ind w:left="720" w:hanging="720"/>
          </w:pPr>
          <w:r>
            <w:rPr>
              <w:rFonts w:ascii="Times New Roman" w:cs="Times New Roman" w:eastAsia="Times New Roman" w:hAnsi="Times New Roman"/>
              <w:i w:val="false"/>
              <w:iCs w:val="false"/>
              <w:sz w:val="24"/>
              <w:szCs w:val="24"/>
            </w:rPr>
            <w:t xml:space="preserve">Breiman, L. (2001). Random forests.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45</w:t>
          </w:r>
          <w:r>
            <w:rPr>
              <w:rFonts w:ascii="Times New Roman" w:cs="Times New Roman" w:eastAsia="Times New Roman" w:hAnsi="Times New Roman"/>
              <w:i w:val="false"/>
              <w:iCs w:val="false"/>
              <w:sz w:val="24"/>
              <w:szCs w:val="24"/>
            </w:rPr>
            <w:t xml:space="preserve">(1), 5–32. https://doi.org/10.1023/A:1010933404324</w:t>
          </w:r>
        </w:p>
        <w:p>
          <w:pPr>
            <w:spacing w:line="480"/>
            <w:ind w:left="720" w:hanging="720"/>
          </w:pPr>
          <w:r>
            <w:rPr>
              <w:rFonts w:ascii="Times New Roman" w:cs="Times New Roman" w:eastAsia="Times New Roman" w:hAnsi="Times New Roman"/>
              <w:i w:val="false"/>
              <w:iCs w:val="false"/>
              <w:sz w:val="24"/>
              <w:szCs w:val="24"/>
            </w:rPr>
            <w:t xml:space="preserve">Cabral, L., Pinto, R., &amp; Gonçalves, G. (2025). AI-powered learning analytics dashboards: A systematic review of applications, techniques, and research gaps. </w:t>
          </w:r>
          <w:r>
            <w:rPr>
              <w:rFonts w:ascii="Times New Roman" w:cs="Times New Roman" w:eastAsia="Times New Roman" w:hAnsi="Times New Roman"/>
              <w:i/>
              <w:iCs/>
              <w:sz w:val="24"/>
              <w:szCs w:val="24"/>
            </w:rPr>
            <w:t xml:space="preserve">Discover Education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4</w:t>
          </w:r>
          <w:r>
            <w:rPr>
              <w:rFonts w:ascii="Times New Roman" w:cs="Times New Roman" w:eastAsia="Times New Roman" w:hAnsi="Times New Roman"/>
              <w:i w:val="false"/>
              <w:iCs w:val="false"/>
              <w:sz w:val="24"/>
              <w:szCs w:val="24"/>
            </w:rPr>
            <w:t xml:space="preserve">(1), Article 525. https://doi.org/10.1007/s44217-025-00964-y</w:t>
          </w:r>
        </w:p>
        <w:p>
          <w:pPr>
            <w:spacing w:line="480"/>
            <w:ind w:left="720" w:hanging="720"/>
          </w:pPr>
          <w:r>
            <w:rPr>
              <w:rFonts w:ascii="Times New Roman" w:cs="Times New Roman" w:eastAsia="Times New Roman" w:hAnsi="Times New Roman"/>
              <w:i w:val="false"/>
              <w:iCs w:val="false"/>
              <w:sz w:val="24"/>
              <w:szCs w:val="24"/>
            </w:rPr>
            <w:t xml:space="preserve">Chavan, P., &amp; Mitra, R. (2022). Tcherly: A teacher-facing dashboard for online video lectures. </w:t>
          </w:r>
          <w:r>
            <w:rPr>
              <w:rFonts w:ascii="Times New Roman" w:cs="Times New Roman" w:eastAsia="Times New Roman" w:hAnsi="Times New Roman"/>
              <w:i/>
              <w:iCs/>
              <w:sz w:val="24"/>
              <w:szCs w:val="24"/>
            </w:rPr>
            <w:t xml:space="preserve">Journal of Learning Analytics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9</w:t>
          </w:r>
          <w:r>
            <w:rPr>
              <w:rFonts w:ascii="Times New Roman" w:cs="Times New Roman" w:eastAsia="Times New Roman" w:hAnsi="Times New Roman"/>
              <w:i w:val="false"/>
              <w:iCs w:val="false"/>
              <w:sz w:val="24"/>
              <w:szCs w:val="24"/>
            </w:rPr>
            <w:t xml:space="preserve">(3), 125–151. https://doi.org/10.18608/jla.2022.7555</w:t>
          </w:r>
        </w:p>
        <w:p>
          <w:pPr>
            <w:spacing w:line="480"/>
            <w:ind w:left="720" w:hanging="720"/>
          </w:pPr>
          <w:r>
            <w:rPr>
              <w:rFonts w:ascii="Times New Roman" w:cs="Times New Roman" w:eastAsia="Times New Roman" w:hAnsi="Times New Roman"/>
              <w:i w:val="false"/>
              <w:iCs w:val="false"/>
              <w:sz w:val="24"/>
              <w:szCs w:val="24"/>
            </w:rPr>
            <w:t xml:space="preserve">Chen, T., &amp; Guestrin, C. (2016). XGBoost: A scalable tree boosting system.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i w:val="false"/>
              <w:iCs w:val="false"/>
              <w:sz w:val="24"/>
              <w:szCs w:val="24"/>
            </w:rPr>
            <w:t xml:space="preserve">, 785–794. https://doi.org/10.1145/2939672.2939785</w:t>
          </w:r>
        </w:p>
        <w:p>
          <w:pPr>
            <w:spacing w:line="480"/>
            <w:ind w:left="720" w:hanging="720"/>
          </w:pPr>
          <w:r>
            <w:rPr>
              <w:rFonts w:ascii="Times New Roman" w:cs="Times New Roman" w:eastAsia="Times New Roman" w:hAnsi="Times New Roman"/>
              <w:i w:val="false"/>
              <w:iCs w:val="false"/>
              <w:sz w:val="24"/>
              <w:szCs w:val="24"/>
            </w:rPr>
            <w:t xml:space="preserve">Conati, C., Barral, O., Putnam, V., &amp; Rieger, L. (2021). Toward personalized XAI: A case study in intelligent tutoring systems. </w:t>
          </w:r>
          <w:r>
            <w:rPr>
              <w:rFonts w:ascii="Times New Roman" w:cs="Times New Roman" w:eastAsia="Times New Roman" w:hAnsi="Times New Roman"/>
              <w:i/>
              <w:iCs/>
              <w:sz w:val="24"/>
              <w:szCs w:val="24"/>
            </w:rPr>
            <w:t xml:space="preserve">Artificial Intelligence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298</w:t>
          </w:r>
          <w:r>
            <w:rPr>
              <w:rFonts w:ascii="Times New Roman" w:cs="Times New Roman" w:eastAsia="Times New Roman" w:hAnsi="Times New Roman"/>
              <w:i w:val="false"/>
              <w:iCs w:val="false"/>
              <w:sz w:val="24"/>
              <w:szCs w:val="24"/>
            </w:rPr>
            <w:t xml:space="preserve">, Article 103503. https://doi.org/10.1016/j.artint.2021.103503</w:t>
          </w:r>
        </w:p>
        <w:p>
          <w:pPr>
            <w:spacing w:line="480"/>
            <w:ind w:left="720" w:hanging="720"/>
          </w:pPr>
          <w:r>
            <w:rPr>
              <w:rFonts w:ascii="Times New Roman" w:cs="Times New Roman" w:eastAsia="Times New Roman" w:hAnsi="Times New Roman"/>
              <w:i w:val="false"/>
              <w:iCs w:val="false"/>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i w:val="false"/>
              <w:iCs w:val="false"/>
              <w:sz w:val="24"/>
              <w:szCs w:val="24"/>
            </w:rPr>
            <w:t xml:space="preserve">(3), 319–340. https://doi.org/10.2307/249008</w:t>
          </w:r>
        </w:p>
        <w:p>
          <w:pPr>
            <w:spacing w:line="480"/>
            <w:ind w:left="720" w:hanging="720"/>
          </w:pPr>
          <w:r>
            <w:rPr>
              <w:rFonts w:ascii="Times New Roman" w:cs="Times New Roman" w:eastAsia="Times New Roman" w:hAnsi="Times New Roman"/>
              <w:i w:val="false"/>
              <w:iCs w:val="false"/>
              <w:sz w:val="24"/>
              <w:szCs w:val="24"/>
            </w:rPr>
            <w:t xml:space="preserve">Ehsan, U., Liao, Q. V., Muller, M., Riedl, M. O., &amp; Weisz, J. D. (2021). Expanding explainability: Towards social transparency in AI systems. </w:t>
          </w:r>
          <w:r>
            <w:rPr>
              <w:rFonts w:ascii="Times New Roman" w:cs="Times New Roman" w:eastAsia="Times New Roman" w:hAnsi="Times New Roman"/>
              <w:i/>
              <w:iCs/>
              <w:sz w:val="24"/>
              <w:szCs w:val="24"/>
            </w:rPr>
            <w:t xml:space="preserve">Proceedings of the 2021 CHI Conference on Human Factors in Computing Systems</w:t>
          </w:r>
          <w:r>
            <w:rPr>
              <w:rFonts w:ascii="Times New Roman" w:cs="Times New Roman" w:eastAsia="Times New Roman" w:hAnsi="Times New Roman"/>
              <w:i w:val="false"/>
              <w:iCs w:val="false"/>
              <w:sz w:val="24"/>
              <w:szCs w:val="24"/>
            </w:rPr>
            <w:t xml:space="preserve">, 1–19. https://doi.org/10.1145/3411764.3445188</w:t>
          </w:r>
        </w:p>
        <w:p>
          <w:pPr>
            <w:spacing w:line="480"/>
            <w:ind w:left="720" w:hanging="720"/>
          </w:pPr>
          <w:r>
            <w:rPr>
              <w:rFonts w:ascii="Times New Roman" w:cs="Times New Roman" w:eastAsia="Times New Roman" w:hAnsi="Times New Roman"/>
              <w:i w:val="false"/>
              <w:iCs w:val="false"/>
              <w:sz w:val="24"/>
              <w:szCs w:val="24"/>
            </w:rPr>
            <w:t xml:space="preserve">Friedman, J. H. (2001). Greedy function approximation: A gradient boosting machine. </w:t>
          </w:r>
          <w:r>
            <w:rPr>
              <w:rFonts w:ascii="Times New Roman" w:cs="Times New Roman" w:eastAsia="Times New Roman" w:hAnsi="Times New Roman"/>
              <w:i/>
              <w:iCs/>
              <w:sz w:val="24"/>
              <w:szCs w:val="24"/>
            </w:rPr>
            <w:t xml:space="preserve">The Annals of Statistics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29</w:t>
          </w:r>
          <w:r>
            <w:rPr>
              <w:rFonts w:ascii="Times New Roman" w:cs="Times New Roman" w:eastAsia="Times New Roman" w:hAnsi="Times New Roman"/>
              <w:i w:val="false"/>
              <w:iCs w:val="false"/>
              <w:sz w:val="24"/>
              <w:szCs w:val="24"/>
            </w:rPr>
            <w:t xml:space="preserve">(5), 1189–1232. https://doi.org/10.1214/aos/1013203451</w:t>
          </w:r>
        </w:p>
        <w:p>
          <w:pPr>
            <w:spacing w:line="480"/>
            <w:ind w:left="720" w:hanging="720"/>
          </w:pPr>
          <w:r>
            <w:rPr>
              <w:rFonts w:ascii="Times New Roman" w:cs="Times New Roman" w:eastAsia="Times New Roman" w:hAnsi="Times New Roman"/>
              <w:i w:val="false"/>
              <w:iCs w:val="false"/>
              <w:sz w:val="24"/>
              <w:szCs w:val="24"/>
            </w:rPr>
            <w:t xml:space="preserve">Guevara-Reyes, R., Ortiz-Garcés, I., Andrade, R., Cox-Riquetti, F., &amp; Villegas-Ch, W. (2025). Machine learning models for academic performance prediction: Interpretability and application in educational decision-making. </w:t>
          </w:r>
          <w:r>
            <w:rPr>
              <w:rFonts w:ascii="Times New Roman" w:cs="Times New Roman" w:eastAsia="Times New Roman" w:hAnsi="Times New Roman"/>
              <w:i/>
              <w:iCs/>
              <w:sz w:val="24"/>
              <w:szCs w:val="24"/>
            </w:rPr>
            <w:t xml:space="preserve">Frontiers in Education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i w:val="false"/>
              <w:iCs w:val="false"/>
              <w:sz w:val="24"/>
              <w:szCs w:val="24"/>
            </w:rPr>
            <w:t xml:space="preserve">, Article 1632315. https://doi.org/10.3389/feduc.2025.1632315</w:t>
          </w:r>
        </w:p>
        <w:p>
          <w:pPr>
            <w:spacing w:line="480"/>
            <w:ind w:left="720" w:hanging="720"/>
          </w:pPr>
          <w:r>
            <w:rPr>
              <w:rFonts w:ascii="Times New Roman" w:cs="Times New Roman" w:eastAsia="Times New Roman" w:hAnsi="Times New Roman"/>
              <w:i w:val="false"/>
              <w:iCs w:val="false"/>
              <w:sz w:val="24"/>
              <w:szCs w:val="24"/>
            </w:rPr>
            <w:t xml:space="preserve">Gunasekara, S., &amp; Saarela, M. (2025). Explainable AI in education: Techniques and qualitative assessment. </w:t>
          </w:r>
          <w:r>
            <w:rPr>
              <w:rFonts w:ascii="Times New Roman" w:cs="Times New Roman" w:eastAsia="Times New Roman" w:hAnsi="Times New Roman"/>
              <w:i/>
              <w:iCs/>
              <w:sz w:val="24"/>
              <w:szCs w:val="24"/>
            </w:rPr>
            <w:t xml:space="preserve">Applied Sciences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i w:val="false"/>
              <w:iCs w:val="false"/>
              <w:sz w:val="24"/>
              <w:szCs w:val="24"/>
            </w:rPr>
            <w:t xml:space="preserve">(3), 1239. https://doi.org/10.3390/app15031239</w:t>
          </w:r>
        </w:p>
        <w:p>
          <w:pPr>
            <w:spacing w:line="480"/>
            <w:ind w:left="720" w:hanging="720"/>
          </w:pPr>
          <w:r>
            <w:rPr>
              <w:rFonts w:ascii="Times New Roman" w:cs="Times New Roman" w:eastAsia="Times New Roman" w:hAnsi="Times New Roman"/>
              <w:i w:val="false"/>
              <w:iCs w:val="false"/>
              <w:sz w:val="24"/>
              <w:szCs w:val="24"/>
            </w:rPr>
            <w:t xml:space="preserve">Guo, C., Pleiss, G., Sun, Y., &amp; Weinberger, K. Q. (2017). On calibration of modern neural networks. </w:t>
          </w:r>
          <w:r>
            <w:rPr>
              <w:rFonts w:ascii="Times New Roman" w:cs="Times New Roman" w:eastAsia="Times New Roman" w:hAnsi="Times New Roman"/>
              <w:i/>
              <w:iCs/>
              <w:sz w:val="24"/>
              <w:szCs w:val="24"/>
            </w:rPr>
            <w:t xml:space="preserve">Proceedings of the 34th International Conference on Machine Learning, Proceedings of Machine Learning Research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70</w:t>
          </w:r>
          <w:r>
            <w:rPr>
              <w:rFonts w:ascii="Times New Roman" w:cs="Times New Roman" w:eastAsia="Times New Roman" w:hAnsi="Times New Roman"/>
              <w:i w:val="false"/>
              <w:iCs w:val="false"/>
              <w:sz w:val="24"/>
              <w:szCs w:val="24"/>
            </w:rPr>
            <w:t xml:space="preserve">, 1321–1330. https://proceedings.mlr.press/v70/guo17a.html</w:t>
          </w:r>
        </w:p>
        <w:p>
          <w:pPr>
            <w:spacing w:line="480"/>
            <w:ind w:left="720" w:hanging="720"/>
          </w:pPr>
          <w:r>
            <w:rPr>
              <w:rFonts w:ascii="Times New Roman" w:cs="Times New Roman" w:eastAsia="Times New Roman" w:hAnsi="Times New Roman"/>
              <w:i w:val="false"/>
              <w:iCs w:val="false"/>
              <w:sz w:val="24"/>
              <w:szCs w:val="24"/>
            </w:rPr>
            <w:t xml:space="preserve">Gutiérrez, F., Seipp, K., Ochoa, X., Chiluiza, K., De Laet, T., &amp; Verbert, K. (2020). LADA: A learning analytics dashboard for academic advising. </w:t>
          </w:r>
          <w:r>
            <w:rPr>
              <w:rFonts w:ascii="Times New Roman" w:cs="Times New Roman" w:eastAsia="Times New Roman" w:hAnsi="Times New Roman"/>
              <w:i/>
              <w:iCs/>
              <w:sz w:val="24"/>
              <w:szCs w:val="24"/>
            </w:rPr>
            <w:t xml:space="preserve">Computers in Human Behavior</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107</w:t>
          </w:r>
          <w:r>
            <w:rPr>
              <w:rFonts w:ascii="Times New Roman" w:cs="Times New Roman" w:eastAsia="Times New Roman" w:hAnsi="Times New Roman"/>
              <w:i w:val="false"/>
              <w:iCs w:val="false"/>
              <w:sz w:val="24"/>
              <w:szCs w:val="24"/>
            </w:rPr>
            <w:t xml:space="preserve">, Article 105826. https://doi.org/10.1016/j.chb.2018.12.004</w:t>
          </w:r>
        </w:p>
        <w:p>
          <w:pPr>
            <w:spacing w:line="480"/>
            <w:ind w:left="720" w:hanging="720"/>
          </w:pPr>
          <w:r>
            <w:rPr>
              <w:rFonts w:ascii="Times New Roman" w:cs="Times New Roman" w:eastAsia="Times New Roman" w:hAnsi="Times New Roman"/>
              <w:i w:val="false"/>
              <w:iCs w:val="false"/>
              <w:sz w:val="24"/>
              <w:szCs w:val="24"/>
            </w:rPr>
            <w:t xml:space="preserve">Haque, A. B., Islam, A. K. M. N., &amp; Mikalef, P. (2023). Explainable artificial intelligence (XAI) from a user perspective: A synthesis of prior literature and problematizing avenues for future research. </w:t>
          </w:r>
          <w:r>
            <w:rPr>
              <w:rFonts w:ascii="Times New Roman" w:cs="Times New Roman" w:eastAsia="Times New Roman" w:hAnsi="Times New Roman"/>
              <w:i/>
              <w:iCs/>
              <w:sz w:val="24"/>
              <w:szCs w:val="24"/>
            </w:rPr>
            <w:t xml:space="preserve">Technological Forecasting and Social Change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186</w:t>
          </w:r>
          <w:r>
            <w:rPr>
              <w:rFonts w:ascii="Times New Roman" w:cs="Times New Roman" w:eastAsia="Times New Roman" w:hAnsi="Times New Roman"/>
              <w:i w:val="false"/>
              <w:iCs w:val="false"/>
              <w:sz w:val="24"/>
              <w:szCs w:val="24"/>
            </w:rPr>
            <w:t xml:space="preserve">, Article 122120. https://doi.org/10.1016/j.techfore.2022.122120</w:t>
          </w:r>
        </w:p>
        <w:p>
          <w:pPr>
            <w:spacing w:line="480"/>
            <w:ind w:left="720" w:hanging="720"/>
          </w:pPr>
          <w:r>
            <w:rPr>
              <w:rFonts w:ascii="Times New Roman" w:cs="Times New Roman" w:eastAsia="Times New Roman" w:hAnsi="Times New Roman"/>
              <w:i w:val="false"/>
              <w:iCs w:val="false"/>
              <w:sz w:val="24"/>
              <w:szCs w:val="24"/>
            </w:rPr>
            <w:t xml:space="preserve">Hardt, M., Price, E., &amp; Srebro, N. (2016). Equality of opportunity in supervised learning.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29</w:t>
          </w:r>
          <w:r>
            <w:rPr>
              <w:rFonts w:ascii="Times New Roman" w:cs="Times New Roman" w:eastAsia="Times New Roman" w:hAnsi="Times New Roman"/>
              <w:i w:val="false"/>
              <w:iCs w:val="false"/>
              <w:sz w:val="24"/>
              <w:szCs w:val="24"/>
            </w:rPr>
            <w:t xml:space="preserve">, 3315–3323. https://proceedings.neurips.cc/paper/2016/hash/6a9659feb1216f14f7384ba499518b38-Abstract.html</w:t>
          </w:r>
        </w:p>
        <w:p>
          <w:pPr>
            <w:spacing w:line="480"/>
            <w:ind w:left="720" w:hanging="720"/>
          </w:pPr>
          <w:r>
            <w:rPr>
              <w:rFonts w:ascii="Times New Roman" w:cs="Times New Roman" w:eastAsia="Times New Roman" w:hAnsi="Times New Roman"/>
              <w:i w:val="false"/>
              <w:iCs w:val="false"/>
              <w:sz w:val="24"/>
              <w:szCs w:val="24"/>
            </w:rPr>
            <w:t xml:space="preserve">Hevner, A. R., March, S. T., Park, J., &amp; Ram, S. (2004). Design science in information systems research. </w:t>
          </w:r>
          <w:r>
            <w:rPr>
              <w:rFonts w:ascii="Times New Roman" w:cs="Times New Roman" w:eastAsia="Times New Roman" w:hAnsi="Times New Roman"/>
              <w:i/>
              <w:iCs/>
              <w:sz w:val="24"/>
              <w:szCs w:val="24"/>
            </w:rPr>
            <w:t xml:space="preserve">MIS Quarterly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28</w:t>
          </w:r>
          <w:r>
            <w:rPr>
              <w:rFonts w:ascii="Times New Roman" w:cs="Times New Roman" w:eastAsia="Times New Roman" w:hAnsi="Times New Roman"/>
              <w:i w:val="false"/>
              <w:iCs w:val="false"/>
              <w:sz w:val="24"/>
              <w:szCs w:val="24"/>
            </w:rPr>
            <w:t xml:space="preserve">(1), 75–106. https://doi.org/10.2307/25148625</w:t>
          </w:r>
        </w:p>
        <w:p>
          <w:pPr>
            <w:spacing w:line="480"/>
            <w:ind w:left="720" w:hanging="720"/>
          </w:pPr>
          <w:r>
            <w:rPr>
              <w:rFonts w:ascii="Times New Roman" w:cs="Times New Roman" w:eastAsia="Times New Roman" w:hAnsi="Times New Roman"/>
              <w:i w:val="false"/>
              <w:iCs w:val="false"/>
              <w:sz w:val="24"/>
              <w:szCs w:val="24"/>
            </w:rPr>
            <w:t xml:space="preserve">Hlosta, M., Zdrahal, Z., &amp; Zendulka, J. (2017). Ouroboros: Early identification of at-risk students without models based on legacy data. </w:t>
          </w:r>
          <w:r>
            <w:rPr>
              <w:rFonts w:ascii="Times New Roman" w:cs="Times New Roman" w:eastAsia="Times New Roman" w:hAnsi="Times New Roman"/>
              <w:i/>
              <w:iCs/>
              <w:sz w:val="24"/>
              <w:szCs w:val="24"/>
            </w:rPr>
            <w:t xml:space="preserve">Proceedings of the Seventh International Learning Analytics &amp; Knowledge Conference</w:t>
          </w:r>
          <w:r>
            <w:rPr>
              <w:rFonts w:ascii="Times New Roman" w:cs="Times New Roman" w:eastAsia="Times New Roman" w:hAnsi="Times New Roman"/>
              <w:i w:val="false"/>
              <w:iCs w:val="false"/>
              <w:sz w:val="24"/>
              <w:szCs w:val="24"/>
            </w:rPr>
            <w:t xml:space="preserve">, 6–15. https://doi.org/10.1145/3027385.3027449</w:t>
          </w:r>
        </w:p>
        <w:p>
          <w:pPr>
            <w:spacing w:line="480"/>
            <w:ind w:left="720" w:hanging="720"/>
          </w:pPr>
          <w:r>
            <w:rPr>
              <w:rFonts w:ascii="Times New Roman" w:cs="Times New Roman" w:eastAsia="Times New Roman" w:hAnsi="Times New Roman"/>
              <w:i w:val="false"/>
              <w:iCs w:val="false"/>
              <w:sz w:val="24"/>
              <w:szCs w:val="24"/>
            </w:rPr>
            <w:t xml:space="preserve">Hooshyar, D., &amp; Yang, Y. (2024). Problems with SHAP and LIME in interpretable AI for education: A comparative study of post-hoc explanations and neural-symbolic rule extraction. </w:t>
          </w:r>
          <w:r>
            <w:rPr>
              <w:rFonts w:ascii="Times New Roman" w:cs="Times New Roman" w:eastAsia="Times New Roman" w:hAnsi="Times New Roman"/>
              <w:i/>
              <w:iCs/>
              <w:sz w:val="24"/>
              <w:szCs w:val="24"/>
            </w:rPr>
            <w:t xml:space="preserve">IEEE Access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i w:val="false"/>
              <w:iCs w:val="false"/>
              <w:sz w:val="24"/>
              <w:szCs w:val="24"/>
            </w:rPr>
            <w:t xml:space="preserve">, 137472–137490. https://doi.org/10.1109/ACCESS.2024.3463948</w:t>
          </w:r>
        </w:p>
        <w:p>
          <w:pPr>
            <w:spacing w:line="480"/>
            <w:ind w:left="720" w:hanging="720"/>
          </w:pPr>
          <w:r>
            <w:rPr>
              <w:rFonts w:ascii="Times New Roman" w:cs="Times New Roman" w:eastAsia="Times New Roman" w:hAnsi="Times New Roman"/>
              <w:i w:val="false"/>
              <w:iCs w:val="false"/>
              <w:sz w:val="24"/>
              <w:szCs w:val="24"/>
            </w:rPr>
            <w:t xml:space="preserve">Hussain, M., Zhu, W., Zhang, W., &amp; Abidi, S. M. R. (2018). Student engagement predictions in an e-learning system and their impact on student course assessment scores. </w:t>
          </w:r>
          <w:r>
            <w:rPr>
              <w:rFonts w:ascii="Times New Roman" w:cs="Times New Roman" w:eastAsia="Times New Roman" w:hAnsi="Times New Roman"/>
              <w:i/>
              <w:iCs/>
              <w:sz w:val="24"/>
              <w:szCs w:val="24"/>
            </w:rPr>
            <w:t xml:space="preserve">Computational Intelligence and Neuroscience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2018</w:t>
          </w:r>
          <w:r>
            <w:rPr>
              <w:rFonts w:ascii="Times New Roman" w:cs="Times New Roman" w:eastAsia="Times New Roman" w:hAnsi="Times New Roman"/>
              <w:i w:val="false"/>
              <w:iCs w:val="false"/>
              <w:sz w:val="24"/>
              <w:szCs w:val="24"/>
            </w:rPr>
            <w:t xml:space="preserve">, Article 6347186. https://doi.org/10.1155/2018/6347186</w:t>
          </w:r>
        </w:p>
        <w:p>
          <w:pPr>
            <w:spacing w:line="480"/>
            <w:ind w:left="720" w:hanging="720"/>
          </w:pPr>
          <w:r>
            <w:rPr>
              <w:rFonts w:ascii="Times New Roman" w:cs="Times New Roman" w:eastAsia="Times New Roman" w:hAnsi="Times New Roman"/>
              <w:i w:val="false"/>
              <w:iCs w:val="false"/>
              <w:sz w:val="24"/>
              <w:szCs w:val="24"/>
            </w:rPr>
            <w:t xml:space="preserve">Jin, L., Wang, Y., Song, H., &amp; So, H.-J. (2024). Predictive modelling with the Open University Learning Analytics Dataset (OULAD): A systematic literature review. In A. M. Olney, I.-A. Chounta, Z. Liu, O. C. Santos, &amp; I. I. Bittencourt (Eds.), </w:t>
          </w:r>
          <w:r>
            <w:rPr>
              <w:rFonts w:ascii="Times New Roman" w:cs="Times New Roman" w:eastAsia="Times New Roman" w:hAnsi="Times New Roman"/>
              <w:i/>
              <w:iCs/>
              <w:sz w:val="24"/>
              <w:szCs w:val="24"/>
            </w:rPr>
            <w:t xml:space="preserve">Artificial intelligence in education. Posters and late breaking results, workshops and tutorials, industry and innovation tracks, practitioners, doctoral consortium and blue sky</w:t>
          </w:r>
          <w:r>
            <w:rPr>
              <w:rFonts w:ascii="Times New Roman" w:cs="Times New Roman" w:eastAsia="Times New Roman" w:hAnsi="Times New Roman"/>
              <w:i w:val="false"/>
              <w:iCs w:val="false"/>
              <w:sz w:val="24"/>
              <w:szCs w:val="24"/>
            </w:rPr>
            <w:t xml:space="preserve"> (pp. 477–484). Springer. https://doi.org/10.1007/978-3-031-64315-6_46</w:t>
          </w:r>
        </w:p>
        <w:p>
          <w:pPr>
            <w:spacing w:line="480"/>
            <w:ind w:left="720" w:hanging="720"/>
          </w:pPr>
          <w:r>
            <w:rPr>
              <w:rFonts w:ascii="Times New Roman" w:cs="Times New Roman" w:eastAsia="Times New Roman" w:hAnsi="Times New Roman"/>
              <w:i w:val="false"/>
              <w:iCs w:val="false"/>
              <w:sz w:val="24"/>
              <w:szCs w:val="24"/>
            </w:rPr>
            <w:t xml:space="preserve">Jones, M., Bradley, J., &amp; Sakimura, N. (2015). </w:t>
          </w:r>
          <w:r>
            <w:rPr>
              <w:rFonts w:ascii="Times New Roman" w:cs="Times New Roman" w:eastAsia="Times New Roman" w:hAnsi="Times New Roman"/>
              <w:i/>
              <w:iCs/>
              <w:sz w:val="24"/>
              <w:szCs w:val="24"/>
            </w:rPr>
            <w:t xml:space="preserve">JSON Web Token (JWT)</w:t>
          </w:r>
          <w:r>
            <w:rPr>
              <w:rFonts w:ascii="Times New Roman" w:cs="Times New Roman" w:eastAsia="Times New Roman" w:hAnsi="Times New Roman"/>
              <w:i w:val="false"/>
              <w:iCs w:val="false"/>
              <w:sz w:val="24"/>
              <w:szCs w:val="24"/>
            </w:rPr>
            <w:t xml:space="preserve"> [RFC 7519]. Internet Engineering Task Force. https://doi.org/10.17487/RFC7519</w:t>
          </w:r>
        </w:p>
        <w:p>
          <w:pPr>
            <w:spacing w:line="480"/>
            <w:ind w:left="720" w:hanging="720"/>
          </w:pPr>
          <w:r>
            <w:rPr>
              <w:rFonts w:ascii="Times New Roman" w:cs="Times New Roman" w:eastAsia="Times New Roman" w:hAnsi="Times New Roman"/>
              <w:i w:val="false"/>
              <w:iCs w:val="false"/>
              <w:sz w:val="24"/>
              <w:szCs w:val="24"/>
            </w:rPr>
            <w:t xml:space="preserve">Kaliisa, R., &amp; Dolonen, J. A. (2023). CADA: A teacher-facing learning analytics dashboard to foster teachers’ awareness of students’ participation and discourse patterns in online discussions. </w:t>
          </w:r>
          <w:r>
            <w:rPr>
              <w:rFonts w:ascii="Times New Roman" w:cs="Times New Roman" w:eastAsia="Times New Roman" w:hAnsi="Times New Roman"/>
              <w:i/>
              <w:iCs/>
              <w:sz w:val="24"/>
              <w:szCs w:val="24"/>
            </w:rPr>
            <w:t xml:space="preserve">Technology, Knowledge and Learning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28</w:t>
          </w:r>
          <w:r>
            <w:rPr>
              <w:rFonts w:ascii="Times New Roman" w:cs="Times New Roman" w:eastAsia="Times New Roman" w:hAnsi="Times New Roman"/>
              <w:i w:val="false"/>
              <w:iCs w:val="false"/>
              <w:sz w:val="24"/>
              <w:szCs w:val="24"/>
            </w:rPr>
            <w:t xml:space="preserve">(3), 937–958. https://doi.org/10.1007/s10758-022-09598-7</w:t>
          </w:r>
        </w:p>
        <w:p>
          <w:pPr>
            <w:spacing w:line="480"/>
            <w:ind w:left="720" w:hanging="720"/>
          </w:pPr>
          <w:r>
            <w:rPr>
              <w:rFonts w:ascii="Times New Roman" w:cs="Times New Roman" w:eastAsia="Times New Roman" w:hAnsi="Times New Roman"/>
              <w:i w:val="false"/>
              <w:iCs w:val="false"/>
              <w:sz w:val="24"/>
              <w:szCs w:val="24"/>
            </w:rPr>
            <w:t xml:space="preserve">Kaliisa, R., Jivet, I., &amp; Prinsloo, P. (2023). A checklist to guide the planning, designing, implementation, and evaluation of learning analytics dashboards. </w:t>
          </w:r>
          <w:r>
            <w:rPr>
              <w:rFonts w:ascii="Times New Roman" w:cs="Times New Roman" w:eastAsia="Times New Roman" w:hAnsi="Times New Roman"/>
              <w:i/>
              <w:iCs/>
              <w:sz w:val="24"/>
              <w:szCs w:val="24"/>
            </w:rPr>
            <w:t xml:space="preserve">International Journal of Educational Technology in Higher Education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20</w:t>
          </w:r>
          <w:r>
            <w:rPr>
              <w:rFonts w:ascii="Times New Roman" w:cs="Times New Roman" w:eastAsia="Times New Roman" w:hAnsi="Times New Roman"/>
              <w:i w:val="false"/>
              <w:iCs w:val="false"/>
              <w:sz w:val="24"/>
              <w:szCs w:val="24"/>
            </w:rPr>
            <w:t xml:space="preserve">(1), Article 28. https://doi.org/10.1186/s41239-023-00394-6</w:t>
          </w:r>
        </w:p>
        <w:p>
          <w:pPr>
            <w:spacing w:line="480"/>
            <w:ind w:left="720" w:hanging="720"/>
          </w:pPr>
          <w:r>
            <w:rPr>
              <w:rFonts w:ascii="Times New Roman" w:cs="Times New Roman" w:eastAsia="Times New Roman" w:hAnsi="Times New Roman"/>
              <w:i w:val="false"/>
              <w:iCs w:val="false"/>
              <w:sz w:val="24"/>
              <w:szCs w:val="24"/>
            </w:rPr>
            <w:t xml:space="preserve">Khosravi, H., Buckingham Shum, S., Chen, G., Conati, C., Tsai, Y.-S., Kay, J., Knight, S., Martinez-Maldonado, R., Sadiq, S., &amp; Gašević, D. (2022). Explainable artificial intelligence in education. </w:t>
          </w:r>
          <w:r>
            <w:rPr>
              <w:rFonts w:ascii="Times New Roman" w:cs="Times New Roman" w:eastAsia="Times New Roman" w:hAnsi="Times New Roman"/>
              <w:i/>
              <w:iCs/>
              <w:sz w:val="24"/>
              <w:szCs w:val="24"/>
            </w:rPr>
            <w:t xml:space="preserve">Computers and Education: Artificial Intelligence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i w:val="false"/>
              <w:iCs w:val="false"/>
              <w:sz w:val="24"/>
              <w:szCs w:val="24"/>
            </w:rPr>
            <w:t xml:space="preserve">, Article 100074. https://doi.org/10.1016/j.caeai.2022.100074</w:t>
          </w:r>
        </w:p>
        <w:p>
          <w:pPr>
            <w:spacing w:line="480"/>
            <w:ind w:left="720" w:hanging="720"/>
          </w:pPr>
          <w:r>
            <w:rPr>
              <w:rFonts w:ascii="Times New Roman" w:cs="Times New Roman" w:eastAsia="Times New Roman" w:hAnsi="Times New Roman"/>
              <w:i w:val="false"/>
              <w:iCs w:val="false"/>
              <w:sz w:val="24"/>
              <w:szCs w:val="24"/>
            </w:rPr>
            <w:t xml:space="preserve">Kostopoulos, G., Davrazos, G., &amp; Kotsiantis, S. (2024). Explainable artificial intelligence-based decision support systems: A recent review. </w:t>
          </w:r>
          <w:r>
            <w:rPr>
              <w:rFonts w:ascii="Times New Roman" w:cs="Times New Roman" w:eastAsia="Times New Roman" w:hAnsi="Times New Roman"/>
              <w:i/>
              <w:iCs/>
              <w:sz w:val="24"/>
              <w:szCs w:val="24"/>
            </w:rPr>
            <w:t xml:space="preserve">Electronics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i w:val="false"/>
              <w:iCs w:val="false"/>
              <w:sz w:val="24"/>
              <w:szCs w:val="24"/>
            </w:rPr>
            <w:t xml:space="preserve">(14), 2842. https://doi.org/10.3390/electronics13142842</w:t>
          </w:r>
        </w:p>
        <w:p>
          <w:pPr>
            <w:spacing w:line="480"/>
            <w:ind w:left="720" w:hanging="720"/>
          </w:pPr>
          <w:r>
            <w:rPr>
              <w:rFonts w:ascii="Times New Roman" w:cs="Times New Roman" w:eastAsia="Times New Roman" w:hAnsi="Times New Roman"/>
              <w:i w:val="false"/>
              <w:iCs w:val="false"/>
              <w:sz w:val="24"/>
              <w:szCs w:val="24"/>
            </w:rPr>
            <w:t xml:space="preserve">Krstajic, D., Buturovic, L. J., Leahy, D. E., &amp; Thomas, S. (2014). Cross-validation pitfalls when selecting and assessing regression and classification models. </w:t>
          </w:r>
          <w:r>
            <w:rPr>
              <w:rFonts w:ascii="Times New Roman" w:cs="Times New Roman" w:eastAsia="Times New Roman" w:hAnsi="Times New Roman"/>
              <w:i/>
              <w:iCs/>
              <w:sz w:val="24"/>
              <w:szCs w:val="24"/>
            </w:rPr>
            <w:t xml:space="preserve">Journal of Cheminformatics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6</w:t>
          </w:r>
          <w:r>
            <w:rPr>
              <w:rFonts w:ascii="Times New Roman" w:cs="Times New Roman" w:eastAsia="Times New Roman" w:hAnsi="Times New Roman"/>
              <w:i w:val="false"/>
              <w:iCs w:val="false"/>
              <w:sz w:val="24"/>
              <w:szCs w:val="24"/>
            </w:rPr>
            <w:t xml:space="preserve">(1), Article 10. https://doi.org/10.1186/1758-2946-6-10</w:t>
          </w:r>
        </w:p>
        <w:p>
          <w:pPr>
            <w:spacing w:line="480"/>
            <w:ind w:left="720" w:hanging="720"/>
          </w:pPr>
          <w:r>
            <w:rPr>
              <w:rFonts w:ascii="Times New Roman" w:cs="Times New Roman" w:eastAsia="Times New Roman" w:hAnsi="Times New Roman"/>
              <w:i w:val="false"/>
              <w:iCs w:val="false"/>
              <w:sz w:val="24"/>
              <w:szCs w:val="24"/>
            </w:rPr>
            <w:t xml:space="preserve">Kuzilek, J., Hlosta, M., &amp; Zdrahal, Z. (2017). Open University Learning Analytics dataset. </w:t>
          </w:r>
          <w:r>
            <w:rPr>
              <w:rFonts w:ascii="Times New Roman" w:cs="Times New Roman" w:eastAsia="Times New Roman" w:hAnsi="Times New Roman"/>
              <w:i/>
              <w:iCs/>
              <w:sz w:val="24"/>
              <w:szCs w:val="24"/>
            </w:rPr>
            <w:t xml:space="preserve">Scientific Data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4</w:t>
          </w:r>
          <w:r>
            <w:rPr>
              <w:rFonts w:ascii="Times New Roman" w:cs="Times New Roman" w:eastAsia="Times New Roman" w:hAnsi="Times New Roman"/>
              <w:i w:val="false"/>
              <w:iCs w:val="false"/>
              <w:sz w:val="24"/>
              <w:szCs w:val="24"/>
            </w:rPr>
            <w:t xml:space="preserve">(1), Article 170171. https://doi.org/10.1038/sdata.2017.171</w:t>
          </w:r>
        </w:p>
        <w:p>
          <w:pPr>
            <w:spacing w:line="480"/>
            <w:ind w:left="720" w:hanging="720"/>
          </w:pPr>
          <w:r>
            <w:rPr>
              <w:rFonts w:ascii="Times New Roman" w:cs="Times New Roman" w:eastAsia="Times New Roman" w:hAnsi="Times New Roman"/>
              <w:i w:val="false"/>
              <w:iCs w:val="false"/>
              <w:sz w:val="24"/>
              <w:szCs w:val="24"/>
            </w:rPr>
            <w:t xml:space="preserve">Leitner, P., Ebner, M., &amp; Ebner, M. (2019). Learning analytics challenges to overcome in higher education institutions. In D. Ifenthaler, D.-K. Mah, &amp; J. Y.-K. Yau (Eds.), </w:t>
          </w:r>
          <w:r>
            <w:rPr>
              <w:rFonts w:ascii="Times New Roman" w:cs="Times New Roman" w:eastAsia="Times New Roman" w:hAnsi="Times New Roman"/>
              <w:i/>
              <w:iCs/>
              <w:sz w:val="24"/>
              <w:szCs w:val="24"/>
            </w:rPr>
            <w:t xml:space="preserve">Utilizing learning analytics to support study success</w:t>
          </w:r>
          <w:r>
            <w:rPr>
              <w:rFonts w:ascii="Times New Roman" w:cs="Times New Roman" w:eastAsia="Times New Roman" w:hAnsi="Times New Roman"/>
              <w:i w:val="false"/>
              <w:iCs w:val="false"/>
              <w:sz w:val="24"/>
              <w:szCs w:val="24"/>
            </w:rPr>
            <w:t xml:space="preserve"> (pp. 91–104). Springer. https://doi.org/10.1007/978-3-319-64792-0_6</w:t>
          </w:r>
        </w:p>
        <w:p>
          <w:pPr>
            <w:spacing w:line="480"/>
            <w:ind w:left="720" w:hanging="720"/>
          </w:pPr>
          <w:r>
            <w:rPr>
              <w:rFonts w:ascii="Times New Roman" w:cs="Times New Roman" w:eastAsia="Times New Roman" w:hAnsi="Times New Roman"/>
              <w:i w:val="false"/>
              <w:iCs w:val="false"/>
              <w:sz w:val="24"/>
              <w:szCs w:val="24"/>
            </w:rPr>
            <w:t xml:space="preserve">Liao, Q. V., &amp; Varshney, K. R. (2022). </w:t>
          </w:r>
          <w:r>
            <w:rPr>
              <w:rFonts w:ascii="Times New Roman" w:cs="Times New Roman" w:eastAsia="Times New Roman" w:hAnsi="Times New Roman"/>
              <w:i/>
              <w:iCs/>
              <w:sz w:val="24"/>
              <w:szCs w:val="24"/>
            </w:rPr>
            <w:t xml:space="preserve">Human-centered explainable AI (XAI): From algorithms to user experiences</w:t>
          </w:r>
          <w:r>
            <w:rPr>
              <w:rFonts w:ascii="Times New Roman" w:cs="Times New Roman" w:eastAsia="Times New Roman" w:hAnsi="Times New Roman"/>
              <w:i w:val="false"/>
              <w:iCs w:val="false"/>
              <w:sz w:val="24"/>
              <w:szCs w:val="24"/>
            </w:rPr>
            <w:t xml:space="preserve"> (arXiv:2110.10790). arXiv. https://doi.org/10.48550/arXiv.2110.10790</w:t>
          </w:r>
        </w:p>
        <w:p>
          <w:pPr>
            <w:spacing w:line="480"/>
            <w:ind w:left="720" w:hanging="720"/>
          </w:pPr>
          <w:r>
            <w:rPr>
              <w:rFonts w:ascii="Times New Roman" w:cs="Times New Roman" w:eastAsia="Times New Roman" w:hAnsi="Times New Roman"/>
              <w:i w:val="false"/>
              <w:iCs w:val="false"/>
              <w:sz w:val="24"/>
              <w:szCs w:val="24"/>
            </w:rPr>
            <w:t xml:space="preserve">Lundberg, S. M., Erion, G., Chen, H., DeGrave, A., Prutkin, J. M., Nair, B., Katz, R., Himmelfarb, J., Bansal, N., &amp; Lee, S.-I. (2020). From local explanations to global understanding with explainable AI for trees. </w:t>
          </w:r>
          <w:r>
            <w:rPr>
              <w:rFonts w:ascii="Times New Roman" w:cs="Times New Roman" w:eastAsia="Times New Roman" w:hAnsi="Times New Roman"/>
              <w:i/>
              <w:iCs/>
              <w:sz w:val="24"/>
              <w:szCs w:val="24"/>
            </w:rPr>
            <w:t xml:space="preserve">Nature Machine Intelligence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w:t>
          </w:r>
          <w:r>
            <w:rPr>
              <w:rFonts w:ascii="Times New Roman" w:cs="Times New Roman" w:eastAsia="Times New Roman" w:hAnsi="Times New Roman"/>
              <w:i w:val="false"/>
              <w:iCs w:val="false"/>
              <w:sz w:val="24"/>
              <w:szCs w:val="24"/>
            </w:rPr>
            <w:t xml:space="preserve">(1), 56–67. https://doi.org/10.1038/s42256-019-0138-9</w:t>
          </w:r>
        </w:p>
        <w:p>
          <w:pPr>
            <w:spacing w:line="480"/>
            <w:ind w:left="720" w:hanging="720"/>
          </w:pPr>
          <w:r>
            <w:rPr>
              <w:rFonts w:ascii="Times New Roman" w:cs="Times New Roman" w:eastAsia="Times New Roman" w:hAnsi="Times New Roman"/>
              <w:i w:val="false"/>
              <w:iCs w:val="false"/>
              <w:sz w:val="24"/>
              <w:szCs w:val="24"/>
            </w:rPr>
            <w:t xml:space="preserve">Lundberg, S. M., &amp; Lee, S.-I. (2017). A unified approach to interpreting model predictions.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30</w:t>
          </w:r>
          <w:r>
            <w:rPr>
              <w:rFonts w:ascii="Times New Roman" w:cs="Times New Roman" w:eastAsia="Times New Roman" w:hAnsi="Times New Roman"/>
              <w:i w:val="false"/>
              <w:iCs w:val="false"/>
              <w:sz w:val="24"/>
              <w:szCs w:val="24"/>
            </w:rPr>
            <w:t xml:space="preserve">, 4765–4774. https://proceedings.neurips.cc/paper/2017/hash/8a20a8621978632d76c43dfd28b67767-Abstract.html</w:t>
          </w:r>
        </w:p>
        <w:p>
          <w:pPr>
            <w:spacing w:line="480"/>
            <w:ind w:left="720" w:hanging="720"/>
          </w:pPr>
          <w:r>
            <w:rPr>
              <w:rFonts w:ascii="Times New Roman" w:cs="Times New Roman" w:eastAsia="Times New Roman" w:hAnsi="Times New Roman"/>
              <w:i w:val="false"/>
              <w:iCs w:val="false"/>
              <w:sz w:val="24"/>
              <w:szCs w:val="24"/>
            </w:rPr>
            <w:t xml:space="preserve">Matcha, W., Uzir, N. A., Gašević, D., &amp; Pardo, A. (2020). A systematic review of empirical studies on learning analytics dashboards: A self-regulated learning perspective. </w:t>
          </w:r>
          <w:r>
            <w:rPr>
              <w:rFonts w:ascii="Times New Roman" w:cs="Times New Roman" w:eastAsia="Times New Roman" w:hAnsi="Times New Roman"/>
              <w:i/>
              <w:iCs/>
              <w:sz w:val="24"/>
              <w:szCs w:val="24"/>
            </w:rPr>
            <w:t xml:space="preserve">IEEE Transactions on Learning Technologies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i w:val="false"/>
              <w:iCs w:val="false"/>
              <w:sz w:val="24"/>
              <w:szCs w:val="24"/>
            </w:rPr>
            <w:t xml:space="preserve">(2), 226–245. https://doi.org/10.1109/TLT.2019.2916802</w:t>
          </w:r>
        </w:p>
        <w:p>
          <w:pPr>
            <w:spacing w:line="480"/>
            <w:ind w:left="720" w:hanging="720"/>
          </w:pPr>
          <w:r>
            <w:rPr>
              <w:rFonts w:ascii="Times New Roman" w:cs="Times New Roman" w:eastAsia="Times New Roman" w:hAnsi="Times New Roman"/>
              <w:i w:val="false"/>
              <w:iCs w:val="false"/>
              <w:sz w:val="24"/>
              <w:szCs w:val="24"/>
            </w:rPr>
            <w:t xml:space="preserve">Miller, T. (2019). Explanation in artificial intelligence: Insights from the social sciences. </w:t>
          </w:r>
          <w:r>
            <w:rPr>
              <w:rFonts w:ascii="Times New Roman" w:cs="Times New Roman" w:eastAsia="Times New Roman" w:hAnsi="Times New Roman"/>
              <w:i/>
              <w:iCs/>
              <w:sz w:val="24"/>
              <w:szCs w:val="24"/>
            </w:rPr>
            <w:t xml:space="preserve">Artificial Intelligence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267</w:t>
          </w:r>
          <w:r>
            <w:rPr>
              <w:rFonts w:ascii="Times New Roman" w:cs="Times New Roman" w:eastAsia="Times New Roman" w:hAnsi="Times New Roman"/>
              <w:i w:val="false"/>
              <w:iCs w:val="false"/>
              <w:sz w:val="24"/>
              <w:szCs w:val="24"/>
            </w:rPr>
            <w:t xml:space="preserve">, 1–38. https://doi.org/10.1016/j.artint.2018.07.007</w:t>
          </w:r>
        </w:p>
        <w:p>
          <w:pPr>
            <w:spacing w:line="480"/>
            <w:ind w:left="720" w:hanging="720"/>
          </w:pPr>
          <w:r>
            <w:rPr>
              <w:rFonts w:ascii="Times New Roman" w:cs="Times New Roman" w:eastAsia="Times New Roman" w:hAnsi="Times New Roman"/>
              <w:i w:val="false"/>
              <w:iCs w:val="false"/>
              <w:sz w:val="24"/>
              <w:szCs w:val="24"/>
            </w:rPr>
            <w:t xml:space="preserve">Mitchell, M., Wu, S., Zaldivar, A., Barnes, P., Vasserman, L., Hutchinson, B., Spitzer, E., Raji, I. D., &amp; Gebru, T. (2019). Model cards for model reporting. </w:t>
          </w:r>
          <w:r>
            <w:rPr>
              <w:rFonts w:ascii="Times New Roman" w:cs="Times New Roman" w:eastAsia="Times New Roman" w:hAnsi="Times New Roman"/>
              <w:i/>
              <w:iCs/>
              <w:sz w:val="24"/>
              <w:szCs w:val="24"/>
            </w:rPr>
            <w:t xml:space="preserve">Proceedings of the Conference on Fairness, Accountability, and Transparency</w:t>
          </w:r>
          <w:r>
            <w:rPr>
              <w:rFonts w:ascii="Times New Roman" w:cs="Times New Roman" w:eastAsia="Times New Roman" w:hAnsi="Times New Roman"/>
              <w:i w:val="false"/>
              <w:iCs w:val="false"/>
              <w:sz w:val="24"/>
              <w:szCs w:val="24"/>
            </w:rPr>
            <w:t xml:space="preserve">, 220–229. https://doi.org/10.1145/3287560.3287596</w:t>
          </w:r>
        </w:p>
        <w:p>
          <w:pPr>
            <w:spacing w:line="480"/>
            <w:ind w:left="720" w:hanging="720"/>
          </w:pPr>
          <w:r>
            <w:rPr>
              <w:rFonts w:ascii="Times New Roman" w:cs="Times New Roman" w:eastAsia="Times New Roman" w:hAnsi="Times New Roman"/>
              <w:i w:val="false"/>
              <w:iCs w:val="false"/>
              <w:sz w:val="24"/>
              <w:szCs w:val="24"/>
            </w:rPr>
            <w:t xml:space="preserve">Mohseni, S., Zarei, N., &amp; Ragan, E. D. (2021). A multidisciplinary survey and framework for design and evaluation of explainable AI systems. </w:t>
          </w:r>
          <w:r>
            <w:rPr>
              <w:rFonts w:ascii="Times New Roman" w:cs="Times New Roman" w:eastAsia="Times New Roman" w:hAnsi="Times New Roman"/>
              <w:i/>
              <w:iCs/>
              <w:sz w:val="24"/>
              <w:szCs w:val="24"/>
            </w:rPr>
            <w:t xml:space="preserve">ACM Transactions on Interactive Intelligent Systems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i w:val="false"/>
              <w:iCs w:val="false"/>
              <w:sz w:val="24"/>
              <w:szCs w:val="24"/>
            </w:rPr>
            <w:t xml:space="preserve">(3–4), Article 24. https://doi.org/10.1145/3387166</w:t>
          </w:r>
        </w:p>
        <w:p>
          <w:pPr>
            <w:spacing w:line="480"/>
            <w:ind w:left="720" w:hanging="720"/>
          </w:pPr>
          <w:r>
            <w:rPr>
              <w:rFonts w:ascii="Times New Roman" w:cs="Times New Roman" w:eastAsia="Times New Roman" w:hAnsi="Times New Roman"/>
              <w:i w:val="false"/>
              <w:iCs w:val="false"/>
              <w:sz w:val="24"/>
              <w:szCs w:val="24"/>
            </w:rPr>
            <w:t xml:space="preserve">Molenaar, I., &amp; Knoop-van Campen, C. A. N. (2019). How teachers make dashboard information actionable. </w:t>
          </w:r>
          <w:r>
            <w:rPr>
              <w:rFonts w:ascii="Times New Roman" w:cs="Times New Roman" w:eastAsia="Times New Roman" w:hAnsi="Times New Roman"/>
              <w:i/>
              <w:iCs/>
              <w:sz w:val="24"/>
              <w:szCs w:val="24"/>
            </w:rPr>
            <w:t xml:space="preserve">IEEE Transactions on Learning Technologies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i w:val="false"/>
              <w:iCs w:val="false"/>
              <w:sz w:val="24"/>
              <w:szCs w:val="24"/>
            </w:rPr>
            <w:t xml:space="preserve">(3), 347–355. https://doi.org/10.1109/TLT.2018.2851585</w:t>
          </w:r>
        </w:p>
        <w:p>
          <w:pPr>
            <w:spacing w:line="480"/>
            <w:ind w:left="720" w:hanging="720"/>
          </w:pPr>
          <w:r>
            <w:rPr>
              <w:rFonts w:ascii="Times New Roman" w:cs="Times New Roman" w:eastAsia="Times New Roman" w:hAnsi="Times New Roman"/>
              <w:i w:val="false"/>
              <w:iCs w:val="false"/>
              <w:sz w:val="24"/>
              <w:szCs w:val="24"/>
            </w:rPr>
            <w:t xml:space="preserve">Niculescu-Mizil, A., &amp; Caruana, R. (2005). Predicting good probabilities with supervised learning. </w:t>
          </w:r>
          <w:r>
            <w:rPr>
              <w:rFonts w:ascii="Times New Roman" w:cs="Times New Roman" w:eastAsia="Times New Roman" w:hAnsi="Times New Roman"/>
              <w:i/>
              <w:iCs/>
              <w:sz w:val="24"/>
              <w:szCs w:val="24"/>
            </w:rPr>
            <w:t xml:space="preserve">Proceedings of the 22nd International Conference on Machine Learning</w:t>
          </w:r>
          <w:r>
            <w:rPr>
              <w:rFonts w:ascii="Times New Roman" w:cs="Times New Roman" w:eastAsia="Times New Roman" w:hAnsi="Times New Roman"/>
              <w:i w:val="false"/>
              <w:iCs w:val="false"/>
              <w:sz w:val="24"/>
              <w:szCs w:val="24"/>
            </w:rPr>
            <w:t xml:space="preserve">, 625–632. https://doi.org/10.1145/1102351.1102430</w:t>
          </w:r>
        </w:p>
        <w:p>
          <w:pPr>
            <w:spacing w:line="480"/>
            <w:ind w:left="720" w:hanging="720"/>
          </w:pPr>
          <w:r>
            <w:rPr>
              <w:rFonts w:ascii="Times New Roman" w:cs="Times New Roman" w:eastAsia="Times New Roman" w:hAnsi="Times New Roman"/>
              <w:i w:val="false"/>
              <w:iCs w:val="false"/>
              <w:sz w:val="24"/>
              <w:szCs w:val="24"/>
            </w:rPr>
            <w:t xml:space="preserve">Nnadi, L. C., Watanobe, Y., Rahman, Md. M., &amp; John-Otumu, A. M. (2024). Prediction of students’ adaptability using explainable AI in educational machine learning models. </w:t>
          </w:r>
          <w:r>
            <w:rPr>
              <w:rFonts w:ascii="Times New Roman" w:cs="Times New Roman" w:eastAsia="Times New Roman" w:hAnsi="Times New Roman"/>
              <w:i/>
              <w:iCs/>
              <w:sz w:val="24"/>
              <w:szCs w:val="24"/>
            </w:rPr>
            <w:t xml:space="preserve">Applied Sciences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i w:val="false"/>
              <w:iCs w:val="false"/>
              <w:sz w:val="24"/>
              <w:szCs w:val="24"/>
            </w:rPr>
            <w:t xml:space="preserve">(12), 5141. https://doi.org/10.3390/app14125141</w:t>
          </w:r>
        </w:p>
        <w:p>
          <w:pPr>
            <w:spacing w:line="480"/>
            <w:ind w:left="720" w:hanging="720"/>
          </w:pPr>
          <w:r>
            <w:rPr>
              <w:rFonts w:ascii="Times New Roman" w:cs="Times New Roman" w:eastAsia="Times New Roman" w:hAnsi="Times New Roman"/>
              <w:i w:val="false"/>
              <w:iCs w:val="false"/>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i w:val="false"/>
              <w:iCs w:val="false"/>
              <w:sz w:val="24"/>
              <w:szCs w:val="24"/>
            </w:rPr>
            <w:t xml:space="preserve">, 2825–2830. https://jmlr.org/papers/v12/pedregosa11a.html</w:t>
          </w:r>
        </w:p>
        <w:p>
          <w:pPr>
            <w:spacing w:line="480"/>
            <w:ind w:left="720" w:hanging="720"/>
          </w:pPr>
          <w:r>
            <w:rPr>
              <w:rFonts w:ascii="Times New Roman" w:cs="Times New Roman" w:eastAsia="Times New Roman" w:hAnsi="Times New Roman"/>
              <w:i w:val="false"/>
              <w:iCs w:val="false"/>
              <w:sz w:val="24"/>
              <w:szCs w:val="24"/>
            </w:rPr>
            <w:t xml:space="preserve">Peffers, K., Tuunanen, T., Rothenberger, M. A., &amp; Chatterjee, S. (2007). A design science research methodology for information systems research. </w:t>
          </w:r>
          <w:r>
            <w:rPr>
              <w:rFonts w:ascii="Times New Roman" w:cs="Times New Roman" w:eastAsia="Times New Roman" w:hAnsi="Times New Roman"/>
              <w:i/>
              <w:iCs/>
              <w:sz w:val="24"/>
              <w:szCs w:val="24"/>
            </w:rPr>
            <w:t xml:space="preserve">Journal of Management Information Systems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24</w:t>
          </w:r>
          <w:r>
            <w:rPr>
              <w:rFonts w:ascii="Times New Roman" w:cs="Times New Roman" w:eastAsia="Times New Roman" w:hAnsi="Times New Roman"/>
              <w:i w:val="false"/>
              <w:iCs w:val="false"/>
              <w:sz w:val="24"/>
              <w:szCs w:val="24"/>
            </w:rPr>
            <w:t xml:space="preserve">(3), 45–77. https://doi.org/10.2753/MIS0742-1222240302</w:t>
          </w:r>
        </w:p>
        <w:p>
          <w:pPr>
            <w:spacing w:line="480"/>
            <w:ind w:left="720" w:hanging="720"/>
          </w:pPr>
          <w:r>
            <w:rPr>
              <w:rFonts w:ascii="Times New Roman" w:cs="Times New Roman" w:eastAsia="Times New Roman" w:hAnsi="Times New Roman"/>
              <w:i w:val="false"/>
              <w:iCs w:val="false"/>
              <w:sz w:val="24"/>
              <w:szCs w:val="24"/>
            </w:rPr>
            <w:t xml:space="preserve">Pelánek, R. (2018). The details matter: Methodological nuances in the evaluation of student models. </w:t>
          </w:r>
          <w:r>
            <w:rPr>
              <w:rFonts w:ascii="Times New Roman" w:cs="Times New Roman" w:eastAsia="Times New Roman" w:hAnsi="Times New Roman"/>
              <w:i/>
              <w:iCs/>
              <w:sz w:val="24"/>
              <w:szCs w:val="24"/>
            </w:rPr>
            <w:t xml:space="preserve">User Modeling and User-Adapted Interaction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28</w:t>
          </w:r>
          <w:r>
            <w:rPr>
              <w:rFonts w:ascii="Times New Roman" w:cs="Times New Roman" w:eastAsia="Times New Roman" w:hAnsi="Times New Roman"/>
              <w:i w:val="false"/>
              <w:iCs w:val="false"/>
              <w:sz w:val="24"/>
              <w:szCs w:val="24"/>
            </w:rPr>
            <w:t xml:space="preserve">(3), 207–235. https://doi.org/10.1007/s11257-018-9204-y</w:t>
          </w:r>
        </w:p>
        <w:p>
          <w:pPr>
            <w:spacing w:line="480"/>
            <w:ind w:left="720" w:hanging="720"/>
          </w:pPr>
          <w:r>
            <w:rPr>
              <w:rFonts w:ascii="Times New Roman" w:cs="Times New Roman" w:eastAsia="Times New Roman" w:hAnsi="Times New Roman"/>
              <w:i w:val="false"/>
              <w:iCs w:val="false"/>
              <w:sz w:val="24"/>
              <w:szCs w:val="24"/>
            </w:rPr>
            <w:t xml:space="preserve">Poursabzi-Sangdeh, F., Goldstein, D. G., Hofman, J. M., Wortman Vaughan, J., &amp; Wallach, H. (2021). Manipulating and measuring model interpretability. </w:t>
          </w:r>
          <w:r>
            <w:rPr>
              <w:rFonts w:ascii="Times New Roman" w:cs="Times New Roman" w:eastAsia="Times New Roman" w:hAnsi="Times New Roman"/>
              <w:i/>
              <w:iCs/>
              <w:sz w:val="24"/>
              <w:szCs w:val="24"/>
            </w:rPr>
            <w:t xml:space="preserve">Proceedings of the 2021 CHI Conference on Human Factors in Computing Systems</w:t>
          </w:r>
          <w:r>
            <w:rPr>
              <w:rFonts w:ascii="Times New Roman" w:cs="Times New Roman" w:eastAsia="Times New Roman" w:hAnsi="Times New Roman"/>
              <w:i w:val="false"/>
              <w:iCs w:val="false"/>
              <w:sz w:val="24"/>
              <w:szCs w:val="24"/>
            </w:rPr>
            <w:t xml:space="preserve">, Article 237. https://doi.org/10.1145/3411764.3445315</w:t>
          </w:r>
        </w:p>
        <w:p>
          <w:pPr>
            <w:spacing w:line="480"/>
            <w:ind w:left="720" w:hanging="720"/>
          </w:pPr>
          <w:r>
            <w:rPr>
              <w:rFonts w:ascii="Times New Roman" w:cs="Times New Roman" w:eastAsia="Times New Roman" w:hAnsi="Times New Roman"/>
              <w:i w:val="false"/>
              <w:iCs w:val="false"/>
              <w:sz w:val="24"/>
              <w:szCs w:val="24"/>
            </w:rPr>
            <w:t xml:space="preserve">Rebelo Marcolino, M., Reis Porto, T., Thompsen Primo, T., Targino, R., Ramos, V., Marques Queiroga, E., Munoz, R., &amp; Cechinel, C. (2025). Student dropout prediction through machine learning optimization: Insights from Moodle log data. </w:t>
          </w:r>
          <w:r>
            <w:rPr>
              <w:rFonts w:ascii="Times New Roman" w:cs="Times New Roman" w:eastAsia="Times New Roman" w:hAnsi="Times New Roman"/>
              <w:i/>
              <w:iCs/>
              <w:sz w:val="24"/>
              <w:szCs w:val="24"/>
            </w:rPr>
            <w:t xml:space="preserve">Scientific Reports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i w:val="false"/>
              <w:iCs w:val="false"/>
              <w:sz w:val="24"/>
              <w:szCs w:val="24"/>
            </w:rPr>
            <w:t xml:space="preserve">(1), Article 9840. https://doi.org/10.1038/s41598-025-93918-1</w:t>
          </w:r>
        </w:p>
        <w:p>
          <w:pPr>
            <w:spacing w:line="480"/>
            <w:ind w:left="720" w:hanging="720"/>
          </w:pPr>
          <w:r>
            <w:rPr>
              <w:rFonts w:ascii="Times New Roman" w:cs="Times New Roman" w:eastAsia="Times New Roman" w:hAnsi="Times New Roman"/>
              <w:i w:val="false"/>
              <w:iCs w:val="false"/>
              <w:sz w:val="24"/>
              <w:szCs w:val="24"/>
            </w:rPr>
            <w:t xml:space="preserve">Ribeiro, M. T., Singh, S., &amp; Guestrin, C. (2016). “Why should I trust you?”: Explaining the predictions of any classifier.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i w:val="false"/>
              <w:iCs w:val="false"/>
              <w:sz w:val="24"/>
              <w:szCs w:val="24"/>
            </w:rPr>
            <w:t xml:space="preserve">, 1135–1144. https://doi.org/10.1145/2939672.2939778</w:t>
          </w:r>
        </w:p>
        <w:p>
          <w:pPr>
            <w:spacing w:line="480"/>
            <w:ind w:left="720" w:hanging="720"/>
          </w:pPr>
          <w:r>
            <w:rPr>
              <w:rFonts w:ascii="Times New Roman" w:cs="Times New Roman" w:eastAsia="Times New Roman" w:hAnsi="Times New Roman"/>
              <w:i w:val="false"/>
              <w:iCs w:val="false"/>
              <w:sz w:val="24"/>
              <w:szCs w:val="24"/>
            </w:rPr>
            <w:t xml:space="preserve">Rudin, C. (2019). Stop explaining black box machine learning models for high stakes decisions and use interpretable models instead. </w:t>
          </w:r>
          <w:r>
            <w:rPr>
              <w:rFonts w:ascii="Times New Roman" w:cs="Times New Roman" w:eastAsia="Times New Roman" w:hAnsi="Times New Roman"/>
              <w:i/>
              <w:iCs/>
              <w:sz w:val="24"/>
              <w:szCs w:val="24"/>
            </w:rPr>
            <w:t xml:space="preserve">Nature Machine Intelligence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w:t>
          </w:r>
          <w:r>
            <w:rPr>
              <w:rFonts w:ascii="Times New Roman" w:cs="Times New Roman" w:eastAsia="Times New Roman" w:hAnsi="Times New Roman"/>
              <w:i w:val="false"/>
              <w:iCs w:val="false"/>
              <w:sz w:val="24"/>
              <w:szCs w:val="24"/>
            </w:rPr>
            <w:t xml:space="preserve">(5), 206–215. https://doi.org/10.1038/s42256-019-0048-x</w:t>
          </w:r>
        </w:p>
        <w:p>
          <w:pPr>
            <w:spacing w:line="480"/>
            <w:ind w:left="720" w:hanging="720"/>
          </w:pPr>
          <w:r>
            <w:rPr>
              <w:rFonts w:ascii="Times New Roman" w:cs="Times New Roman" w:eastAsia="Times New Roman" w:hAnsi="Times New Roman"/>
              <w:i w:val="false"/>
              <w:iCs w:val="false"/>
              <w:sz w:val="24"/>
              <w:szCs w:val="24"/>
            </w:rPr>
            <w:t xml:space="preserve">Salih, A. M., Raisi-Estabragh, Z., Boscolo Galazzo, I., Radeva, P., Petersen, S. E., Lekadir, K., &amp; Menegaz, G. (2025). A perspective on explainable artificial intelligence methods: SHAP and LIME. </w:t>
          </w:r>
          <w:r>
            <w:rPr>
              <w:rFonts w:ascii="Times New Roman" w:cs="Times New Roman" w:eastAsia="Times New Roman" w:hAnsi="Times New Roman"/>
              <w:i/>
              <w:iCs/>
              <w:sz w:val="24"/>
              <w:szCs w:val="24"/>
            </w:rPr>
            <w:t xml:space="preserve">Advanced Intelligent Systems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i w:val="false"/>
              <w:iCs w:val="false"/>
              <w:sz w:val="24"/>
              <w:szCs w:val="24"/>
            </w:rPr>
            <w:t xml:space="preserve">(1), Article 2400304. https://doi.org/10.1002/aisy.202400304</w:t>
          </w:r>
        </w:p>
        <w:p>
          <w:pPr>
            <w:spacing w:line="480"/>
            <w:ind w:left="720" w:hanging="720"/>
          </w:pPr>
          <w:r>
            <w:rPr>
              <w:rFonts w:ascii="Times New Roman" w:cs="Times New Roman" w:eastAsia="Times New Roman" w:hAnsi="Times New Roman"/>
              <w:i w:val="false"/>
              <w:iCs w:val="false"/>
              <w:sz w:val="24"/>
              <w:szCs w:val="24"/>
            </w:rPr>
            <w:t xml:space="preserve">Saltzer, J. H., &amp; Schroeder, M. D. (1975). The protection of information in computer systems. </w:t>
          </w:r>
          <w:r>
            <w:rPr>
              <w:rFonts w:ascii="Times New Roman" w:cs="Times New Roman" w:eastAsia="Times New Roman" w:hAnsi="Times New Roman"/>
              <w:i/>
              <w:iCs/>
              <w:sz w:val="24"/>
              <w:szCs w:val="24"/>
            </w:rPr>
            <w:t xml:space="preserve">Proceedings of the IEEE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63</w:t>
          </w:r>
          <w:r>
            <w:rPr>
              <w:rFonts w:ascii="Times New Roman" w:cs="Times New Roman" w:eastAsia="Times New Roman" w:hAnsi="Times New Roman"/>
              <w:i w:val="false"/>
              <w:iCs w:val="false"/>
              <w:sz w:val="24"/>
              <w:szCs w:val="24"/>
            </w:rPr>
            <w:t xml:space="preserve">(9), 1278–1308. https://doi.org/10.1109/PROC.1975.9939</w:t>
          </w:r>
        </w:p>
        <w:p>
          <w:pPr>
            <w:spacing w:line="480"/>
            <w:ind w:left="720" w:hanging="720"/>
          </w:pPr>
          <w:r>
            <w:rPr>
              <w:rFonts w:ascii="Times New Roman" w:cs="Times New Roman" w:eastAsia="Times New Roman" w:hAnsi="Times New Roman"/>
              <w:i w:val="false"/>
              <w:iCs w:val="false"/>
              <w:sz w:val="24"/>
              <w:szCs w:val="24"/>
            </w:rPr>
            <w:t xml:space="preserve">Schreiber, G., Akkermans, H., Anjewierden, A., de Hoog, R., Shadbolt, N. R., Van de Velde, W., &amp; Wielinga, B. J. (2000). </w:t>
          </w:r>
          <w:r>
            <w:rPr>
              <w:rFonts w:ascii="Times New Roman" w:cs="Times New Roman" w:eastAsia="Times New Roman" w:hAnsi="Times New Roman"/>
              <w:i/>
              <w:iCs/>
              <w:sz w:val="24"/>
              <w:szCs w:val="24"/>
            </w:rPr>
            <w:t xml:space="preserve">Knowledge engineering and management: The CommonKADS methodology</w:t>
          </w:r>
          <w:r>
            <w:rPr>
              <w:rFonts w:ascii="Times New Roman" w:cs="Times New Roman" w:eastAsia="Times New Roman" w:hAnsi="Times New Roman"/>
              <w:i w:val="false"/>
              <w:iCs w:val="false"/>
              <w:sz w:val="24"/>
              <w:szCs w:val="24"/>
            </w:rPr>
            <w:t xml:space="preserve">. MIT Press. https://doi.org/10.7551/mitpress/4073.001.0001</w:t>
          </w:r>
        </w:p>
        <w:p>
          <w:pPr>
            <w:spacing w:line="480"/>
            <w:ind w:left="720" w:hanging="720"/>
          </w:pPr>
          <w:r>
            <w:rPr>
              <w:rFonts w:ascii="Times New Roman" w:cs="Times New Roman" w:eastAsia="Times New Roman" w:hAnsi="Times New Roman"/>
              <w:i w:val="false"/>
              <w:iCs w:val="false"/>
              <w:sz w:val="24"/>
              <w:szCs w:val="24"/>
            </w:rPr>
            <w:t xml:space="preserve">Schwendimann, B. A., Rodríguez-Triana, M. J., Vozniuk, A., Prieto, L. P., Boroujeni, M. S., Holzer, A., Gillet, D., &amp; Dillenbourg, P. (2017). Perceiving learning at a glance: A systematic literature review of learning dashboard research. </w:t>
          </w:r>
          <w:r>
            <w:rPr>
              <w:rFonts w:ascii="Times New Roman" w:cs="Times New Roman" w:eastAsia="Times New Roman" w:hAnsi="Times New Roman"/>
              <w:i/>
              <w:iCs/>
              <w:sz w:val="24"/>
              <w:szCs w:val="24"/>
            </w:rPr>
            <w:t xml:space="preserve">IEEE Transactions on Learning Technologies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i w:val="false"/>
              <w:iCs w:val="false"/>
              <w:sz w:val="24"/>
              <w:szCs w:val="24"/>
            </w:rPr>
            <w:t xml:space="preserve">(1), 30–41. https://doi.org/10.1109/TLT.2016.2599522</w:t>
          </w:r>
        </w:p>
        <w:p>
          <w:pPr>
            <w:spacing w:line="480"/>
            <w:ind w:left="720" w:hanging="720"/>
          </w:pPr>
          <w:r>
            <w:rPr>
              <w:rFonts w:ascii="Times New Roman" w:cs="Times New Roman" w:eastAsia="Times New Roman" w:hAnsi="Times New Roman"/>
              <w:i w:val="false"/>
              <w:iCs w:val="false"/>
              <w:sz w:val="24"/>
              <w:szCs w:val="24"/>
            </w:rPr>
            <w:t xml:space="preserve">Siemens, G., &amp; Long, P. (2011). Penetrating the fog: Analytics in learning and education. </w:t>
          </w:r>
          <w:r>
            <w:rPr>
              <w:rFonts w:ascii="Times New Roman" w:cs="Times New Roman" w:eastAsia="Times New Roman" w:hAnsi="Times New Roman"/>
              <w:i/>
              <w:iCs/>
              <w:sz w:val="24"/>
              <w:szCs w:val="24"/>
            </w:rPr>
            <w:t xml:space="preserve">EDUCAUSE Review</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46</w:t>
          </w:r>
          <w:r>
            <w:rPr>
              <w:rFonts w:ascii="Times New Roman" w:cs="Times New Roman" w:eastAsia="Times New Roman" w:hAnsi="Times New Roman"/>
              <w:i w:val="false"/>
              <w:iCs w:val="false"/>
              <w:sz w:val="24"/>
              <w:szCs w:val="24"/>
            </w:rPr>
            <w:t xml:space="preserve">(5), 30–40. https://er.educause.edu/articles/2011/9/penetrating-the-fog-analytics-in-learning-and-education</w:t>
          </w:r>
        </w:p>
        <w:p>
          <w:pPr>
            <w:spacing w:line="480"/>
            <w:ind w:left="720" w:hanging="720"/>
          </w:pPr>
          <w:r>
            <w:rPr>
              <w:rFonts w:ascii="Times New Roman" w:cs="Times New Roman" w:eastAsia="Times New Roman" w:hAnsi="Times New Roman"/>
              <w:i w:val="false"/>
              <w:iCs w:val="false"/>
              <w:sz w:val="24"/>
              <w:szCs w:val="24"/>
            </w:rPr>
            <w:t xml:space="preserve">Slack, D., Hilgard, S., Jia, E., Singh, S., &amp; Lakkaraju, H. (2020). Fooling LIME and SHAP: Adversarial attacks on post hoc explanation methods. </w:t>
          </w:r>
          <w:r>
            <w:rPr>
              <w:rFonts w:ascii="Times New Roman" w:cs="Times New Roman" w:eastAsia="Times New Roman" w:hAnsi="Times New Roman"/>
              <w:i/>
              <w:iCs/>
              <w:sz w:val="24"/>
              <w:szCs w:val="24"/>
            </w:rPr>
            <w:t xml:space="preserve">Proceedings of the AAAI/ACM Conference on AI, Ethics, and Society</w:t>
          </w:r>
          <w:r>
            <w:rPr>
              <w:rFonts w:ascii="Times New Roman" w:cs="Times New Roman" w:eastAsia="Times New Roman" w:hAnsi="Times New Roman"/>
              <w:i w:val="false"/>
              <w:iCs w:val="false"/>
              <w:sz w:val="24"/>
              <w:szCs w:val="24"/>
            </w:rPr>
            <w:t xml:space="preserve">, 180–186. https://doi.org/10.1145/3375627.3375830</w:t>
          </w:r>
        </w:p>
        <w:p>
          <w:pPr>
            <w:spacing w:line="480"/>
            <w:ind w:left="720" w:hanging="720"/>
          </w:pPr>
          <w:r>
            <w:rPr>
              <w:rFonts w:ascii="Times New Roman" w:cs="Times New Roman" w:eastAsia="Times New Roman" w:hAnsi="Times New Roman"/>
              <w:i w:val="false"/>
              <w:iCs w:val="false"/>
              <w:sz w:val="24"/>
              <w:szCs w:val="24"/>
            </w:rPr>
            <w:t xml:space="preserve">Sokol, K., &amp; Flach, P. (2020). Explainability fact sheets: A framework for systematic assessment of explainable approaches. </w:t>
          </w:r>
          <w:r>
            <w:rPr>
              <w:rFonts w:ascii="Times New Roman" w:cs="Times New Roman" w:eastAsia="Times New Roman" w:hAnsi="Times New Roman"/>
              <w:i/>
              <w:iCs/>
              <w:sz w:val="24"/>
              <w:szCs w:val="24"/>
            </w:rPr>
            <w:t xml:space="preserve">Proceedings of the 2020 Conference on Fairness, Accountability, and Transparency</w:t>
          </w:r>
          <w:r>
            <w:rPr>
              <w:rFonts w:ascii="Times New Roman" w:cs="Times New Roman" w:eastAsia="Times New Roman" w:hAnsi="Times New Roman"/>
              <w:i w:val="false"/>
              <w:iCs w:val="false"/>
              <w:sz w:val="24"/>
              <w:szCs w:val="24"/>
            </w:rPr>
            <w:t xml:space="preserve">, 56–67. https://doi.org/10.1145/3351095.3372870</w:t>
          </w:r>
        </w:p>
        <w:p>
          <w:pPr>
            <w:spacing w:line="480"/>
            <w:ind w:left="720" w:hanging="720"/>
          </w:pPr>
          <w:r>
            <w:rPr>
              <w:rFonts w:ascii="Times New Roman" w:cs="Times New Roman" w:eastAsia="Times New Roman" w:hAnsi="Times New Roman"/>
              <w:i w:val="false"/>
              <w:iCs w:val="false"/>
              <w:sz w:val="24"/>
              <w:szCs w:val="24"/>
            </w:rPr>
            <w:t xml:space="preserve">Springer, A., &amp; Whittaker, S. (2020). Progressive disclosure: When, why, and how do users want algorithmic transparency information? </w:t>
          </w:r>
          <w:r>
            <w:rPr>
              <w:rFonts w:ascii="Times New Roman" w:cs="Times New Roman" w:eastAsia="Times New Roman" w:hAnsi="Times New Roman"/>
              <w:i/>
              <w:iCs/>
              <w:sz w:val="24"/>
              <w:szCs w:val="24"/>
            </w:rPr>
            <w:t xml:space="preserve">ACM Transactions on Interactive Intelligent Systems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i w:val="false"/>
              <w:iCs w:val="false"/>
              <w:sz w:val="24"/>
              <w:szCs w:val="24"/>
            </w:rPr>
            <w:t xml:space="preserve">(4), 1–32. https://doi.org/10.1145/3374218</w:t>
          </w:r>
        </w:p>
        <w:p>
          <w:pPr>
            <w:spacing w:line="480"/>
            <w:ind w:left="720" w:hanging="720"/>
          </w:pPr>
          <w:r>
            <w:rPr>
              <w:rFonts w:ascii="Times New Roman" w:cs="Times New Roman" w:eastAsia="Times New Roman" w:hAnsi="Times New Roman"/>
              <w:i w:val="false"/>
              <w:iCs w:val="false"/>
              <w:sz w:val="24"/>
              <w:szCs w:val="24"/>
            </w:rPr>
            <w:t xml:space="preserve">Studer, R., Benjamins, V. R., &amp; Fensel, D. (1998). Knowledge engineering: Principles and methods. </w:t>
          </w:r>
          <w:r>
            <w:rPr>
              <w:rFonts w:ascii="Times New Roman" w:cs="Times New Roman" w:eastAsia="Times New Roman" w:hAnsi="Times New Roman"/>
              <w:i/>
              <w:iCs/>
              <w:sz w:val="24"/>
              <w:szCs w:val="24"/>
            </w:rPr>
            <w:t xml:space="preserve">Data &amp; Knowledge Engineering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25</w:t>
          </w:r>
          <w:r>
            <w:rPr>
              <w:rFonts w:ascii="Times New Roman" w:cs="Times New Roman" w:eastAsia="Times New Roman" w:hAnsi="Times New Roman"/>
              <w:i w:val="false"/>
              <w:iCs w:val="false"/>
              <w:sz w:val="24"/>
              <w:szCs w:val="24"/>
            </w:rPr>
            <w:t xml:space="preserve">(1–2), 161–197. https://doi.org/10.1016/S0169-023X(97)00056-6</w:t>
          </w:r>
        </w:p>
        <w:p>
          <w:pPr>
            <w:spacing w:line="480"/>
            <w:ind w:left="720" w:hanging="720"/>
          </w:pPr>
          <w:r>
            <w:rPr>
              <w:rFonts w:ascii="Times New Roman" w:cs="Times New Roman" w:eastAsia="Times New Roman" w:hAnsi="Times New Roman"/>
              <w:i w:val="false"/>
              <w:iCs w:val="false"/>
              <w:sz w:val="24"/>
              <w:szCs w:val="24"/>
            </w:rPr>
            <w:t xml:space="preserve">Susnjak, T., Ramaswami, G. S., &amp; Mathrani, A. (2022). Learning analytics dashboard: A tool for providing actionable insights to learners. </w:t>
          </w:r>
          <w:r>
            <w:rPr>
              <w:rFonts w:ascii="Times New Roman" w:cs="Times New Roman" w:eastAsia="Times New Roman" w:hAnsi="Times New Roman"/>
              <w:i/>
              <w:iCs/>
              <w:sz w:val="24"/>
              <w:szCs w:val="24"/>
            </w:rPr>
            <w:t xml:space="preserve">International Journal of Educational Technology in Higher Education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19</w:t>
          </w:r>
          <w:r>
            <w:rPr>
              <w:rFonts w:ascii="Times New Roman" w:cs="Times New Roman" w:eastAsia="Times New Roman" w:hAnsi="Times New Roman"/>
              <w:i w:val="false"/>
              <w:iCs w:val="false"/>
              <w:sz w:val="24"/>
              <w:szCs w:val="24"/>
            </w:rPr>
            <w:t xml:space="preserve">(1), Article 12. https://doi.org/10.1186/s41239-021-00313-7</w:t>
          </w:r>
        </w:p>
        <w:p>
          <w:pPr>
            <w:spacing w:line="480"/>
            <w:ind w:left="720" w:hanging="720"/>
          </w:pPr>
          <w:r>
            <w:rPr>
              <w:rFonts w:ascii="Times New Roman" w:cs="Times New Roman" w:eastAsia="Times New Roman" w:hAnsi="Times New Roman"/>
              <w:i w:val="false"/>
              <w:iCs w:val="false"/>
              <w:sz w:val="24"/>
              <w:szCs w:val="24"/>
            </w:rPr>
            <w:t xml:space="preserve">Tsai, Y.-S., &amp; Gašević, D. (2017). Learning analytics in higher education: Challenges and policies. </w:t>
          </w:r>
          <w:r>
            <w:rPr>
              <w:rFonts w:ascii="Times New Roman" w:cs="Times New Roman" w:eastAsia="Times New Roman" w:hAnsi="Times New Roman"/>
              <w:i/>
              <w:iCs/>
              <w:sz w:val="24"/>
              <w:szCs w:val="24"/>
            </w:rPr>
            <w:t xml:space="preserve">Proceedings of the Seventh International Learning Analytics &amp; Knowledge Conference</w:t>
          </w:r>
          <w:r>
            <w:rPr>
              <w:rFonts w:ascii="Times New Roman" w:cs="Times New Roman" w:eastAsia="Times New Roman" w:hAnsi="Times New Roman"/>
              <w:i w:val="false"/>
              <w:iCs w:val="false"/>
              <w:sz w:val="24"/>
              <w:szCs w:val="24"/>
            </w:rPr>
            <w:t xml:space="preserve">, 233–242. https://doi.org/10.1145/3027385.3027400</w:t>
          </w:r>
        </w:p>
        <w:p>
          <w:pPr>
            <w:spacing w:line="480"/>
            <w:ind w:left="720" w:hanging="720"/>
          </w:pPr>
          <w:r>
            <w:rPr>
              <w:rFonts w:ascii="Times New Roman" w:cs="Times New Roman" w:eastAsia="Times New Roman" w:hAnsi="Times New Roman"/>
              <w:i w:val="false"/>
              <w:iCs w:val="false"/>
              <w:sz w:val="24"/>
              <w:szCs w:val="24"/>
            </w:rPr>
            <w:t xml:space="preserve">Verbert, K., Duval, E., Klerkx, J., Govaerts, S., &amp; Santos, J. L. (2013). Learning analytics dashboard applications. </w:t>
          </w:r>
          <w:r>
            <w:rPr>
              <w:rFonts w:ascii="Times New Roman" w:cs="Times New Roman" w:eastAsia="Times New Roman" w:hAnsi="Times New Roman"/>
              <w:i/>
              <w:iCs/>
              <w:sz w:val="24"/>
              <w:szCs w:val="24"/>
            </w:rPr>
            <w:t xml:space="preserve">American Behavioral Scientist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57</w:t>
          </w:r>
          <w:r>
            <w:rPr>
              <w:rFonts w:ascii="Times New Roman" w:cs="Times New Roman" w:eastAsia="Times New Roman" w:hAnsi="Times New Roman"/>
              <w:i w:val="false"/>
              <w:iCs w:val="false"/>
              <w:sz w:val="24"/>
              <w:szCs w:val="24"/>
            </w:rPr>
            <w:t xml:space="preserve">(10), 1500–1509. https://doi.org/10.1177/0002764213479363</w:t>
          </w:r>
        </w:p>
        <w:p>
          <w:pPr>
            <w:spacing w:line="480"/>
            <w:ind w:left="720" w:hanging="720"/>
          </w:pPr>
          <w:r>
            <w:rPr>
              <w:rFonts w:ascii="Times New Roman" w:cs="Times New Roman" w:eastAsia="Times New Roman" w:hAnsi="Times New Roman"/>
              <w:i w:val="false"/>
              <w:iCs w:val="false"/>
              <w:sz w:val="24"/>
              <w:szCs w:val="24"/>
            </w:rPr>
            <w:t xml:space="preserve">Visani, G., Bagli, E., Chesani, F., Poluzzi, A., &amp; Capuzzo, D. (2022). Statistical stability indices for LIME: Obtaining reliable explanations for machine learning models. </w:t>
          </w:r>
          <w:r>
            <w:rPr>
              <w:rFonts w:ascii="Times New Roman" w:cs="Times New Roman" w:eastAsia="Times New Roman" w:hAnsi="Times New Roman"/>
              <w:i/>
              <w:iCs/>
              <w:sz w:val="24"/>
              <w:szCs w:val="24"/>
            </w:rPr>
            <w:t xml:space="preserve">Journal of the Operational Research Society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73</w:t>
          </w:r>
          <w:r>
            <w:rPr>
              <w:rFonts w:ascii="Times New Roman" w:cs="Times New Roman" w:eastAsia="Times New Roman" w:hAnsi="Times New Roman"/>
              <w:i w:val="false"/>
              <w:iCs w:val="false"/>
              <w:sz w:val="24"/>
              <w:szCs w:val="24"/>
            </w:rPr>
            <w:t xml:space="preserve">(1), 91–101. https://doi.org/10.1080/01605682.2020.1865846</w:t>
          </w:r>
        </w:p>
        <w:p>
          <w:pPr>
            <w:spacing w:line="480"/>
            <w:ind w:left="720" w:hanging="720"/>
          </w:pPr>
          <w:r>
            <w:rPr>
              <w:rFonts w:ascii="Times New Roman" w:cs="Times New Roman" w:eastAsia="Times New Roman" w:hAnsi="Times New Roman"/>
              <w:i w:val="false"/>
              <w:iCs w:val="false"/>
              <w:sz w:val="24"/>
              <w:szCs w:val="24"/>
            </w:rPr>
            <w:t xml:space="preserve">Wang, Y. (2025). Artificial intelligence in student management systems to enhance academic performance monitoring and intervention. </w:t>
          </w:r>
          <w:r>
            <w:rPr>
              <w:rFonts w:ascii="Times New Roman" w:cs="Times New Roman" w:eastAsia="Times New Roman" w:hAnsi="Times New Roman"/>
              <w:i/>
              <w:iCs/>
              <w:sz w:val="24"/>
              <w:szCs w:val="24"/>
            </w:rPr>
            <w:t xml:space="preserve">Scientific Reports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i w:val="false"/>
              <w:iCs w:val="false"/>
              <w:sz w:val="24"/>
              <w:szCs w:val="24"/>
            </w:rPr>
            <w:t xml:space="preserve">(1), Article 35122. https://doi.org/10.1038/s41598-025-19159-4</w:t>
          </w:r>
        </w:p>
        <w:p>
          <w:pPr>
            <w:spacing w:line="480"/>
            <w:ind w:left="720" w:hanging="720"/>
          </w:pPr>
          <w:r>
            <w:rPr>
              <w:rFonts w:ascii="Times New Roman" w:cs="Times New Roman" w:eastAsia="Times New Roman" w:hAnsi="Times New Roman"/>
              <w:i w:val="false"/>
              <w:iCs w:val="false"/>
              <w:sz w:val="24"/>
              <w:szCs w:val="24"/>
            </w:rPr>
            <w:t xml:space="preserve">Yu, R., Li, Q., Fischer, C., Doroudi, S., &amp; Xu, D. (2020). Towards accurate and fair prediction of college success: Evaluating different sources of student data. In A. N. Rafferty, J. Whitehill, V. Cavalli-Sforza, &amp; C. Romero (Eds.), </w:t>
          </w:r>
          <w:r>
            <w:rPr>
              <w:rFonts w:ascii="Times New Roman" w:cs="Times New Roman" w:eastAsia="Times New Roman" w:hAnsi="Times New Roman"/>
              <w:i/>
              <w:iCs/>
              <w:sz w:val="24"/>
              <w:szCs w:val="24"/>
            </w:rPr>
            <w:t xml:space="preserve">Proceedings of the 13th International Conference on Educational Data Mining</w:t>
          </w:r>
          <w:r>
            <w:rPr>
              <w:rFonts w:ascii="Times New Roman" w:cs="Times New Roman" w:eastAsia="Times New Roman" w:hAnsi="Times New Roman"/>
              <w:i w:val="false"/>
              <w:iCs w:val="false"/>
              <w:sz w:val="24"/>
              <w:szCs w:val="24"/>
            </w:rPr>
            <w:t xml:space="preserve"> (pp. 292–301). International Educational Data Mining Society.</w:t>
          </w:r>
        </w:p>
      </w:sdtContent>
    </w:sdt>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11cef6e6c63ab810be83608c00023abe04d5167.png"/><Relationship Id="rId9" Type="http://schemas.openxmlformats.org/officeDocument/2006/relationships/image" Target="media/6c1baebfecc3a30e000af7db1659835ab9674e36.png"/><Relationship Id="rId10" Type="http://schemas.openxmlformats.org/officeDocument/2006/relationships/image" Target="media/eba0b6725b26af6cb55b6c4720e066ef47f1b52a.png"/><Relationship Id="rId11" Type="http://schemas.openxmlformats.org/officeDocument/2006/relationships/image" Target="media/909706f9a767b90a42369797c329724b8c4c54c4.png"/><Relationship Id="rId12" Type="http://schemas.openxmlformats.org/officeDocument/2006/relationships/image" Target="media/5ca23048e71056253ee898e8e4ad8f5cac4bf663.png"/><Relationship Id="rId13" Type="http://schemas.openxmlformats.org/officeDocument/2006/relationships/image" Target="media/62d9dcce6e52152cada30e6cd21b21eb0110ae88.png"/><Relationship Id="rId14" Type="http://schemas.openxmlformats.org/officeDocument/2006/relationships/image" Target="media/c8839f2b6d77e355c3ccb27c1cc35c1467128727.png"/><Relationship Id="rId15" Type="http://schemas.openxmlformats.org/officeDocument/2006/relationships/image" Target="media/efe27281b522551fd03ca8189a9ce208585827d9.png"/><Relationship Id="rId16" Type="http://schemas.openxmlformats.org/officeDocument/2006/relationships/image" Target="media/3da50c47cc126b2080b1a0f79151a166e2b83e9f.png"/><Relationship Id="rId17" Type="http://schemas.openxmlformats.org/officeDocument/2006/relationships/image" Target="media/4348c61a2cc2189bbc4b59052ca8fbde77356a5d.png"/><Relationship Id="rId18" Type="http://schemas.openxmlformats.org/officeDocument/2006/relationships/image" Target="media/10c2a7780f3c3f2d40c56b8fd554ade2abfe29f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role-aware explainable AI dashboard for at-risk student classification: Design and technical evaluation on the Open University Learning Analytics Dataset</dc:title>
  <dc:creator>Daniel Larry</dc:creator>
  <cp:lastModifiedBy>Un-named</cp:lastModifiedBy>
  <cp:revision>1</cp:revision>
  <dcterms:created xsi:type="dcterms:W3CDTF">2026-10-08T18:30:57.546Z</dcterms:created>
  <dcterms:modified xsi:type="dcterms:W3CDTF">2026-10-08T18:30:57.551Z</dcterms:modified>
</cp:coreProperties>
</file>

<file path=docProps/custom.xml><?xml version="1.0" encoding="utf-8"?>
<Properties xmlns="http://schemas.openxmlformats.org/officeDocument/2006/custom-properties" xmlns:vt="http://schemas.openxmlformats.org/officeDocument/2006/docPropsVTypes"/>
</file>