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Pr>
          <w:rtl w:val="0"/>
        </w:rPr>
      </w:r>
    </w:p>
    <w:p w:rsidR="00000000" w:rsidDel="00000000" w:rsidP="00000000" w:rsidRDefault="00000000" w:rsidRPr="00000000" w14:paraId="00000002">
      <w:pPr>
        <w:jc w:val="center"/>
        <w:rPr/>
      </w:pPr>
      <w:r>
        <w:rPr>
          <w:rtl w:val="0"/>
        </w:rPr>
      </w:r>
    </w:p>
    <w:p w:rsidR="00000000" w:rsidDel="00000000" w:rsidP="00000000" w:rsidRDefault="00000000" w:rsidRPr="00000000" w14:paraId="00000003">
      <w:pPr>
        <w:spacing w:after="240" w:lineRule="auto"/>
        <w:jc w:val="center"/>
        <w:rPr/>
      </w:pPr>
      <w:r>
        <w:rPr>
          <w:b w:val="1"/>
          <w:bCs w:val="1"/>
          <w:sz w:val="32"/>
          <w:szCs w:val="32"/>
          <w:rtl w:val="0"/>
        </w:rPr>
        <w:t xml:space="preserve">A ROLE-AWARE EXPLAINABLE AI DASHBOARD FOR STUDENT AT-RISK CLASSIFICATION IN LEARNING MANAGEMENT SYSTEMS</w:t>
      </w: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6">
      <w:pPr>
        <w:spacing w:after="480" w:lineRule="auto"/>
        <w:jc w:val="center"/>
        <w:rPr/>
      </w:pPr>
      <w:r>
        <w:rPr>
          <w:rtl w:val="0"/>
        </w:rPr>
        <w:t xml:space="preserve">Master of Science in Computer Science</w:t>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120" w:lineRule="auto"/>
        <w:jc w:val="center"/>
        <w:rPr/>
      </w:pPr>
      <w:r>
        <w:rPr>
          <w:rtl w:val="0"/>
        </w:rPr>
        <w:t xml:space="preserve">by</w:t>
      </w:r>
    </w:p>
    <w:p w:rsidR="00000000" w:rsidDel="00000000" w:rsidP="00000000" w:rsidRDefault="00000000" w:rsidRPr="00000000" w14:paraId="00000009">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A">
      <w:pPr>
        <w:spacing w:after="480" w:lineRule="auto"/>
        <w:jc w:val="center"/>
        <w:rPr/>
      </w:pPr>
      <w:r>
        <w:rPr>
          <w:rtl w:val="0"/>
        </w:rPr>
        <w:t xml:space="preserve">A00020528</w:t>
      </w:r>
    </w:p>
    <w:p w:rsidR="00000000" w:rsidDel="00000000" w:rsidP="00000000" w:rsidRDefault="00000000" w:rsidRPr="00000000" w14:paraId="0000000B">
      <w:pPr>
        <w:spacing w:after="240" w:before="240" w:lineRule="auto"/>
        <w:jc w:val="center"/>
        <w:rPr/>
      </w:pPr>
      <w:r>
        <w:rPr/>
        <w:drawing>
          <wp:inline distB="0" distT="0" distL="0" distR="0">
            <wp:extent cx="1733550" cy="1733550"/>
            <wp:effectExtent b="0" l="0" r="0" t="0"/>
            <wp:docPr descr="American University of Nigeria logo" id="9004" name="image3.png"/>
            <a:graphic>
              <a:graphicData uri="http://schemas.openxmlformats.org/drawingml/2006/picture">
                <pic:pic>
                  <pic:nvPicPr>
                    <pic:cNvPr descr="American University of Nigeria logo" id="0" name="image3.png"/>
                    <pic:cNvPicPr preferRelativeResize="0"/>
                  </pic:nvPicPr>
                  <pic:blipFill>
                    <a:blip r:embed="rId9"/>
                    <a:srcRect b="0" l="0" r="0" t="0"/>
                    <a:stretch>
                      <a:fillRect/>
                    </a:stretch>
                  </pic:blipFill>
                  <pic:spPr>
                    <a:xfrm>
                      <a:off x="0" y="0"/>
                      <a:ext cx="1733550" cy="1733550"/>
                    </a:xfrm>
                    <a:prstGeom prst="rect"/>
                    <a:ln/>
                  </pic:spPr>
                </pic:pic>
              </a:graphicData>
            </a:graphic>
          </wp:inline>
        </w:drawing>
      </w:r>
      <w:r>
        <w:rPr>
          <w:rtl w:val="0"/>
        </w:rPr>
      </w:r>
    </w:p>
    <w:p w:rsidR="00000000" w:rsidDel="00000000" w:rsidP="00000000" w:rsidRDefault="00000000" w:rsidRPr="00000000" w14:paraId="0000000C">
      <w:pPr>
        <w:jc w:val="center"/>
        <w:rPr/>
      </w:pPr>
      <w:r>
        <w:rPr>
          <w:rtl w:val="0"/>
        </w:rPr>
      </w:r>
    </w:p>
    <w:p w:rsidR="00000000" w:rsidDel="00000000" w:rsidP="00000000" w:rsidRDefault="00000000" w:rsidRPr="00000000" w14:paraId="0000000D">
      <w:pPr>
        <w:spacing w:after="40" w:lineRule="auto"/>
        <w:jc w:val="center"/>
        <w:rPr/>
      </w:pPr>
      <w:r>
        <w:rPr>
          <w:rtl w:val="0"/>
        </w:rPr>
        <w:t xml:space="preserve">Computer Science</w:t>
      </w:r>
    </w:p>
    <w:p w:rsidR="00000000" w:rsidDel="00000000" w:rsidP="00000000" w:rsidRDefault="00000000" w:rsidRPr="00000000" w14:paraId="0000000E">
      <w:pPr>
        <w:spacing w:after="40" w:lineRule="auto"/>
        <w:jc w:val="center"/>
        <w:rPr/>
      </w:pPr>
      <w:r>
        <w:rPr>
          <w:rtl w:val="0"/>
        </w:rPr>
        <w:t xml:space="preserve">School of Information Technology and Computing </w:t>
      </w:r>
    </w:p>
    <w:p w:rsidR="00000000" w:rsidDel="00000000" w:rsidP="00000000" w:rsidRDefault="00000000" w:rsidRPr="00000000" w14:paraId="0000000F">
      <w:pPr>
        <w:spacing w:after="480" w:lineRule="auto"/>
        <w:jc w:val="center"/>
        <w:rPr/>
      </w:pPr>
      <w:r>
        <w:rPr>
          <w:rtl w:val="0"/>
        </w:rPr>
        <w:t xml:space="preserve">American University of Nigeria</w:t>
      </w:r>
    </w:p>
    <w:p w:rsidR="00000000" w:rsidDel="00000000" w:rsidP="00000000" w:rsidRDefault="00000000" w:rsidRPr="00000000" w14:paraId="00000010">
      <w:pPr>
        <w:spacing w:after="120" w:lineRule="auto"/>
        <w:jc w:val="center"/>
        <w:rPr/>
        <w:sectPr>
          <w:footerReference r:id="rId10"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1">
      <w:pPr>
        <w:pStyle w:val="Heading1"/>
        <w:jc w:val="center"/>
        <w:rPr/>
      </w:pPr>
      <w:bookmarkStart w:colFirst="0" w:colLast="0" w:name="_heading=h.wu6tptbm7o72" w:id="0"/>
      <w:bookmarkEnd w:id="0"/>
      <w:r>
        <w:rPr>
          <w:rtl w:val="0"/>
        </w:rPr>
        <w:t xml:space="preserve">ABSTRACT</w:t>
      </w:r>
    </w:p>
    <w:p w:rsidR="00000000" w:rsidDel="00000000" w:rsidP="00000000" w:rsidRDefault="00000000" w:rsidRPr="00000000" w14:paraId="00000012">
      <w:pPr>
        <w:spacing w:after="140" w:before="0" w:line="240" w:lineRule="auto"/>
        <w:jc w:val="both"/>
        <w:rPr/>
      </w:pPr>
      <w:r>
        <w:rPr>
          <w:sz w:val="23"/>
          <w:szCs w:val="23"/>
          <w:rtl w:val="0"/>
        </w:rPr>
        <w:t xml:space="preserve">This thesis presents the design, development, and technical evaluation of a role-aware explainable artificial intelligence (XAI) dashboard for predicting at-risk students within Learning Management System (LMS) environments. Predictive models using LMS behavioural and assessment data have been investigated for the early identification of students at risk of failing or withdrawing. However, existing systems typically present these predictions as isolated risk scores, with little insight into the underlying reasoning and no differentiation between the needs of different institutional stakeholders. Guided by the CommonKADS knowledge engineering methodology, this study designed a dashboard that delivers explanations tailored separately to instructors, academic advisors, and administrators from a single underlying prediction system. The prototype runs in Docker and was integrated with locally hosted Moodle, through a local plugin, and Canvas, through an embedded course page.</w:t>
      </w:r>
      <w:r>
        <w:rPr>
          <w:rtl w:val="0"/>
        </w:rPr>
      </w:r>
    </w:p>
    <w:p w:rsidR="00000000" w:rsidDel="00000000" w:rsidP="00000000" w:rsidRDefault="00000000" w:rsidRPr="00000000" w14:paraId="00000013">
      <w:pPr>
        <w:spacing w:after="140" w:before="0" w:line="240" w:lineRule="auto"/>
        <w:jc w:val="both"/>
        <w:rPr/>
      </w:pPr>
      <w:r>
        <w:rPr>
          <w:sz w:val="23"/>
          <w:szCs w:val="23"/>
          <w:rtl w:val="0"/>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criterion, achieved an out-of-fold accuracy of 87.7%, a precision of 0.866, a recall of 0.909, and an F1-score of 0.887, correctly identifying most at-risk students in the held-out data. Random Forest obtained a marginally higher F1-score of 0.898. Because the features were computed over the full course presentation, these results describe retrospective classification and do not establish performance at a predefined early-warning point. SHAP and LIME agreed only partially (mean top-5 overlap 0.635), so presenting both methods side by side gives a cross-checked view of model behaviour and a basis for future practitioner evaluation.</w:t>
      </w:r>
      <w:r>
        <w:rPr>
          <w:rtl w:val="0"/>
        </w:rPr>
      </w:r>
    </w:p>
    <w:p w:rsidR="00000000" w:rsidDel="00000000" w:rsidP="00000000" w:rsidRDefault="00000000" w:rsidRPr="00000000" w14:paraId="00000014">
      <w:pPr>
        <w:spacing w:after="140" w:before="0" w:line="240" w:lineRule="auto"/>
        <w:jc w:val="both"/>
        <w:rPr/>
      </w:pPr>
      <w:r>
        <w:rPr>
          <w:sz w:val="23"/>
          <w:szCs w:val="23"/>
          <w:rtl w:val="0"/>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technical and used a secondary dataset rather than practitioners, the findings establish the technical feasibility of the approach. Its effect on practitioner trust, understanding, and intervention decisions remains to be tested in future work.</w:t>
      </w:r>
      <w:r>
        <w:rPr>
          <w:rtl w:val="0"/>
        </w:rPr>
      </w:r>
    </w:p>
    <w:p w:rsidR="00000000" w:rsidDel="00000000" w:rsidP="00000000" w:rsidRDefault="00000000" w:rsidRPr="00000000" w14:paraId="00000015">
      <w:pPr>
        <w:spacing w:after="140" w:before="0" w:line="240" w:lineRule="auto"/>
        <w:rPr/>
        <w:sectPr>
          <w:type w:val="nextPage"/>
          <w:pgSz w:h="15840" w:w="12240" w:orient="portrait"/>
          <w:pgMar w:bottom="1440" w:top="1440" w:left="1440" w:right="1440" w:header="720" w:footer="720"/>
        </w:sectPr>
      </w:pPr>
      <w:r>
        <w:rPr>
          <w:b w:val="1"/>
          <w:bCs w:val="1"/>
          <w:sz w:val="23"/>
          <w:szCs w:val="23"/>
          <w:rtl w:val="0"/>
        </w:rPr>
        <w:t xml:space="preserve">Keywords:</w:t>
      </w:r>
      <w:r>
        <w:rPr>
          <w:sz w:val="23"/>
          <w:szCs w:val="23"/>
          <w:rtl w:val="0"/>
        </w:rPr>
        <w:t xml:space="preserve"> explainable AI, learning analytics, at-risk prediction, role-aware dashboard, SHAP, LIME, CommonKADS, OULAD.</w:t>
      </w:r>
      <w:r>
        <w:rPr>
          <w:rtl w:val="0"/>
        </w:rPr>
      </w:r>
    </w:p>
    <w:p w:rsidR="00000000" w:rsidDel="00000000" w:rsidP="00000000" w:rsidRDefault="00000000" w:rsidRPr="00000000" w14:paraId="00000016">
      <w:pPr>
        <w:pStyle w:val="Heading1"/>
        <w:jc w:val="center"/>
        <w:rPr/>
      </w:pPr>
      <w:bookmarkStart w:colFirst="0" w:colLast="0" w:name="_heading=h.a6qugksmzfi0" w:id="1"/>
      <w:bookmarkEnd w:id="1"/>
      <w:r>
        <w:rPr>
          <w:rtl w:val="0"/>
        </w:rPr>
        <w:t xml:space="preserve">TABLE OF CONTENTS</w:t>
      </w:r>
    </w:p>
    <w:sdt>
      <w:sdtPr>
        <w:id w:val="1093144029"/>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r>
            <w:rPr>
              <w:rtl w:val="0"/>
            </w:rPr>
          </w:r>
        </w:p>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r>
            <w:rPr>
              <w:rtl w:val="0"/>
            </w:rPr>
          </w:r>
        </w:p>
        <w:p w:rsidR="00000000" w:rsidDel="00000000" w:rsidP="00000000" w:rsidRDefault="00000000" w:rsidRPr="00000000" w14:paraId="0000001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6</w:t>
            </w:r>
          </w:hyperlink>
          <w:r>
            <w:rPr>
              <w:rtl w:val="0"/>
            </w:rPr>
          </w:r>
        </w:p>
        <w:p w:rsidR="00000000" w:rsidDel="00000000" w:rsidP="00000000" w:rsidRDefault="00000000" w:rsidRPr="00000000" w14:paraId="0000001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6</w:t>
            </w:r>
          </w:hyperlink>
          <w:r>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6</w:t>
            </w:r>
          </w:hyperlink>
          <w:r>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7</w:t>
            </w:r>
          </w:hyperlink>
          <w:r>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r>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r>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r>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8</w:t>
            </w:r>
          </w:hyperlink>
          <w:r>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r>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r>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r>
            <w:rPr>
              <w:rtl w:val="0"/>
            </w:rPr>
          </w:r>
        </w:p>
        <w:p w:rsidR="00000000" w:rsidDel="00000000" w:rsidP="00000000" w:rsidRDefault="00000000" w:rsidRPr="00000000" w14:paraId="0000002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12</w:t>
            </w:r>
          </w:hyperlink>
          <w:r>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12</w:t>
            </w:r>
          </w:hyperlink>
          <w:r>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12</w:t>
            </w:r>
          </w:hyperlink>
          <w:r>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13</w:t>
            </w:r>
          </w:hyperlink>
          <w:r>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17</w:t>
            </w:r>
          </w:hyperlink>
          <w:r>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19</w:t>
            </w:r>
          </w:hyperlink>
          <w:r>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21</w:t>
            </w:r>
          </w:hyperlink>
          <w:r>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22</w:t>
            </w:r>
          </w:hyperlink>
          <w:r>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23</w:t>
            </w:r>
          </w:hyperlink>
          <w:r>
            <w:rPr>
              <w:rtl w:val="0"/>
            </w:rPr>
          </w:r>
        </w:p>
        <w:p w:rsidR="00000000" w:rsidDel="00000000" w:rsidP="00000000" w:rsidRDefault="00000000" w:rsidRPr="00000000" w14:paraId="0000002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25</w:t>
            </w:r>
          </w:hyperlink>
          <w:r>
            <w:rPr>
              <w:rtl w:val="0"/>
            </w:rPr>
          </w:r>
        </w:p>
        <w:p w:rsidR="00000000" w:rsidDel="00000000" w:rsidP="00000000" w:rsidRDefault="00000000" w:rsidRPr="00000000" w14:paraId="0000002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25</w:t>
            </w:r>
          </w:hyperlink>
          <w:r>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25</w:t>
            </w:r>
          </w:hyperlink>
          <w:r>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30</w:t>
            </w:r>
          </w:hyperlink>
          <w:r>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37</w:t>
            </w:r>
          </w:hyperlink>
          <w:r>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39</w:t>
            </w:r>
          </w:hyperlink>
          <w:r>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41</w:t>
            </w:r>
          </w:hyperlink>
          <w:r>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42</w:t>
            </w:r>
          </w:hyperlink>
          <w:r>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44</w:t>
            </w:r>
          </w:hyperlink>
          <w:r>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46</w:t>
            </w:r>
          </w:hyperlink>
          <w:r>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48</w:t>
            </w:r>
          </w:hyperlink>
          <w:r>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50</w:t>
            </w:r>
          </w:hyperlink>
          <w:r>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51</w:t>
            </w:r>
          </w:hyperlink>
          <w:r>
            <w:rPr>
              <w:rtl w:val="0"/>
            </w:rPr>
          </w:r>
        </w:p>
        <w:p w:rsidR="00000000" w:rsidDel="00000000" w:rsidP="00000000" w:rsidRDefault="00000000" w:rsidRPr="00000000" w14:paraId="0000003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53</w:t>
            </w:r>
          </w:hyperlink>
          <w:r>
            <w:rPr>
              <w:rtl w:val="0"/>
            </w:rPr>
          </w:r>
        </w:p>
        <w:p w:rsidR="00000000" w:rsidDel="00000000" w:rsidP="00000000" w:rsidRDefault="00000000" w:rsidRPr="00000000" w14:paraId="0000003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53</w:t>
            </w:r>
          </w:hyperlink>
          <w:r>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53</w:t>
            </w:r>
          </w:hyperlink>
          <w:r>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54</w:t>
            </w:r>
          </w:hyperlink>
          <w:r>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55</w:t>
            </w:r>
          </w:hyperlink>
          <w:r>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57</w:t>
            </w:r>
          </w:hyperlink>
          <w:r>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59</w:t>
            </w:r>
          </w:hyperlink>
          <w:r>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60</w:t>
            </w:r>
          </w:hyperlink>
          <w:r>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62</w:t>
            </w:r>
          </w:hyperlink>
          <w:r>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63</w:t>
            </w:r>
          </w:hyperlink>
          <w:r>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65</w:t>
            </w:r>
          </w:hyperlink>
          <w:r>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69</w:t>
            </w:r>
          </w:hyperlink>
          <w:r>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70</w:t>
            </w:r>
          </w:hyperlink>
          <w:r>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71</w:t>
            </w:r>
          </w:hyperlink>
          <w:r>
            <w:rPr>
              <w:rtl w:val="0"/>
            </w:rPr>
          </w:r>
        </w:p>
        <w:p w:rsidR="00000000" w:rsidDel="00000000" w:rsidP="00000000" w:rsidRDefault="00000000" w:rsidRPr="00000000" w14:paraId="0000004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72</w:t>
            </w:r>
          </w:hyperlink>
          <w:r>
            <w:rPr>
              <w:rtl w:val="0"/>
            </w:rPr>
          </w:r>
        </w:p>
        <w:p w:rsidR="00000000" w:rsidDel="00000000" w:rsidP="00000000" w:rsidRDefault="00000000" w:rsidRPr="00000000" w14:paraId="0000004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73</w:t>
            </w:r>
          </w:hyperlink>
          <w:r>
            <w:rPr>
              <w:rtl w:val="0"/>
            </w:rPr>
          </w:r>
        </w:p>
        <w:p w:rsidR="00000000" w:rsidDel="00000000" w:rsidP="00000000" w:rsidRDefault="00000000" w:rsidRPr="00000000" w14:paraId="0000004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75</w:t>
            </w:r>
          </w:hyperlink>
          <w:r>
            <w:rPr>
              <w:rtl w:val="0"/>
            </w:rPr>
          </w:r>
        </w:p>
        <w:p w:rsidR="00000000" w:rsidDel="00000000" w:rsidP="00000000" w:rsidRDefault="00000000" w:rsidRPr="00000000" w14:paraId="0000004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75</w:t>
            </w:r>
          </w:hyperlink>
          <w:r>
            <w:rPr>
              <w:rtl w:val="0"/>
            </w:rPr>
          </w:r>
        </w:p>
        <w:p w:rsidR="00000000" w:rsidDel="00000000" w:rsidP="00000000" w:rsidRDefault="00000000" w:rsidRPr="00000000" w14:paraId="0000004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75</w:t>
            </w:r>
          </w:hyperlink>
          <w:r>
            <w:rPr>
              <w:rtl w:val="0"/>
            </w:rPr>
          </w:r>
        </w:p>
        <w:p w:rsidR="00000000" w:rsidDel="00000000" w:rsidP="00000000" w:rsidRDefault="00000000" w:rsidRPr="00000000" w14:paraId="0000004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75</w:t>
            </w:r>
          </w:hyperlink>
          <w:r>
            <w:rPr>
              <w:rtl w:val="0"/>
            </w:rPr>
          </w:r>
        </w:p>
        <w:p w:rsidR="00000000" w:rsidDel="00000000" w:rsidP="00000000" w:rsidRDefault="00000000" w:rsidRPr="00000000" w14:paraId="0000004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77</w:t>
            </w:r>
          </w:hyperlink>
          <w:r>
            <w:rPr>
              <w:rtl w:val="0"/>
            </w:rPr>
          </w:r>
        </w:p>
        <w:p w:rsidR="00000000" w:rsidDel="00000000" w:rsidP="00000000" w:rsidRDefault="00000000" w:rsidRPr="00000000" w14:paraId="0000004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79</w:t>
            </w:r>
          </w:hyperlink>
          <w:r>
            <w:rPr>
              <w:rtl w:val="0"/>
            </w:rPr>
          </w:r>
        </w:p>
        <w:p w:rsidR="00000000" w:rsidDel="00000000" w:rsidP="00000000" w:rsidRDefault="00000000" w:rsidRPr="00000000" w14:paraId="0000005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80</w:t>
            </w:r>
          </w:hyperlink>
          <w:r>
            <w:rPr>
              <w:rtl w:val="0"/>
            </w:rPr>
          </w:r>
        </w:p>
        <w:p w:rsidR="00000000" w:rsidDel="00000000" w:rsidP="00000000" w:rsidRDefault="00000000" w:rsidRPr="00000000" w14:paraId="0000005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81</w:t>
            </w:r>
          </w:hyperlink>
          <w:r>
            <w:rPr>
              <w:rtl w:val="0"/>
            </w:rPr>
          </w:r>
        </w:p>
        <w:p w:rsidR="00000000" w:rsidDel="00000000" w:rsidP="00000000" w:rsidRDefault="00000000" w:rsidRPr="00000000" w14:paraId="0000005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86</w:t>
            </w:r>
          </w:hyperlink>
          <w:r>
            <w:rPr>
              <w:rtl w:val="0"/>
            </w:rPr>
          </w:r>
        </w:p>
        <w:p w:rsidR="00000000" w:rsidDel="00000000" w:rsidP="00000000" w:rsidRDefault="00000000" w:rsidRPr="00000000" w14:paraId="0000005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89</w:t>
            </w:r>
          </w:hyperlink>
          <w:r>
            <w:rPr>
              <w:rtl w:val="0"/>
            </w:rPr>
          </w:r>
        </w:p>
        <w:p w:rsidR="00000000" w:rsidDel="00000000" w:rsidP="00000000" w:rsidRDefault="00000000" w:rsidRPr="00000000" w14:paraId="0000005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91</w:t>
            </w:r>
          </w:hyperlink>
          <w:r>
            <w:rPr>
              <w:rtl w:val="0"/>
            </w:rPr>
          </w:r>
        </w:p>
        <w:p w:rsidR="00000000" w:rsidDel="00000000" w:rsidP="00000000" w:rsidRDefault="00000000" w:rsidRPr="00000000" w14:paraId="0000005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93</w:t>
            </w:r>
          </w:hyperlink>
          <w:r>
            <w:rPr>
              <w:rtl w:val="0"/>
            </w:rPr>
          </w:r>
        </w:p>
        <w:p w:rsidR="00000000" w:rsidDel="00000000" w:rsidP="00000000" w:rsidRDefault="00000000" w:rsidRPr="00000000" w14:paraId="0000005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95</w:t>
            </w:r>
          </w:hyperlink>
          <w:r>
            <w:rPr>
              <w:rtl w:val="0"/>
            </w:rPr>
          </w:r>
        </w:p>
        <w:p w:rsidR="00000000" w:rsidDel="00000000" w:rsidP="00000000" w:rsidRDefault="00000000" w:rsidRPr="00000000" w14:paraId="0000005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97</w:t>
            </w:r>
          </w:hyperlink>
          <w:r>
            <w:rPr>
              <w:rtl w:val="0"/>
            </w:rPr>
          </w:r>
        </w:p>
        <w:p w:rsidR="00000000" w:rsidDel="00000000" w:rsidP="00000000" w:rsidRDefault="00000000" w:rsidRPr="00000000" w14:paraId="0000005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99</w:t>
            </w:r>
          </w:hyperlink>
          <w:r>
            <w:rPr>
              <w:rtl w:val="0"/>
            </w:rPr>
          </w:r>
        </w:p>
        <w:p w:rsidR="00000000" w:rsidDel="00000000" w:rsidP="00000000" w:rsidRDefault="00000000" w:rsidRPr="00000000" w14:paraId="0000005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99</w:t>
            </w:r>
          </w:hyperlink>
          <w:r>
            <w:rPr>
              <w:rtl w:val="0"/>
            </w:rPr>
          </w:r>
        </w:p>
        <w:p w:rsidR="00000000" w:rsidDel="00000000" w:rsidP="00000000" w:rsidRDefault="00000000" w:rsidRPr="00000000" w14:paraId="0000005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99</w:t>
            </w:r>
          </w:hyperlink>
          <w:r>
            <w:rPr>
              <w:rtl w:val="0"/>
            </w:rPr>
          </w:r>
        </w:p>
        <w:p w:rsidR="00000000" w:rsidDel="00000000" w:rsidP="00000000" w:rsidRDefault="00000000" w:rsidRPr="00000000" w14:paraId="0000005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102</w:t>
            </w:r>
          </w:hyperlink>
          <w:r>
            <w:rPr>
              <w:rtl w:val="0"/>
            </w:rPr>
          </w:r>
        </w:p>
        <w:p w:rsidR="00000000" w:rsidDel="00000000" w:rsidP="00000000" w:rsidRDefault="00000000" w:rsidRPr="00000000" w14:paraId="0000005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105</w:t>
            </w:r>
          </w:hyperlink>
          <w:r>
            <w:rPr>
              <w:rtl w:val="0"/>
            </w:rPr>
          </w:r>
        </w:p>
        <w:p w:rsidR="00000000" w:rsidDel="00000000" w:rsidP="00000000" w:rsidRDefault="00000000" w:rsidRPr="00000000" w14:paraId="0000005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107</w:t>
            </w:r>
          </w:hyperlink>
          <w:r>
            <w:rPr>
              <w:rtl w:val="0"/>
            </w:rPr>
          </w:r>
        </w:p>
        <w:p w:rsidR="00000000" w:rsidDel="00000000" w:rsidP="00000000" w:rsidRDefault="00000000" w:rsidRPr="00000000" w14:paraId="0000005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109</w:t>
            </w:r>
          </w:hyperlink>
          <w:r>
            <w:rPr>
              <w:rtl w:val="0"/>
            </w:rPr>
          </w:r>
        </w:p>
        <w:p w:rsidR="00000000" w:rsidDel="00000000" w:rsidP="00000000" w:rsidRDefault="00000000" w:rsidRPr="00000000" w14:paraId="0000005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111</w:t>
            </w:r>
          </w:hyperlink>
          <w:r>
            <w:rPr>
              <w:rtl w:val="0"/>
            </w:rPr>
          </w:r>
        </w:p>
        <w:p w:rsidR="00000000" w:rsidDel="00000000" w:rsidP="00000000" w:rsidRDefault="00000000" w:rsidRPr="00000000" w14:paraId="0000006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113</w:t>
            </w:r>
          </w:hyperlink>
          <w:r>
            <w:rPr>
              <w:rtl w:val="0"/>
            </w:rPr>
          </w:r>
        </w:p>
        <w:p w:rsidR="00000000" w:rsidDel="00000000" w:rsidP="00000000" w:rsidRDefault="00000000" w:rsidRPr="00000000" w14:paraId="0000006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115</w:t>
            </w:r>
          </w:hyperlink>
          <w:r>
            <w:rPr>
              <w:rtl w:val="0"/>
            </w:rPr>
          </w:r>
        </w:p>
        <w:p w:rsidR="00000000" w:rsidDel="00000000" w:rsidP="00000000" w:rsidRDefault="00000000" w:rsidRPr="00000000" w14:paraId="0000006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117</w:t>
            </w:r>
          </w:hyperlink>
          <w:r>
            <w:rPr>
              <w:rtl w:val="0"/>
            </w:rPr>
          </w:r>
        </w:p>
        <w:p w:rsidR="00000000" w:rsidDel="00000000" w:rsidP="00000000" w:rsidRDefault="00000000" w:rsidRPr="00000000" w14:paraId="0000006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119</w:t>
            </w:r>
          </w:hyperlink>
          <w:r>
            <w:rPr>
              <w:rtl w:val="0"/>
            </w:rPr>
          </w:r>
        </w:p>
        <w:p w:rsidR="00000000" w:rsidDel="00000000" w:rsidP="00000000" w:rsidRDefault="00000000" w:rsidRPr="00000000" w14:paraId="0000006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121</w:t>
            </w:r>
          </w:hyperlink>
          <w:r>
            <w:rPr>
              <w:rtl w:val="0"/>
            </w:rPr>
          </w:r>
        </w:p>
        <w:p w:rsidR="00000000" w:rsidDel="00000000" w:rsidP="00000000" w:rsidRDefault="00000000" w:rsidRPr="00000000" w14:paraId="0000006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122</w:t>
            </w:r>
          </w:hyperlink>
          <w:r>
            <w:rPr>
              <w:rtl w:val="0"/>
            </w:rPr>
          </w:r>
        </w:p>
        <w:p w:rsidR="00000000" w:rsidDel="00000000" w:rsidP="00000000" w:rsidRDefault="00000000" w:rsidRPr="00000000" w14:paraId="0000006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125</w:t>
            </w:r>
          </w:hyperlink>
          <w:r>
            <w:rPr>
              <w:rtl w:val="0"/>
            </w:rPr>
          </w:r>
        </w:p>
        <w:p w:rsidR="00000000" w:rsidDel="00000000" w:rsidP="00000000" w:rsidRDefault="00000000" w:rsidRPr="00000000" w14:paraId="0000006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127</w:t>
            </w:r>
          </w:hyperlink>
          <w:r>
            <w:rPr>
              <w:rtl w:val="0"/>
            </w:rPr>
          </w:r>
        </w:p>
        <w:p w:rsidR="00000000" w:rsidDel="00000000" w:rsidP="00000000" w:rsidRDefault="00000000" w:rsidRPr="00000000" w14:paraId="0000006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127</w:t>
            </w:r>
          </w:hyperlink>
          <w:r>
            <w:rPr>
              <w:rtl w:val="0"/>
            </w:rPr>
          </w:r>
        </w:p>
        <w:p w:rsidR="00000000" w:rsidDel="00000000" w:rsidP="00000000" w:rsidRDefault="00000000" w:rsidRPr="00000000" w14:paraId="0000006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127</w:t>
            </w:r>
          </w:hyperlink>
          <w:r>
            <w:rPr>
              <w:rtl w:val="0"/>
            </w:rPr>
          </w:r>
        </w:p>
        <w:p w:rsidR="00000000" w:rsidDel="00000000" w:rsidP="00000000" w:rsidRDefault="00000000" w:rsidRPr="00000000" w14:paraId="0000006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127</w:t>
            </w:r>
          </w:hyperlink>
          <w:r>
            <w:rPr>
              <w:rtl w:val="0"/>
            </w:rPr>
          </w:r>
        </w:p>
        <w:p w:rsidR="00000000" w:rsidDel="00000000" w:rsidP="00000000" w:rsidRDefault="00000000" w:rsidRPr="00000000" w14:paraId="0000006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128</w:t>
            </w:r>
          </w:hyperlink>
          <w:r>
            <w:rPr>
              <w:rtl w:val="0"/>
            </w:rPr>
          </w:r>
        </w:p>
        <w:p w:rsidR="00000000" w:rsidDel="00000000" w:rsidP="00000000" w:rsidRDefault="00000000" w:rsidRPr="00000000" w14:paraId="0000006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128</w:t>
            </w:r>
          </w:hyperlink>
          <w:r>
            <w:rPr>
              <w:rtl w:val="0"/>
            </w:rPr>
          </w:r>
        </w:p>
        <w:p w:rsidR="00000000" w:rsidDel="00000000" w:rsidP="00000000" w:rsidRDefault="00000000" w:rsidRPr="00000000" w14:paraId="0000006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129</w:t>
            </w:r>
          </w:hyperlink>
          <w:r>
            <w:rPr>
              <w:rtl w:val="0"/>
            </w:rPr>
          </w:r>
        </w:p>
        <w:p w:rsidR="00000000" w:rsidDel="00000000" w:rsidP="00000000" w:rsidRDefault="00000000" w:rsidRPr="00000000" w14:paraId="0000006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129</w:t>
            </w:r>
          </w:hyperlink>
          <w:r>
            <w:rPr>
              <w:rtl w:val="0"/>
            </w:rPr>
          </w:r>
        </w:p>
        <w:p w:rsidR="00000000" w:rsidDel="00000000" w:rsidP="00000000" w:rsidRDefault="00000000" w:rsidRPr="00000000" w14:paraId="0000006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130</w:t>
            </w:r>
          </w:hyperlink>
          <w:r>
            <w:rPr>
              <w:rtl w:val="0"/>
            </w:rPr>
          </w:r>
        </w:p>
        <w:p w:rsidR="00000000" w:rsidDel="00000000" w:rsidP="00000000" w:rsidRDefault="00000000" w:rsidRPr="00000000" w14:paraId="0000007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130</w:t>
            </w:r>
          </w:hyperlink>
          <w:r>
            <w:rPr>
              <w:rtl w:val="0"/>
            </w:rPr>
          </w:r>
        </w:p>
        <w:p w:rsidR="00000000" w:rsidDel="00000000" w:rsidP="00000000" w:rsidRDefault="00000000" w:rsidRPr="00000000" w14:paraId="0000007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132</w:t>
            </w:r>
          </w:hyperlink>
          <w:r>
            <w:rPr>
              <w:rtl w:val="0"/>
            </w:rPr>
          </w:r>
        </w:p>
        <w:p w:rsidR="00000000" w:rsidDel="00000000" w:rsidP="00000000" w:rsidRDefault="00000000" w:rsidRPr="00000000" w14:paraId="0000007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133</w:t>
            </w:r>
          </w:hyperlink>
          <w:r>
            <w:rPr>
              <w:rtl w:val="0"/>
            </w:rPr>
          </w:r>
        </w:p>
        <w:p w:rsidR="00000000" w:rsidDel="00000000" w:rsidP="00000000" w:rsidRDefault="00000000" w:rsidRPr="00000000" w14:paraId="0000007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147</w:t>
            </w:r>
          </w:hyperlink>
          <w:r>
            <w:rPr>
              <w:rtl w:val="0"/>
            </w:rPr>
          </w:r>
        </w:p>
        <w:p w:rsidR="00000000" w:rsidDel="00000000" w:rsidP="00000000" w:rsidRDefault="00000000" w:rsidRPr="00000000" w14:paraId="0000007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149</w:t>
            </w:r>
          </w:hyperlink>
          <w:r>
            <w:rPr>
              <w:rtl w:val="0"/>
            </w:rPr>
          </w:r>
        </w:p>
        <w:p w:rsidR="00000000" w:rsidDel="00000000" w:rsidP="00000000" w:rsidRDefault="00000000" w:rsidRPr="00000000" w14:paraId="0000007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150</w:t>
            </w:r>
          </w:hyperlink>
          <w:r>
            <w:rPr>
              <w:rtl w:val="0"/>
            </w:rPr>
          </w:r>
        </w:p>
        <w:p w:rsidR="00000000" w:rsidDel="00000000" w:rsidP="00000000" w:rsidRDefault="00000000" w:rsidRPr="00000000" w14:paraId="0000007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152</w:t>
            </w:r>
          </w:hyperlink>
          <w:r>
            <w:rPr>
              <w:rtl w:val="0"/>
            </w:rPr>
          </w:r>
        </w:p>
        <w:p w:rsidR="00000000" w:rsidDel="00000000" w:rsidP="00000000" w:rsidRDefault="00000000" w:rsidRPr="00000000" w14:paraId="0000007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152</w:t>
            </w:r>
          </w:hyperlink>
          <w:r>
            <w:rPr>
              <w:rtl w:val="0"/>
            </w:rPr>
          </w:r>
        </w:p>
        <w:p w:rsidR="00000000" w:rsidDel="00000000" w:rsidP="00000000" w:rsidRDefault="00000000" w:rsidRPr="00000000" w14:paraId="0000007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153</w:t>
            </w:r>
          </w:hyperlink>
          <w:r>
            <w:rPr>
              <w:rtl w:val="0"/>
            </w:rPr>
          </w:r>
          <w:r>
            <w:fldChar w:fldCharType="end"/>
          </w:r>
        </w:p>
      </w:sdtContent>
    </w:sdt>
    <w:p w:rsidR="00000000" w:rsidDel="00000000" w:rsidP="00000000" w:rsidRDefault="00000000" w:rsidRPr="00000000" w14:paraId="00000079">
      <w:pPr>
        <w:pStyle w:val="Heading1"/>
        <w:keepNext w:val="0"/>
        <w:keepLines w:val="0"/>
        <w:pageBreakBefore w:val="1"/>
        <w:spacing w:after="240" w:lineRule="auto"/>
        <w:jc w:val="center"/>
        <w:rPr/>
      </w:pPr>
      <w:bookmarkStart w:colFirst="0" w:colLast="0" w:name="_heading=h.48xb1m3x6ppo" w:id="2"/>
      <w:bookmarkEnd w:id="2"/>
      <w:r>
        <w:rPr>
          <w:color w:val="000000"/>
          <w:rtl w:val="0"/>
        </w:rPr>
        <w:t xml:space="preserve">CHAPTER 1</w:t>
      </w:r>
      <w:r>
        <w:rPr>
          <w:rtl w:val="0"/>
        </w:rPr>
      </w:r>
    </w:p>
    <w:p w:rsidR="00000000" w:rsidDel="00000000" w:rsidP="00000000" w:rsidRDefault="00000000" w:rsidRPr="00000000" w14:paraId="0000007A">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7B">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7C">
      <w:pPr>
        <w:spacing w:after="160" w:lineRule="auto"/>
        <w:jc w:val="both"/>
        <w:rPr/>
      </w:pPr>
      <w:r>
        <w:rPr>
          <w:rtl w:val="0"/>
        </w:rPr>
        <w:t xml:space="preserve">The growth of digital technology has changed how higher education institutions deliver and manage learning. Learning Management Systems (LMS) such as Moodle, Canvas, and Blackboard </w:t>
      </w:r>
      <w:sdt>
        <w:sdtPr>
          <w:rPr>
            <w:rtl w:val="0"/>
          </w:rPr>
          <w:tag w:val="MENDELEY_CITATION_v3_eyJjaXRhdGlvbklEIjogIk1FTkRFTEVZX0NJVEFUSU9OXzE4MWNlZTMzLTU4YTctNTRiZC1hMmZhLTI0NThkZDRlN2QyMC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598833565"/>
        </w:sdtPr>
        <w:sdtContent>
          <w:r>
            <w:rPr>
              <w:rtl w:val="0"/>
            </w:rPr>
            <w:t xml:space="preserve">(Kuzilek et al., 2017)</w:t>
          </w:r>
        </w:sdtContent>
      </w:sdt>
      <w:r>
        <w:rPr>
          <w:rtl w:val="0"/>
        </w:rPr>
        <w:t xml:space="preserve"> now support course delivery, assessment submission, and communication between students and instructors at scale. The use of these systems increased substantially during the COVID-19 pandemic, when many universities moved their teaching online. This also made much larger amounts of student behavioural data available for analysis </w:t>
      </w:r>
      <w:sdt>
        <w:sdtPr>
          <w:rPr>
            <w:rtl w:val="0"/>
          </w:rPr>
          <w:tag w:val="MENDELEY_CITATION_v3_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"/>
          <w:id w:val="-966241705"/>
        </w:sdtPr>
        <w:sdtContent>
          <w:r>
            <w:rPr>
              <w:rtl w:val="0"/>
            </w:rPr>
            <w:t xml:space="preserve">(Rebelo Marcolino et al., 2025)</w:t>
          </w:r>
        </w:sdtContent>
      </w:sdt>
      <w:r>
        <w:rPr>
          <w:rtl w:val="0"/>
        </w:rPr>
        <w:t xml:space="preserve">.</w:t>
      </w:r>
    </w:p>
    <w:p w:rsidR="00000000" w:rsidDel="00000000" w:rsidP="00000000" w:rsidRDefault="00000000" w:rsidRPr="00000000" w14:paraId="0000007D">
      <w:pPr>
        <w:spacing w:after="160" w:lineRule="auto"/>
        <w:jc w:val="both"/>
        <w:rPr/>
      </w:pPr>
      <w:r>
        <w:rPr>
          <w:rtl w:val="0"/>
        </w:rPr>
        <w:t xml:space="preserve">With this expansion of digital learning, interest in learning analytics (LA) has grown steadily. LA refers to gathering, analysing, and reporting data on learners and the settings in which they learn, so that learning can be better understood and improved </w:t>
      </w:r>
      <w:sdt>
        <w:sdtPr>
          <w:rPr>
            <w:rtl w:val="0"/>
          </w:rPr>
          <w:tag w:val="MENDELEY_CITATION_v3_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"/>
          <w:id w:val="-1188800802"/>
        </w:sdtPr>
        <w:sdtContent>
          <w:r>
            <w:rPr>
              <w:rtl w:val="0"/>
            </w:rPr>
            <w:t xml:space="preserve">(Siemens &amp; Long, 2011)</w:t>
          </w:r>
        </w:sdtContent>
      </w:sdt>
      <w:r>
        <w:rPr>
          <w:rtl w:val="0"/>
        </w:rPr>
        <w:t xml:space="preserve">. One of its most important applications is the early identification of students at risk of failing or withdrawing. Prior research has investigated predictive models trained on LMS behavioural logs, demographic records, and assessment histories to identify these students early, giving institutions the opportunity to intervene before outcomes become irreversible </w:t>
      </w:r>
      <w:sdt>
        <w:sdtPr>
          <w:rPr>
            <w:rtl w:val="0"/>
          </w:rPr>
          <w:tag w:val="MENDELEY_CITATION_v3_eyJjaXRhdGlvbklEIjogIk1FTkRFTEVZX0NJVEFUSU9OXzk2MzFhNjgyLWFkYzYtNTg0NS1iMTc5LTJlM2YwZmU5MTI3MyIsICJwcm9wZXJ0aWVzIjogeyJub3RlSW5kZXgiOiAwfSwgImlzRWRpdGVkIjogZmFsc2UsICJtYW51YWxPdmVycmlkZSI6IHsiaXNNYW51YWxseU92ZXJyaWRkZW4iOiBmYWxzZSwgImNpdGVwcm9jVGV4dCI6ICIoSmluIGV0IGFsLiwgMjAyNDsgS3V6aWxlayBldCBhbC4sIDIwMTcpIiwgIm1hbnVhbE92ZXJyaWRlVGV4dCI6ICIifSwgImNpdGF0aW9uSXRlbXMiOiBb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"/>
          <w:id w:val="1015636137"/>
        </w:sdtPr>
        <w:sdtContent>
          <w:r>
            <w:rPr>
              <w:rtl w:val="0"/>
            </w:rPr>
            <w:t xml:space="preserve">(Jin et al., 2024; Kuzilek et al., 2017)</w:t>
          </w:r>
        </w:sdtContent>
      </w:sdt>
      <w:r>
        <w:rPr>
          <w:rtl w:val="0"/>
        </w:rPr>
        <w:t xml:space="preserve">. The Open University Learning Analytics Dataset (OULAD), capturing interaction data from 32,593 student-module-presentation observations across 22 module presentations </w:t>
      </w:r>
      <w:sdt>
        <w:sdtPr>
          <w:rPr>
            <w:rtl w:val="0"/>
          </w:rPr>
          <w:tag w:val="MENDELEY_CITATION_v3_eyJjaXRhdGlvbklEIjogIk1FTkRFTEVZX0NJVEFUSU9OXzExMjNiNDE2LTI1NWEtNTU1Mi1iZTkxLTdhYzU4NzRkYTEzZi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335343207"/>
        </w:sdtPr>
        <w:sdtContent>
          <w:r>
            <w:rPr>
              <w:rtl w:val="0"/>
            </w:rPr>
            <w:t xml:space="preserve">(Kuzilek et al., 2017)</w:t>
          </w:r>
        </w:sdtContent>
      </w:sdt>
      <w:r>
        <w:rPr>
          <w:rtl w:val="0"/>
        </w:rPr>
        <w:t xml:space="preserve">, has become one of the most widely used benchmarks for this line of research </w:t>
      </w:r>
      <w:sdt>
        <w:sdtPr>
          <w:rPr>
            <w:rtl w:val="0"/>
          </w:rPr>
          <w:tag w:val="MENDELEY_CITATION_v3_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V9XX0="/>
          <w:id w:val="-2019505554"/>
        </w:sdtPr>
        <w:sdtContent>
          <w:r>
            <w:rPr>
              <w:rtl w:val="0"/>
            </w:rPr>
            <w:t xml:space="preserve">(Gunasekara &amp; Saarela, 2025; Jin et al., 2024; Wang, 2025)</w:t>
          </w:r>
        </w:sdtContent>
      </w:sdt>
      <w:r>
        <w:rPr>
          <w:rtl w:val="0"/>
        </w:rPr>
        <w:t xml:space="preserve">. </w:t>
      </w:r>
      <w:r>
        <w:rPr>
          <w:rtl w:val="0"/>
        </w:rPr>
        <w:t xml:space="preserve">Wang </w:t>
      </w:r>
      <w:sdt>
        <w:sdtPr>
          <w:rPr>
            <w:rtl w:val="0"/>
          </w:rPr>
          <w:tag w:val="MENDELEY_CITATION_v3_eyJjaXRhdGlvbklEIjogIk1FTkRFTEVZX0NJVEFUSU9OX2M1ODQyNWM5LTJlNWYtNTJlMy05MmU0LTMwYzVhYWNjMTRjMSIsICJwcm9wZXJ0aWVzIjogeyJub3RlSW5kZXgiOiAwfSwgImlzRWRpdGVkIjogZmFsc2UsICJtYW51YWxPdmVycmlkZSI6IHsiaXNNYW51YWxseU92ZXJyaWRkZW4iOiBmYWxzZSwgImNpdGVwcm9jVGV4dCI6ICIoMjAyNSkiLCAibWFudWFsT3ZlcnJpZGVUZXh0IjogIiJ9LCAiY2l0YXRpb25JdGVtcyI6IFt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UsICJzdXBwcmVzcy1hdXRob3IiOiB0cnVlfV19"/>
          <w:id w:val="-1208440693"/>
        </w:sdtPr>
        <w:sdtContent>
          <w:r>
            <w:rPr>
              <w:rtl w:val="0"/>
            </w:rPr>
            <w:t xml:space="preserve">(2025)</w:t>
          </w:r>
        </w:sdtContent>
      </w:sdt>
      <w:r>
        <w:rPr>
          <w:rtl w:val="0"/>
        </w:rPr>
        <w:t xml:space="preserve">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w:t>
      </w:r>
      <w:r>
        <w:rPr>
          <w:rtl w:val="0"/>
        </w:rPr>
        <w:t xml:space="preserve">Rebelo Marcolino et al. </w:t>
      </w:r>
      <w:sdt>
        <w:sdtPr>
          <w:rPr>
            <w:rtl w:val="0"/>
          </w:rPr>
          <w:tag w:val="MENDELEY_CITATION_v3_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"/>
          <w:id w:val="193022198"/>
        </w:sdtPr>
        <w:sdtContent>
          <w:r>
            <w:rPr>
              <w:rtl w:val="0"/>
            </w:rPr>
            <w:t xml:space="preserve">(2025)</w:t>
          </w:r>
        </w:sdtContent>
      </w:sdt>
      <w:r>
        <w:rPr>
          <w:rtl w:val="0"/>
        </w:rPr>
        <w:t xml:space="preserve"> showed that CatBoost with multi-objective optimisation produces strong dropout prediction performance on Moodle log data.</w:t>
      </w:r>
    </w:p>
    <w:p w:rsidR="00000000" w:rsidDel="00000000" w:rsidP="00000000" w:rsidRDefault="00000000" w:rsidRPr="00000000" w14:paraId="0000007E">
      <w:pPr>
        <w:spacing w:after="160" w:lineRule="auto"/>
        <w:jc w:val="both"/>
        <w:rPr/>
      </w:pPr>
      <w:r>
        <w:rPr>
          <w:rtl w:val="0"/>
        </w:rPr>
        <w:t xml:space="preserve">Despite these advances, less attention has been given to what happens after a student is identified as being at risk. </w:t>
      </w:r>
      <w:r>
        <w:rPr>
          <w:rtl w:val="0"/>
        </w:rPr>
        <w:t xml:space="preserve">Ali et al. </w:t>
      </w:r>
      <w:sdt>
        <w:sdtPr>
          <w:rPr>
            <w:rtl w:val="0"/>
          </w:rPr>
          <w:tag w:val="MENDELEY_CITATION_v3_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"/>
          <w:id w:val="-1200698400"/>
        </w:sdtPr>
        <w:sdtContent>
          <w:r>
            <w:rPr>
              <w:rtl w:val="0"/>
            </w:rPr>
            <w:t xml:space="preserve">(2023)</w:t>
          </w:r>
        </w:sdtContent>
      </w:sdt>
      <w:r>
        <w:rPr>
          <w:rtl w:val="0"/>
        </w:rPr>
        <w:t xml:space="preserve">, in their review of over 410 XAI studies, note that many AI model outputs are difficult to comprehend because of their black-box nature. Explainable AI (XAI) addresses this limitation through techniques such as SHapley Additive exPlanations (SHAP) and Local Interpretable Model-agnostic Explanations (LIME), which enable practitioners to identify the features that drove a particular prediction. This transparency is important in education because a prediction about a student can shape both that student’s academic path and the judgement of the instructor or advisor who acts on it.</w:t>
      </w:r>
    </w:p>
    <w:p w:rsidR="00000000" w:rsidDel="00000000" w:rsidP="00000000" w:rsidRDefault="00000000" w:rsidRPr="00000000" w14:paraId="0000007F">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w:t>
      </w:r>
      <w:sdt>
        <w:sdtPr>
          <w:rPr>
            <w:rtl w:val="0"/>
          </w:rPr>
          <w:tag w:val="MENDELEY_CITATION_v3_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"/>
          <w:id w:val="383393196"/>
        </w:sdtPr>
        <w:sdtContent>
          <w:r>
            <w:rPr>
              <w:rtl w:val="0"/>
            </w:rPr>
            <w:t xml:space="preserve">(Kostopoulos et al., 2024)</w:t>
          </w:r>
        </w:sdtContent>
      </w:sdt>
      <w:r>
        <w:rPr>
          <w:rtl w:val="0"/>
        </w:rPr>
        <w:t xml:space="preserve">. The literature reviewed for this study did not identify a dashboard that provides role-specific explanations from a single prediction system </w:t>
      </w:r>
      <w:sdt>
        <w:sdtPr>
          <w:rPr>
            <w:rtl w:val="0"/>
          </w:rPr>
          <w:tag w:val="MENDELEY_CITATION_v3_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"/>
          <w:id w:val="1313483709"/>
        </w:sdtPr>
        <w:sdtContent>
          <w:r>
            <w:rPr>
              <w:rtl w:val="0"/>
            </w:rPr>
            <w:t xml:space="preserve">(Afzaal et al., 2021; Cabral et al., 2025; Kaliisa et al., 2023; Susnjak et al., 2022)</w:t>
          </w:r>
        </w:sdtContent>
      </w:sdt>
      <w:r>
        <w:rPr>
          <w:rtl w:val="0"/>
        </w:rPr>
        <w:t xml:space="preserve">. This study addressed this gap by designing and technically evaluating a role-aware XAI dashboard that delivers tailored model explanations to each stakeholder group.</w:t>
      </w:r>
    </w:p>
    <w:p w:rsidR="00000000" w:rsidDel="00000000" w:rsidP="00000000" w:rsidRDefault="00000000" w:rsidRPr="00000000" w14:paraId="00000080">
      <w:pPr>
        <w:pStyle w:val="Heading2"/>
        <w:keepNext w:val="0"/>
        <w:keepLines w:val="0"/>
        <w:spacing w:before="200" w:lineRule="auto"/>
        <w:rPr/>
      </w:pPr>
      <w:bookmarkStart w:colFirst="0" w:colLast="0" w:name="_heading=h.llcy2b4n9txl" w:id="5"/>
      <w:bookmarkEnd w:id="5"/>
      <w:r>
        <w:rPr>
          <w:color w:val="000000"/>
          <w:rtl w:val="0"/>
        </w:rPr>
        <w:t xml:space="preserve">1.2 Problem Statement</w:t>
      </w:r>
      <w:r>
        <w:rPr>
          <w:rtl w:val="0"/>
        </w:rPr>
      </w:r>
    </w:p>
    <w:p w:rsidR="00000000" w:rsidDel="00000000" w:rsidP="00000000" w:rsidRDefault="00000000" w:rsidRPr="00000000" w14:paraId="00000081">
      <w:pPr>
        <w:spacing w:after="160" w:lineRule="auto"/>
        <w:jc w:val="both"/>
        <w:rPr/>
      </w:pPr>
      <w:r>
        <w:rPr>
          <w:rtl w:val="0"/>
        </w:rPr>
        <w:t xml:space="preserve">As AI-driven student prediction systems become more widely adopted in higher education, concerns have shifted from model accuracy to transparency and practical usability. Many prediction systems generate risk scores without explaining the reasoning behind them, leaving instructors, advisors, and administrators without sufficient context to make informed interventions </w:t>
      </w:r>
      <w:sdt>
        <w:sdtPr>
          <w:rPr>
            <w:rtl w:val="0"/>
          </w:rPr>
          <w:tag w:val="MENDELEY_CITATION_v3_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"/>
          <w:id w:val="851002234"/>
        </w:sdtPr>
        <w:sdtContent>
          <w:r>
            <w:rPr>
              <w:rtl w:val="0"/>
            </w:rPr>
            <w:t xml:space="preserve">(Susnjak et al., 2022)</w:t>
          </w:r>
        </w:sdtContent>
      </w:sdt>
      <w:r>
        <w:rPr>
          <w:rtl w:val="0"/>
        </w:rPr>
        <w:t xml:space="preserve">. Although techniques such as SHAP and LIME can provide interpretable explanations, their integration into real-world learning analytics dashboards remains limited </w:t>
      </w:r>
      <w:sdt>
        <w:sdtPr>
          <w:rPr>
            <w:rtl w:val="0"/>
          </w:rPr>
          <w:tag w:val="MENDELEY_CITATION_v3_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"/>
          <w:id w:val="-686118794"/>
        </w:sdtPr>
        <w:sdtContent>
          <w:r>
            <w:rPr>
              <w:rtl w:val="0"/>
            </w:rPr>
            <w:t xml:space="preserve">(Ahmed et al., 2025; Ali et al., 2023)</w:t>
          </w:r>
        </w:sdtContent>
      </w:sdt>
      <w:r>
        <w:rPr>
          <w:rtl w:val="0"/>
        </w:rPr>
        <w:t xml:space="preserve">. As a result, most existing systems continue to present risk indicators in isolation. The problem is further complicated by the different information needs of institutional stakeholders. The literature suggests that explanations should reflect the user’s role and level of expertise </w:t>
      </w:r>
      <w:sdt>
        <w:sdtPr>
          <w:rPr>
            <w:rtl w:val="0"/>
          </w:rPr>
          <w:tag w:val="MENDELEY_CITATION_v3_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"/>
          <w:id w:val="-1479704272"/>
        </w:sdtPr>
        <w:sdtContent>
          <w:r>
            <w:rPr>
              <w:rtl w:val="0"/>
            </w:rPr>
            <w:t xml:space="preserve">(Haque et al., 2023; Kostopoulos et al., 2024)</w:t>
          </w:r>
        </w:sdtContent>
      </w:sdt>
      <w:r>
        <w:rPr>
          <w:rtl w:val="0"/>
        </w:rPr>
        <w:t xml:space="preserve">, yet current dashboards rarely support role-specific perspectives. Evaluation of explainable AI in education is also still developing, with few domain-specific frameworks that go beyond general measures such as trust </w:t>
      </w:r>
      <w:sdt>
        <w:sdtPr>
          <w:rPr>
            <w:rtl w:val="0"/>
          </w:rPr>
          <w:tag w:val="MENDELEY_CITATION_v3_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"/>
          <w:id w:val="-701821063"/>
        </w:sdtPr>
        <w:sdtContent>
          <w:r>
            <w:rPr>
              <w:rtl w:val="0"/>
            </w:rPr>
            <w:t xml:space="preserve">(Al-Ansari et al., 2024)</w:t>
          </w:r>
        </w:sdtContent>
      </w:sdt>
      <w:r>
        <w:rPr>
          <w:rtl w:val="0"/>
        </w:rPr>
        <w:t xml:space="preserve">. This thesis therefore treats the problem as both a design and a technical research problem. It focuses on designing, implementing, and technically evaluating a role-aware explainable AI dashboard for at-risk student prediction, guided by the CommonKADS knowledge engineering methodology. Because no practitioner data were collected, the study does not directly measure usability or practitioner decision-making; future practitioner-facing research should address these questions.</w:t>
      </w:r>
    </w:p>
    <w:p w:rsidR="00000000" w:rsidDel="00000000" w:rsidP="00000000" w:rsidRDefault="00000000" w:rsidRPr="00000000" w14:paraId="00000082">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83">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84">
      <w:pPr>
        <w:spacing w:after="160" w:lineRule="auto"/>
        <w:jc w:val="both"/>
        <w:rPr/>
      </w:pPr>
      <w:r>
        <w:rPr>
          <w:rtl w:val="0"/>
        </w:rPr>
        <w:t xml:space="preserve">The aim of this study is to investigate how a role-aware explainable artificial intelligence dashboard can support at-risk student prediction within Learning Management System environments. The Open University Learning Analytics Dataset (OULAD) serves as the empirical basis for the study.</w:t>
      </w:r>
    </w:p>
    <w:p w:rsidR="00000000" w:rsidDel="00000000" w:rsidP="00000000" w:rsidRDefault="00000000" w:rsidRPr="00000000" w14:paraId="00000085">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86">
      <w:pPr>
        <w:spacing w:after="160" w:lineRule="auto"/>
        <w:jc w:val="both"/>
        <w:rPr/>
      </w:pPr>
      <w:r>
        <w:rPr>
          <w:rtl w:val="0"/>
        </w:rPr>
        <w:t xml:space="preserve">1. To review the literature on predictive features, machine learning models, and XAI techniques used for student at-risk prediction in LMS environments, and to identify the knowledge engineering and design principles relevant to role-aware dashboard development.</w:t>
      </w:r>
    </w:p>
    <w:p w:rsidR="00000000" w:rsidDel="00000000" w:rsidP="00000000" w:rsidRDefault="00000000" w:rsidRPr="00000000" w14:paraId="00000087">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88">
      <w:pPr>
        <w:spacing w:after="160" w:lineRule="auto"/>
        <w:jc w:val="both"/>
        <w:rPr/>
      </w:pPr>
      <w:r>
        <w:rPr>
          <w:rtl w:val="0"/>
        </w:rPr>
        <w:t xml:space="preserve">3. To design and implement a role-aware XAI dashboard that provides different explanatory views for instructors, academic advisors, and administrators, and to technically evaluate the underlying prediction and explanation components using OULAD.</w:t>
      </w:r>
    </w:p>
    <w:p w:rsidR="00000000" w:rsidDel="00000000" w:rsidP="00000000" w:rsidRDefault="00000000" w:rsidRPr="00000000" w14:paraId="00000089">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8A">
      <w:pPr>
        <w:spacing w:after="160" w:lineRule="auto"/>
        <w:jc w:val="both"/>
        <w:rPr/>
      </w:pPr>
      <w:r>
        <w:rPr>
          <w:rtl w:val="0"/>
        </w:rPr>
        <w:t xml:space="preserve">1.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08B">
      <w:pPr>
        <w:spacing w:after="160" w:lineRule="auto"/>
        <w:jc w:val="both"/>
        <w:rPr/>
      </w:pPr>
      <w:r>
        <w:rPr>
          <w:rtl w:val="0"/>
        </w:rPr>
        <w:t xml:space="preserve">2.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08C">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8D">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8E">
      <w:pPr>
        <w:spacing w:after="160" w:lineRule="auto"/>
        <w:jc w:val="both"/>
        <w:rPr/>
      </w:pPr>
      <w:r>
        <w:rPr>
          <w:rtl w:val="0"/>
        </w:rPr>
        <w:t xml:space="preserve">This thesis contributes to research on explainable AI, learning analytics, and knowledge engineering by developing a role-aware XAI dashboard for student risk prediction in higher education and evaluating its predictive and explanatory behaviour. The study makes the following contributions:</w:t>
      </w:r>
    </w:p>
    <w:p w:rsidR="00000000" w:rsidDel="00000000" w:rsidP="00000000" w:rsidRDefault="00000000" w:rsidRPr="00000000" w14:paraId="0000008F">
      <w:pPr>
        <w:spacing w:after="160" w:lineRule="auto"/>
        <w:jc w:val="both"/>
        <w:rPr/>
      </w:pPr>
      <w:r>
        <w:rPr>
          <w:rtl w:val="0"/>
        </w:rPr>
        <w:t xml:space="preserve">1. A role-aware XAI dashboard architecture that differentiates SHAP and LIME explanations across instructor, advisor, and administrator interfaces within a single LMS-integrated prediction system, guided by the CommonKADS Communication and Design Models.</w:t>
      </w:r>
    </w:p>
    <w:p w:rsidR="00000000" w:rsidDel="00000000" w:rsidP="00000000" w:rsidRDefault="00000000" w:rsidRPr="00000000" w14:paraId="00000090">
      <w:pPr>
        <w:spacing w:after="160" w:lineRule="auto"/>
        <w:jc w:val="both"/>
        <w:rPr/>
      </w:pPr>
      <w:r>
        <w:rPr>
          <w:rtl w:val="0"/>
        </w:rPr>
        <w:t xml:space="preserve">2. A documented ensemble predictive model trained on OULAD and compared with results reported in previous studies. The evaluation also examines the agreement between SHAP and LIME explanations.</w:t>
      </w:r>
    </w:p>
    <w:p w:rsidR="00000000" w:rsidDel="00000000" w:rsidP="00000000" w:rsidRDefault="00000000" w:rsidRPr="00000000" w14:paraId="00000091">
      <w:pPr>
        <w:spacing w:after="160" w:lineRule="auto"/>
        <w:jc w:val="both"/>
        <w:rPr/>
      </w:pPr>
      <w:r>
        <w:rPr>
          <w:rtl w:val="0"/>
        </w:rPr>
        <w:t xml:space="preserve">3. Technical evidence on model performance and SHAP/LIME explanation behaviour using OULAD, including the level of agreement and divergence between the two explanation methods. These findings provide a basis for future studies of practitioner trust, interpretation, and decision quality.</w:t>
      </w:r>
    </w:p>
    <w:p w:rsidR="00000000" w:rsidDel="00000000" w:rsidP="00000000" w:rsidRDefault="00000000" w:rsidRPr="00000000" w14:paraId="00000092">
      <w:pPr>
        <w:spacing w:after="160" w:lineRule="auto"/>
        <w:jc w:val="both"/>
        <w:rPr/>
      </w:pPr>
      <w:r>
        <w:rPr>
          <w:rtl w:val="0"/>
        </w:rPr>
        <w:t xml:space="preserve">4. A set of candidate design guidelines for explainable learning analytics dashboards, derived from the CommonKADS methodology and the implemented system. These guidelines can be evaluated with practitioners in future research.</w:t>
      </w:r>
    </w:p>
    <w:p w:rsidR="00000000" w:rsidDel="00000000" w:rsidP="00000000" w:rsidRDefault="00000000" w:rsidRPr="00000000" w14:paraId="00000093">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94">
      <w:pPr>
        <w:spacing w:after="160" w:lineRule="auto"/>
        <w:jc w:val="both"/>
        <w:rPr/>
      </w:pPr>
      <w:r>
        <w:rPr>
          <w:rtl w:val="0"/>
        </w:rPr>
        <w:t xml:space="preserve">This study was limited to designing and evaluating a role-aware XAI dashboard for student at-risk prediction, focusing on higher education institutions using LMS platforms that generate interaction log data. The primary dataset used for model development was the publicly available OULAD dataset, which captures 32,593 student-module-presentation observations across 22 module presentations at the Open University </w:t>
      </w:r>
      <w:sdt>
        <w:sdtPr>
          <w:rPr>
            <w:rtl w:val="0"/>
          </w:rPr>
          <w:tag w:val="MENDELEY_CITATION_v3_eyJjaXRhdGlvbklEIjogIk1FTkRFTEVZX0NJVEFUSU9OXzhmN2EwMDlkLThmMjMtNTdlZC1iNWMwLTA4Y2M1OWExZDRiMC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1749143279"/>
        </w:sdtPr>
        <w:sdtContent>
          <w:r>
            <w:rPr>
              <w:rtl w:val="0"/>
            </w:rPr>
            <w:t xml:space="preserve">(Kuzilek et al., 2017)</w:t>
          </w:r>
        </w:sdtContent>
      </w:sdt>
      <w:r>
        <w:rPr>
          <w:rtl w:val="0"/>
        </w:rPr>
        <w:t xml:space="preserve">. The modelling component focused on binary classification of students as at risk or not at risk using behavioural and demographic features available from the LMS. Because the features were calculated using data from the full course presentation, the evaluation is retrospective. It therefore does not show how well the model would perform at a specific early-warning point during a course.</w:t>
      </w:r>
    </w:p>
    <w:p w:rsidR="00000000" w:rsidDel="00000000" w:rsidP="00000000" w:rsidRDefault="00000000" w:rsidRPr="00000000" w14:paraId="00000095">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suitability of the role-specific design are therefore based on existing literature rather than on a user study with practitioners, and are not generalised to any specific institutional context without further empirical validation.</w:t>
      </w:r>
    </w:p>
    <w:p w:rsidR="00000000" w:rsidDel="00000000" w:rsidP="00000000" w:rsidRDefault="00000000" w:rsidRPr="00000000" w14:paraId="00000096">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The study has several limitations. It did not collect primary data from practitioners, so trust, usability, and decision quality could not be evaluated directly. It also relied on the OULAD dataset, whose demographic and institutional context may not represent other educational settings. As a result, the performance of the role-specific design in actual practice remains untested. The final evaluation also did not include the planned explanation stability and fidelity checks, probability calibration analysis, or subgroup fairness assessment (Chapter 3, Section 3.4.1). The findings are therefore presented according to three levels of evidence: what was demonstrated through technical evaluation, what is supported by the design, and what remains untested.</w:t>
      </w:r>
    </w:p>
    <w:p w:rsidR="00000000" w:rsidDel="00000000" w:rsidP="00000000" w:rsidRDefault="00000000" w:rsidRPr="00000000" w14:paraId="00000097">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98">
      <w:pPr>
        <w:spacing w:after="160" w:lineRule="auto"/>
        <w:jc w:val="both"/>
        <w:rPr/>
      </w:pPr>
      <w:r>
        <w:rPr>
          <w:rtl w:val="0"/>
        </w:rPr>
        <w:t xml:space="preserve">The thesis is organised into seven chapters. Chapter 1 introduces the subject and context of the research. Chapter 2 reviews the literature on learning analytics, at-risk student prediction, explainable AI, and role-aware dashboard design, and presents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presents the results of the technical evaluation of the predictive model and the SHAP/LIME components using the OULAD dataset. Chapter 6 discusses the findings in relation to previous research, revisits the research questions, and sets out the study’s limitations. Chapter 7 concludes the thesis by summarising the study, answering the research questions, stating its contributions, and outlining recommendations and directions for future research.</w:t>
      </w:r>
    </w:p>
    <w:p w:rsidR="00000000" w:rsidDel="00000000" w:rsidP="00000000" w:rsidRDefault="00000000" w:rsidRPr="00000000" w14:paraId="00000099">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9A">
      <w:pPr>
        <w:pStyle w:val="Heading1"/>
        <w:keepNext w:val="0"/>
        <w:keepLines w:val="0"/>
        <w:jc w:val="center"/>
        <w:rPr/>
      </w:pPr>
      <w:bookmarkStart w:colFirst="0" w:colLast="0" w:name="_heading=h.vb550ab5m6o8" w:id="14"/>
      <w:bookmarkEnd w:id="14"/>
      <w:r>
        <w:rPr>
          <w:color w:val="000000"/>
          <w:rtl w:val="0"/>
        </w:rPr>
        <w:t xml:space="preserve">LITERATURE REVIEW</w:t>
      </w:r>
      <w:r>
        <w:rPr>
          <w:rtl w:val="0"/>
        </w:rPr>
      </w:r>
    </w:p>
    <w:p w:rsidR="00000000" w:rsidDel="00000000" w:rsidP="00000000" w:rsidRDefault="00000000" w:rsidRPr="00000000" w14:paraId="0000009B">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9C">
      <w:pPr>
        <w:spacing w:after="160" w:lineRule="auto"/>
        <w:jc w:val="both"/>
        <w:rPr/>
      </w:pPr>
      <w:r>
        <w:rPr>
          <w:rtl w:val="0"/>
        </w:rPr>
        <w:t xml:space="preserve">Since the early 2010s, learning analytics has emerged as an established research field. Despite this development, prediction-focused learning analytics research has given less attention to the human, ethical, and pedagogical issues involved in institutional use. </w:t>
      </w:r>
      <w:r>
        <w:rPr>
          <w:rtl w:val="0"/>
        </w:rPr>
        <w:t xml:space="preserve">Siemens and Long </w:t>
      </w:r>
      <w:sdt>
        <w:sdtPr>
          <w:rPr>
            <w:rtl w:val="0"/>
          </w:rPr>
          <w:tag w:val="MENDELEY_CITATION_v3_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"/>
          <w:id w:val="-1732089961"/>
        </w:sdtPr>
        <w:sdtContent>
          <w:r>
            <w:rPr>
              <w:rtl w:val="0"/>
            </w:rPr>
            <w:t xml:space="preserve">(2011)</w:t>
          </w:r>
        </w:sdtContent>
      </w:sdt>
      <w:r>
        <w:rPr>
          <w:rtl w:val="0"/>
        </w:rPr>
        <w:t xml:space="preserve">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w:t>
      </w:r>
      <w:r>
        <w:rPr>
          <w:rtl w:val="0"/>
        </w:rPr>
        <w:t xml:space="preserve">Verbert et al. </w:t>
      </w:r>
      <w:sdt>
        <w:sdtPr>
          <w:rPr>
            <w:rtl w:val="0"/>
          </w:rPr>
          <w:tag w:val="MENDELEY_CITATION_v3_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"/>
          <w:id w:val="1492476947"/>
        </w:sdtPr>
        <w:sdtContent>
          <w:r>
            <w:rPr>
              <w:rtl w:val="0"/>
            </w:rPr>
            <w:t xml:space="preserve">(2013)</w:t>
          </w:r>
        </w:sdtContent>
      </w:sdt>
      <w:r>
        <w:rPr>
          <w:rtl w:val="0"/>
        </w:rPr>
        <w:t xml:space="preserve"> argue that dashboards should treat practitioners as active users rather than passive recipients of algorithmic outputs. This view supports the role-aware approach adopted in this study. The growth of LMS platforms in higher education has produced an abundance of clickstream logs, assessment histories, forum activity, and demographic records, creating the data needed for predictive analytics but not necessarily for their effective institutional use </w:t>
      </w:r>
      <w:sdt>
        <w:sdtPr>
          <w:rPr>
            <w:rtl w:val="0"/>
          </w:rPr>
          <w:tag w:val="MENDELEY_CITATION_v3_eyJjaXRhdGlvbklEIjogIk1FTkRFTEVZX0NJVEFUSU9OXzM3MzA2N2QwLThmMTEtNTE1My04ODM5LTlmOWI0YTcwYTBmOC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445499907"/>
        </w:sdtPr>
        <w:sdtContent>
          <w:r>
            <w:rPr>
              <w:rtl w:val="0"/>
            </w:rPr>
            <w:t xml:space="preserve">(Kuzilek et al., 2017)</w:t>
          </w:r>
        </w:sdtContent>
      </w:sdt>
      <w:r>
        <w:rPr>
          <w:rtl w:val="0"/>
        </w:rPr>
        <w:t xml:space="preserve">. </w:t>
      </w:r>
    </w:p>
    <w:p w:rsidR="00000000" w:rsidDel="00000000" w:rsidP="00000000" w:rsidRDefault="00000000" w:rsidRPr="00000000" w14:paraId="0000009D">
      <w:pPr>
        <w:spacing w:after="160" w:lineRule="auto"/>
        <w:jc w:val="both"/>
        <w:rPr/>
      </w:pPr>
      <w:r>
        <w:rPr>
          <w:rtl w:val="0"/>
        </w:rPr>
        <w:t xml:space="preserve">Jin et al. </w:t>
      </w:r>
      <w:sdt>
        <w:sdtPr>
          <w:rPr>
            <w:rtl w:val="0"/>
          </w:rPr>
          <w:tag w:val="MENDELEY_CITATION_v3_eyJjaXRhdGlvbklEIjogIk1FTkRFTEVZX0NJVEFUSU9OXzMzMTE0ODU3LWI2MjQtNTUwYi1hMDZlLWNkY2E3MDBmYmQ0Zi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1319105919"/>
        </w:sdtPr>
        <w:sdtContent>
          <w:r>
            <w:rPr>
              <w:rtl w:val="0"/>
            </w:rPr>
            <w:t xml:space="preserve">(2024)</w:t>
          </w:r>
        </w:sdtContent>
      </w:sdt>
      <w:r>
        <w:rPr>
          <w:rtl w:val="0"/>
        </w:rPr>
        <w:t xml:space="preserve">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w:t>
      </w:r>
      <w:r>
        <w:rPr>
          <w:rtl w:val="0"/>
        </w:rPr>
        <w:t xml:space="preserve">Jin et al. </w:t>
      </w:r>
      <w:sdt>
        <w:sdtPr>
          <w:rPr>
            <w:rtl w:val="0"/>
          </w:rPr>
          <w:tag w:val="MENDELEY_CITATION_v3_eyJjaXRhdGlvbklEIjogIk1FTkRFTEVZX0NJVEFUSU9OX2ExZjE1NTg1LWY1OGUtNWU5NC1iMDlmLTNhYmVhNGY3NGJmZS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986690512"/>
        </w:sdtPr>
        <w:sdtContent>
          <w:r>
            <w:rPr>
              <w:rtl w:val="0"/>
            </w:rPr>
            <w:t xml:space="preserve">(2024)</w:t>
          </w:r>
        </w:sdtContent>
      </w:sdt>
      <w:r>
        <w:rPr>
          <w:rtl w:val="0"/>
        </w:rPr>
        <w:t xml:space="preserve"> note that the overwhelming focus on model accuracy leaves the practitioner-facing dimension of these systems largely unaddressed. </w:t>
      </w:r>
      <w:r>
        <w:rPr>
          <w:rtl w:val="0"/>
        </w:rPr>
        <w:t xml:space="preserve">Leitner et al. </w:t>
      </w:r>
      <w:sdt>
        <w:sdtPr>
          <w:rPr>
            <w:rtl w:val="0"/>
          </w:rPr>
          <w:tag w:val="MENDELEY_CITATION_v3_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"/>
          <w:id w:val="155598469"/>
        </w:sdtPr>
        <w:sdtContent>
          <w:r>
            <w:rPr>
              <w:rtl w:val="0"/>
            </w:rPr>
            <w:t xml:space="preserve">(2019)</w:t>
          </w:r>
        </w:sdtContent>
      </w:sdt>
      <w:r>
        <w:rPr>
          <w:rtl w:val="0"/>
        </w:rPr>
        <w:t xml:space="preserve">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show that predictive modelling has advanced considerably, while less attention has been given to communicating predictions according to the different information needs of institutional stakeholders. This study addresses that gap by proposing a role-aware explainable learning analytics framework for higher education.</w:t>
      </w:r>
    </w:p>
    <w:p w:rsidR="00000000" w:rsidDel="00000000" w:rsidP="00000000" w:rsidRDefault="00000000" w:rsidRPr="00000000" w14:paraId="0000009E">
      <w:pPr>
        <w:spacing w:after="160" w:lineRule="auto"/>
        <w:jc w:val="both"/>
        <w:rPr/>
      </w:pPr>
      <w:r>
        <w:rPr>
          <w:rtl w:val="0"/>
        </w:rPr>
        <w:t xml:space="preserve">Other studies have examined the purpose of learning analytics and the groups it is intended to support. </w:t>
      </w:r>
      <w:r>
        <w:rPr>
          <w:rtl w:val="0"/>
        </w:rPr>
        <w:t xml:space="preserve">Ferguson </w:t>
      </w:r>
      <w:sdt>
        <w:sdtPr>
          <w:rPr>
            <w:rtl w:val="0"/>
          </w:rPr>
          <w:tag w:val="MENDELEY_CITATION_v3_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"/>
          <w:id w:val="-521690861"/>
        </w:sdtPr>
        <w:sdtContent>
          <w:r>
            <w:rPr>
              <w:rtl w:val="0"/>
            </w:rPr>
            <w:t xml:space="preserve">(2012)</w:t>
          </w:r>
        </w:sdtContent>
      </w:sdt>
      <w:r>
        <w:rPr>
          <w:rtl w:val="0"/>
        </w:rPr>
        <w:t xml:space="preserve"> traces the field's emergence from earlier traditions in educational data mining and academic analytics, arguing that its distinctiveness lies not in the data or algorithms it employs but in its explicit orientation towards improving learning. </w:t>
      </w:r>
      <w:r>
        <w:rPr>
          <w:rtl w:val="0"/>
        </w:rPr>
        <w:t xml:space="preserve">Gašević et al. </w:t>
      </w:r>
      <w:sdt>
        <w:sdtPr>
          <w:rPr>
            <w:rtl w:val="0"/>
          </w:rPr>
          <w:tag w:val="MENDELEY_CITATION_v3_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"/>
          <w:id w:val="223512817"/>
        </w:sdtPr>
        <w:sdtContent>
          <w:r>
            <w:rPr>
              <w:rtl w:val="0"/>
            </w:rPr>
            <w:t xml:space="preserve">(2015)</w:t>
          </w:r>
        </w:sdtContent>
      </w:sdt>
      <w:r>
        <w:rPr>
          <w:rtl w:val="0"/>
        </w:rPr>
        <w:t xml:space="preserve"> similarly argue that predictive tools have developed faster than the pedagogical foundations needed to guide their use,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9F">
      <w:pPr>
        <w:spacing w:after="160" w:lineRule="auto"/>
        <w:jc w:val="both"/>
        <w:rPr/>
      </w:pPr>
      <w:r>
        <w:rPr>
          <w:rtl w:val="0"/>
        </w:rPr>
        <w:t xml:space="preserve">The reference model proposed by </w:t>
      </w:r>
      <w:r>
        <w:rPr>
          <w:rtl w:val="0"/>
        </w:rPr>
        <w:t xml:space="preserve">Chatti et al. </w:t>
      </w:r>
      <w:sdt>
        <w:sdtPr>
          <w:rPr>
            <w:rtl w:val="0"/>
          </w:rPr>
          <w:tag w:val="MENDELEY_CITATION_v3_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"/>
          <w:id w:val="1553519297"/>
        </w:sdtPr>
        <w:sdtContent>
          <w:r>
            <w:rPr>
              <w:rtl w:val="0"/>
            </w:rPr>
            <w:t xml:space="preserve">(2012)</w:t>
          </w:r>
        </w:sdtContent>
      </w:sdt>
      <w:r>
        <w:rPr>
          <w:rtl w:val="0"/>
        </w:rPr>
        <w:t xml:space="preserve"> provides a useful conceptual framework for situating this study within the wider field. Their four-dimensional taxonomy considers the data and environments analysed, the stakeholders involved, the objectives pursued, and the methods used. It therefore treats stakeholder differences as a central design concern. </w:t>
      </w:r>
      <w:r>
        <w:rPr>
          <w:rtl w:val="0"/>
        </w:rPr>
        <w:t xml:space="preserve">Viberg et al. </w:t>
      </w:r>
      <w:sdt>
        <w:sdtPr>
          <w:rPr>
            <w:rtl w:val="0"/>
          </w:rPr>
          <w:tag w:val="MENDELEY_CITATION_v3_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"/>
          <w:id w:val="332224959"/>
        </w:sdtPr>
        <w:sdtContent>
          <w:r>
            <w:rPr>
              <w:rtl w:val="0"/>
            </w:rPr>
            <w:t xml:space="preserve">(2018)</w:t>
          </w:r>
        </w:sdtContent>
      </w:sdt>
      <w:r>
        <w:rPr>
          <w:rtl w:val="0"/>
        </w:rPr>
        <w:t xml:space="preserve">,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supports the problem addressed in this study.</w:t>
      </w:r>
    </w:p>
    <w:p w:rsidR="00000000" w:rsidDel="00000000" w:rsidP="00000000" w:rsidRDefault="00000000" w:rsidRPr="00000000" w14:paraId="000000A0">
      <w:pPr>
        <w:spacing w:after="160" w:lineRule="auto"/>
        <w:jc w:val="both"/>
        <w:rPr/>
      </w:pPr>
      <w:r>
        <w:rPr>
          <w:rtl w:val="0"/>
        </w:rPr>
        <w:t xml:space="preserve">The gap between analytical capability and institutional adoption is now well documented. </w:t>
      </w:r>
      <w:r>
        <w:rPr>
          <w:rtl w:val="0"/>
        </w:rPr>
        <w:t xml:space="preserve">Tsai and Gašević </w:t>
      </w:r>
      <w:sdt>
        <w:sdtPr>
          <w:rPr>
            <w:rtl w:val="0"/>
          </w:rPr>
          <w:tag w:val="MENDELEY_CITATION_v3_eyJjaXRhdGlvbklEIjogIk1FTkRFTEVZX0NJVEFUSU9OXzc0NTIyZjE1LWE4NGQtNTMyZi1iMzA3LTBkODFkOWQ0NDlkMyIsICJwcm9wZXJ0aWVzIjogeyJub3RlSW5kZXgiOiAwfSwgImlzRWRpdGVkIjogZmFsc2UsICJtYW51YWxPdmVycmlkZSI6IHsiaXNNYW51YWxseU92ZXJyaWRkZW4iOiBmYWxzZSwgImNpdGVwcm9jVGV4dCI6ICIo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LCAic3VwcHJlc3MtYXV0aG9yIjogdHJ1ZX1dfQ=="/>
          <w:id w:val="878629360"/>
        </w:sdtPr>
        <w:sdtContent>
          <w:r>
            <w:rPr>
              <w:rtl w:val="0"/>
            </w:rPr>
            <w:t xml:space="preserve">(2017)</w:t>
          </w:r>
        </w:sdtContent>
      </w:sdt>
      <w:r>
        <w:rPr>
          <w:rtl w:val="0"/>
        </w:rPr>
        <w:t xml:space="preserve"> synthesise policy-level evidence from European and Australasian universities and identify a persistent shortage of practitioner-facing decision support as a primary barrier to sustained adoption. Complementary evidence comes from </w:t>
      </w:r>
      <w:r>
        <w:rPr>
          <w:rtl w:val="0"/>
        </w:rPr>
        <w:t xml:space="preserve">Larrabee Sønderlund et al. </w:t>
      </w:r>
      <w:sdt>
        <w:sdtPr>
          <w:rPr>
            <w:rtl w:val="0"/>
          </w:rPr>
          <w:tag w:val="MENDELEY_CITATION_v3_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"/>
          <w:id w:val="-1713685808"/>
        </w:sdtPr>
        <w:sdtContent>
          <w:r>
            <w:rPr>
              <w:rtl w:val="0"/>
            </w:rPr>
            <w:t xml:space="preserve">(2019)</w:t>
          </w:r>
        </w:sdtContent>
      </w:sdt>
      <w:r>
        <w:rPr>
          <w:rtl w:val="0"/>
        </w:rPr>
        <w:t xml:space="preserve">, whose systematic review of learning analytics interventions concludes that the empirical case for improved learner outcomes remains modest, largely because the interventions triggered by analytical insights are inconsistently designed and delivered. Together with </w:t>
      </w:r>
      <w:r>
        <w:rPr>
          <w:rtl w:val="0"/>
        </w:rPr>
        <w:t xml:space="preserve">Leitner et al. </w:t>
      </w:r>
      <w:sdt>
        <w:sdtPr>
          <w:rPr>
            <w:rtl w:val="0"/>
          </w:rPr>
          <w:tag w:val="MENDELEY_CITATION_v3_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"/>
          <w:id w:val="-953596103"/>
        </w:sdtPr>
        <w:sdtContent>
          <w:r>
            <w:rPr>
              <w:rtl w:val="0"/>
            </w:rPr>
            <w:t xml:space="preserve">(2019)</w:t>
          </w:r>
        </w:sdtContent>
      </w:sdt>
      <w:r>
        <w:rPr>
          <w:rtl w:val="0"/>
        </w:rPr>
        <w:t xml:space="preserve">, these studies suggest that effective learning analytics depends not only on model sophistication but also on whether institutional users can understand and act on the resulting insights. This is the central premise of the study.</w:t>
      </w:r>
    </w:p>
    <w:p w:rsidR="00000000" w:rsidDel="00000000" w:rsidP="00000000" w:rsidRDefault="00000000" w:rsidRPr="00000000" w14:paraId="000000A1">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A2">
      <w:pPr>
        <w:spacing w:after="160" w:lineRule="auto"/>
        <w:jc w:val="both"/>
        <w:rPr/>
      </w:pPr>
      <w:r>
        <w:rPr>
          <w:rtl w:val="0"/>
        </w:rPr>
        <w:t xml:space="preserve">Research on predicting student at-risk status has attracted sustained attention, with investigations spanning logistic regression, decision trees, ensemble methods, and deep learning architectures. </w:t>
      </w:r>
      <w:r>
        <w:rPr>
          <w:rtl w:val="0"/>
        </w:rPr>
        <w:t xml:space="preserve">Wang </w:t>
      </w:r>
      <w:sdt>
        <w:sdtPr>
          <w:rPr>
            <w:rtl w:val="0"/>
          </w:rPr>
          <w:tag w:val="MENDELEY_CITATION_v3_eyJjaXRhdGlvbklEIjogIk1FTkRFTEVZX0NJVEFUSU9OXzMxNWM2NzdhLTkzMDItNWU0ZS1iZjk3LTVlZWIxNzczZjYwOSIsICJwcm9wZXJ0aWVzIjogeyJub3RlSW5kZXgiOiAwfSwgImlzRWRpdGVkIjogZmFsc2UsICJtYW51YWxPdmVycmlkZSI6IHsiaXNNYW51YWxseU92ZXJyaWRkZW4iOiBmYWxzZSwgImNpdGVwcm9jVGV4dCI6ICIoMjAyNSkiLCAibWFudWFsT3ZlcnJpZGVUZXh0IjogIiJ9LCAiY2l0YXRpb25JdGVtcyI6IFt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UsICJzdXBwcmVzcy1hdXRob3IiOiB0cnVlfV19"/>
          <w:id w:val="-580541375"/>
        </w:sdtPr>
        <w:sdtContent>
          <w:r>
            <w:rPr>
              <w:rtl w:val="0"/>
            </w:rPr>
            <w:t xml:space="preserve">(2025)</w:t>
          </w:r>
        </w:sdtContent>
      </w:sdt>
      <w:r>
        <w:rPr>
          <w:rtl w:val="0"/>
        </w:rPr>
        <w:t xml:space="preserve"> reports that a hybrid ensemble combining decision trees, random forests, support vector machines, and artificial neural networks achieves 96.9% accuracy on OULAD (and 98.8% on the UCI student performance dataset), while </w:t>
      </w:r>
      <w:r>
        <w:rPr>
          <w:rtl w:val="0"/>
        </w:rPr>
        <w:t xml:space="preserve">Rebelo Marcolino et al. </w:t>
      </w:r>
      <w:sdt>
        <w:sdtPr>
          <w:rPr>
            <w:rtl w:val="0"/>
          </w:rPr>
          <w:tag w:val="MENDELEY_CITATION_v3_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"/>
          <w:id w:val="-557568504"/>
        </w:sdtPr>
        <w:sdtContent>
          <w:r>
            <w:rPr>
              <w:rtl w:val="0"/>
            </w:rPr>
            <w:t xml:space="preserve">(2025)</w:t>
          </w:r>
        </w:sdtContent>
      </w:sdt>
      <w:r>
        <w:rPr>
          <w:rtl w:val="0"/>
        </w:rPr>
        <w:t xml:space="preserve"> demonstrate that CatBoost with NSGA-II multi-objective optimisation attains comparably high dropout prediction performance on Moodle log data. These results are consistent with </w:t>
      </w:r>
      <w:r>
        <w:rPr>
          <w:rtl w:val="0"/>
        </w:rPr>
        <w:t xml:space="preserve">Jin et al. </w:t>
      </w:r>
      <w:sdt>
        <w:sdtPr>
          <w:rPr>
            <w:rtl w:val="0"/>
          </w:rPr>
          <w:tag w:val="MENDELEY_CITATION_v3_eyJjaXRhdGlvbklEIjogIk1FTkRFTEVZX0NJVEFUSU9OX2IxOTc0YTQxLWIxNWEtNThkMy1hYTdiLTgzZTkxOTlhMGY2ZS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635807147"/>
        </w:sdtPr>
        <w:sdtContent>
          <w:r>
            <w:rPr>
              <w:rtl w:val="0"/>
            </w:rPr>
            <w:t xml:space="preserve">(2024)</w:t>
          </w:r>
        </w:sdtContent>
      </w:sdt>
      <w:r>
        <w:rPr>
          <w:rtl w:val="0"/>
        </w:rPr>
        <w:t xml:space="preserve">, who found that ensemble gradient boosting models are common in recent OULAD research. </w:t>
      </w:r>
      <w:r>
        <w:rPr>
          <w:rtl w:val="0"/>
        </w:rPr>
        <w:t xml:space="preserve">Guevara-Reyes et al. </w:t>
      </w:r>
      <w:sdt>
        <w:sdtPr>
          <w:rPr>
            <w:rtl w:val="0"/>
          </w:rPr>
          <w:tag w:val="MENDELEY_CITATION_v3_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"/>
          <w:id w:val="984092116"/>
        </w:sdtPr>
        <w:sdtContent>
          <w:r>
            <w:rPr>
              <w:rtl w:val="0"/>
            </w:rPr>
            <w:t xml:space="preserve">(2025)</w:t>
          </w:r>
        </w:sdtContent>
      </w:sdt>
      <w:r>
        <w:rPr>
          <w:rtl w:val="0"/>
        </w:rPr>
        <w:t xml:space="preserve">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A3">
      <w:pPr>
        <w:spacing w:after="200" w:lineRule="auto"/>
        <w:jc w:val="both"/>
        <w:rPr/>
      </w:pPr>
      <w:r>
        <w:rPr>
          <w:rtl w:val="0"/>
        </w:rPr>
        <w:t xml:space="preserve">A systematic review of 33 machine learning studies by </w:t>
      </w:r>
      <w:r>
        <w:rPr>
          <w:rtl w:val="0"/>
        </w:rPr>
        <w:t xml:space="preserve">Albreiki et al. </w:t>
      </w:r>
      <w:sdt>
        <w:sdtPr>
          <w:rPr>
            <w:rtl w:val="0"/>
          </w:rPr>
          <w:tag w:val="MENDELEY_CITATION_v3_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"/>
          <w:id w:val="-1445675281"/>
        </w:sdtPr>
        <w:sdtContent>
          <w:r>
            <w:rPr>
              <w:rtl w:val="0"/>
            </w:rPr>
            <w:t xml:space="preserve">(2021)</w:t>
          </w:r>
        </w:sdtContent>
      </w:sdt>
      <w:r>
        <w:rPr>
          <w:rtl w:val="0"/>
        </w:rPr>
        <w:t xml:space="preserve">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w:t>
      </w:r>
      <w:r>
        <w:rPr>
          <w:rtl w:val="0"/>
        </w:rPr>
        <w:t xml:space="preserve">Ahmed et al. </w:t>
      </w:r>
      <w:sdt>
        <w:sdtPr>
          <w:rPr>
            <w:rtl w:val="0"/>
          </w:rPr>
          <w:tag w:val="MENDELEY_CITATION_v3_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"/>
          <w:id w:val="-517734921"/>
        </w:sdtPr>
        <w:sdtContent>
          <w:r>
            <w:rPr>
              <w:rtl w:val="0"/>
            </w:rPr>
            <w:t xml:space="preserve">(2025)</w:t>
          </w:r>
        </w:sdtContent>
      </w:sdt>
      <w:r>
        <w:rPr>
          <w:rtl w:val="0"/>
        </w:rPr>
        <w:t xml:space="preserve"> further demonstrate that ensemble models with integrated SHAP and LIME explanations are both technically feasible and accurate when applied to multi-institutional academic performance datasets, yet their deployment in live institutional dashboards remains rare. Together, these reviews show a gap between the ability to predict at-risk students and the ability to communicate those predictions to practitioners.</w:t>
      </w:r>
    </w:p>
    <w:p w:rsidR="00000000" w:rsidDel="00000000" w:rsidP="00000000" w:rsidRDefault="00000000" w:rsidRPr="00000000" w14:paraId="000000A4">
      <w:pPr>
        <w:spacing w:after="200" w:lineRule="auto"/>
        <w:jc w:val="both"/>
        <w:rPr/>
      </w:pPr>
      <w:r>
        <w:rPr>
          <w:rtl w:val="0"/>
        </w:rPr>
        <w:t xml:space="preserve">The growing focus on prediction within learning analytics has deep theoretical roots that the technical literature does not always make explicit. </w:t>
      </w:r>
      <w:r>
        <w:rPr>
          <w:rtl w:val="0"/>
        </w:rPr>
        <w:t xml:space="preserve">Tinto </w:t>
      </w:r>
      <w:sdt>
        <w:sdtPr>
          <w:rPr>
            <w:rtl w:val="0"/>
          </w:rPr>
          <w:tag w:val="MENDELEY_CITATION_v3_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"/>
          <w:id w:val="244597305"/>
        </w:sdtPr>
        <w:sdtContent>
          <w:r>
            <w:rPr>
              <w:rtl w:val="0"/>
            </w:rPr>
            <w:t xml:space="preserve">(1975)</w:t>
          </w:r>
        </w:sdtContent>
      </w:sdt>
      <w:r>
        <w:rPr>
          <w:rtl w:val="0"/>
        </w:rPr>
        <w:t xml:space="preserve"> proposed an influential model of student departure in which academic and social integration jointly determine persistence, and subsequent empirical work has operationalised his constructs through the behavioural traces captured by modern LMS platforms. </w:t>
      </w:r>
      <w:r>
        <w:rPr>
          <w:rtl w:val="0"/>
        </w:rPr>
        <w:t xml:space="preserve">Aljohani et al. </w:t>
      </w:r>
      <w:sdt>
        <w:sdtPr>
          <w:rPr>
            <w:rtl w:val="0"/>
          </w:rPr>
          <w:tag w:val="MENDELEY_CITATION_v3_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"/>
          <w:id w:val="792912175"/>
        </w:sdtPr>
        <w:sdtContent>
          <w:r>
            <w:rPr>
              <w:rtl w:val="0"/>
            </w:rPr>
            <w:t xml:space="preserve">(2019)</w:t>
          </w:r>
        </w:sdtContent>
      </w:sdt>
      <w:r>
        <w:rPr>
          <w:rtl w:val="0"/>
        </w:rPr>
        <w:t xml:space="preserve"> show the relationship by demonstrating that clickstream indicators of engagement, submission timeliness, and forum participation align closely with Tinto's academic integration dimension and yield reliable early warnings on the OULAD dataset. This theoretical background helps identify which behavioural features have pedagogical meaning and should therefore be included in the explanation views.</w:t>
      </w:r>
    </w:p>
    <w:p w:rsidR="00000000" w:rsidDel="00000000" w:rsidP="00000000" w:rsidRDefault="00000000" w:rsidRPr="00000000" w14:paraId="000000A5">
      <w:pPr>
        <w:spacing w:after="200" w:lineRule="auto"/>
        <w:jc w:val="both"/>
        <w:rPr/>
      </w:pPr>
      <w:r>
        <w:rPr>
          <w:rtl w:val="0"/>
        </w:rPr>
        <w:t xml:space="preserve">Previous studies have examined several types of algorithms for at-risk prediction and report some consistent findings. </w:t>
      </w:r>
      <w:r>
        <w:rPr>
          <w:rtl w:val="0"/>
        </w:rPr>
        <w:t xml:space="preserve">Hussain et al. </w:t>
      </w:r>
      <w:sdt>
        <w:sdtPr>
          <w:rPr>
            <w:rtl w:val="0"/>
          </w:rPr>
          <w:tag w:val="MENDELEY_CITATION_v3_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"/>
          <w:id w:val="1185410617"/>
        </w:sdtPr>
        <w:sdtContent>
          <w:r>
            <w:rPr>
              <w:rtl w:val="0"/>
            </w:rPr>
            <w:t xml:space="preserve">(2018)</w:t>
          </w:r>
        </w:sdtContent>
      </w:sdt>
      <w:r>
        <w:rPr>
          <w:rtl w:val="0"/>
        </w:rPr>
        <w:t xml:space="preserve"> applied logistic regression, support vector machines, and neural networks to LMS engagement records and reported that engagement-based features consistently outperformed static demographic features across all model families. </w:t>
      </w:r>
      <w:r>
        <w:rPr>
          <w:rtl w:val="0"/>
        </w:rPr>
        <w:t xml:space="preserve">Adnan et al. </w:t>
      </w:r>
      <w:sdt>
        <w:sdtPr>
          <w:rPr>
            <w:rtl w:val="0"/>
          </w:rPr>
          <w:tag w:val="MENDELEY_CITATION_v3_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"/>
          <w:id w:val="-792623108"/>
        </w:sdtPr>
        <w:sdtContent>
          <w:r>
            <w:rPr>
              <w:rtl w:val="0"/>
            </w:rPr>
            <w:t xml:space="preserve">(2021)</w:t>
          </w:r>
        </w:sdtContent>
      </w:sdt>
      <w:r>
        <w:rPr>
          <w:rtl w:val="0"/>
        </w:rPr>
        <w:t xml:space="preserve"> extended this line of enquiry by evaluating multiple classifiers at different points within a course and demonstrated that useful predictions can be generated after as little as 20% of the course has elapsed, an important finding for institutional intervention windows. </w:t>
      </w:r>
      <w:r>
        <w:rPr>
          <w:rtl w:val="0"/>
        </w:rPr>
        <w:t xml:space="preserve">F. Chen and Cui </w:t>
      </w:r>
      <w:sdt>
        <w:sdtPr>
          <w:rPr>
            <w:rtl w:val="0"/>
          </w:rPr>
          <w:tag w:val="MENDELEY_CITATION_v3_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"/>
          <w:id w:val="-997545314"/>
        </w:sdtPr>
        <w:sdtContent>
          <w:r>
            <w:rPr>
              <w:rtl w:val="0"/>
            </w:rPr>
            <w:t xml:space="preserve">(2020)</w:t>
          </w:r>
        </w:sdtContent>
      </w:sdt>
      <w:r>
        <w:rPr>
          <w:rtl w:val="0"/>
        </w:rPr>
        <w:t xml:space="preserve">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A6">
      <w:pPr>
        <w:spacing w:after="200" w:lineRule="auto"/>
        <w:jc w:val="both"/>
        <w:rPr/>
      </w:pPr>
      <w:r>
        <w:rPr>
          <w:rtl w:val="0"/>
        </w:rPr>
        <w:t xml:space="preserve">Researchers have also investigated deep learning approaches, though results are mixed relative to their computational cost. </w:t>
      </w:r>
      <w:r>
        <w:rPr>
          <w:rtl w:val="0"/>
        </w:rPr>
        <w:t xml:space="preserve">Waheed et al. </w:t>
      </w:r>
      <w:sdt>
        <w:sdtPr>
          <w:rPr>
            <w:rtl w:val="0"/>
          </w:rPr>
          <w:tag w:val="MENDELEY_CITATION_v3_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"/>
          <w:id w:val="-795952425"/>
        </w:sdtPr>
        <w:sdtContent>
          <w:r>
            <w:rPr>
              <w:rtl w:val="0"/>
            </w:rPr>
            <w:t xml:space="preserve">(2020)</w:t>
          </w:r>
        </w:sdtContent>
      </w:sdt>
      <w:r>
        <w:rPr>
          <w:rtl w:val="0"/>
        </w:rPr>
        <w:t xml:space="preserve"> trained deep artificial neural networks on OULAD and reported strong classification performance, but noted that the marginal accuracy gains over well-tuned ensembles were modest and did not justify the additional opacity deeper architectures introduce. </w:t>
      </w:r>
      <w:r>
        <w:rPr>
          <w:rtl w:val="0"/>
        </w:rPr>
        <w:t xml:space="preserve">Hassan et al. </w:t>
      </w:r>
      <w:sdt>
        <w:sdtPr>
          <w:rPr>
            <w:rtl w:val="0"/>
          </w:rPr>
          <w:tag w:val="MENDELEY_CITATION_v3_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"/>
          <w:id w:val="667603989"/>
        </w:sdtPr>
        <w:sdtContent>
          <w:r>
            <w:rPr>
              <w:rtl w:val="0"/>
            </w:rPr>
            <w:t xml:space="preserve">(2019)</w:t>
          </w:r>
        </w:sdtContent>
      </w:sdt>
      <w:r>
        <w:rPr>
          <w:rtl w:val="0"/>
        </w:rPr>
        <w:t xml:space="preserve"> reached a similar conclusion for withdrawal prediction, showing that recurrent architectures capture temporal engagement patterns effectively but produce outputs that are difficult to interpret without dedicated post-hoc explanation techniques. These findings suggest that predictive accuracy alone is not sufficient when selecting models for institutional use. Interpretability and the ability to provide explanations should also be considered.</w:t>
      </w:r>
    </w:p>
    <w:p w:rsidR="00000000" w:rsidDel="00000000" w:rsidP="00000000" w:rsidRDefault="00000000" w:rsidRPr="00000000" w14:paraId="000000A7">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w:t>
      </w:r>
      <w:r>
        <w:rPr>
          <w:rtl w:val="0"/>
        </w:rPr>
        <w:t xml:space="preserve">Baker and Hawn </w:t>
      </w:r>
      <w:sdt>
        <w:sdtPr>
          <w:rPr>
            <w:rtl w:val="0"/>
          </w:rPr>
          <w:tag w:val="MENDELEY_CITATION_v3_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"/>
          <w:id w:val="-176729943"/>
        </w:sdtPr>
        <w:sdtContent>
          <w:r>
            <w:rPr>
              <w:rtl w:val="0"/>
            </w:rPr>
            <w:t xml:space="preserve">(2022)</w:t>
          </w:r>
        </w:sdtContent>
      </w:sdt>
      <w:r>
        <w:rPr>
          <w:rtl w:val="0"/>
        </w:rPr>
        <w:t xml:space="preserve"> provide a comprehensive review of algorithmic bias in education and document systematic disparities in model performance across demographic subgroups, particularly where training data underrepresents specific student populations. </w:t>
      </w:r>
      <w:r>
        <w:rPr>
          <w:rtl w:val="0"/>
        </w:rPr>
        <w:t xml:space="preserve">Yu et al. </w:t>
      </w:r>
      <w:sdt>
        <w:sdtPr>
          <w:rPr>
            <w:rtl w:val="0"/>
          </w:rPr>
          <w:tag w:val="MENDELEY_CITATION_v3_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"/>
          <w:id w:val="-1009831970"/>
        </w:sdtPr>
        <w:sdtContent>
          <w:r>
            <w:rPr>
              <w:rtl w:val="0"/>
            </w:rPr>
            <w:t xml:space="preserve">(2020)</w:t>
          </w:r>
        </w:sdtContent>
      </w:sdt>
      <w:r>
        <w:rPr>
          <w:rtl w:val="0"/>
        </w:rPr>
        <w:t xml:space="preserve"> show, using large-scale institutional data, that predictive models can produce systematically different error rates across gender, ethnic, and first-generation student groups even when overall accuracy is high. These studies suggest that aggregate accuracy results on OULAD should be interpreted with caution. An operational dashboard should also provide enough detail for practitioners to identify and question differences in model performance across groups. The role-aware explanation design pursued in this study is one mechanism that makes this possible.</w:t>
      </w:r>
    </w:p>
    <w:p w:rsidR="00000000" w:rsidDel="00000000" w:rsidP="00000000" w:rsidRDefault="00000000" w:rsidRPr="00000000" w14:paraId="000000A8">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w:t>
      </w:r>
      <w:r>
        <w:rPr>
          <w:rtl w:val="0"/>
        </w:rPr>
        <w:t xml:space="preserve">Chawla et al. </w:t>
      </w:r>
      <w:sdt>
        <w:sdtPr>
          <w:rPr>
            <w:rtl w:val="0"/>
          </w:rPr>
          <w:tag w:val="MENDELEY_CITATION_v3_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"/>
          <w:id w:val="363294073"/>
        </w:sdtPr>
        <w:sdtContent>
          <w:r>
            <w:rPr>
              <w:rtl w:val="0"/>
            </w:rPr>
            <w:t xml:space="preserve">(2002)</w:t>
          </w:r>
        </w:sdtContent>
      </w:sdt>
      <w:r>
        <w:rPr>
          <w:rtl w:val="0"/>
        </w:rPr>
        <w:t xml:space="preserve">, and the fifteen-year retrospective analysis of </w:t>
      </w:r>
      <w:r>
        <w:rPr>
          <w:rtl w:val="0"/>
        </w:rPr>
        <w:t xml:space="preserve">Fernández et al. </w:t>
      </w:r>
      <w:sdt>
        <w:sdtPr>
          <w:rPr>
            <w:rtl w:val="0"/>
          </w:rPr>
          <w:tag w:val="MENDELEY_CITATION_v3_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"/>
          <w:id w:val="-432071529"/>
        </w:sdtPr>
        <w:sdtContent>
          <w:r>
            <w:rPr>
              <w:rtl w:val="0"/>
            </w:rPr>
            <w:t xml:space="preserve">(2018)</w:t>
          </w:r>
        </w:sdtContent>
      </w:sdt>
      <w:r>
        <w:rPr>
          <w:rtl w:val="0"/>
        </w:rPr>
        <w:t xml:space="preserve"> confirms that SMOTE and its principled variants remain competitive with more recent resampling methods on tabular data. Naive oversampling can amplify noise near class boundaries. For this reason, researchers have proposed borderline and adaptive variants of SMOTE. </w:t>
      </w:r>
      <w:r>
        <w:rPr>
          <w:rtl w:val="0"/>
        </w:rPr>
        <w:t xml:space="preserve">Prati et al. </w:t>
      </w:r>
      <w:sdt>
        <w:sdtPr>
          <w:rPr>
            <w:rtl w:val="0"/>
          </w:rPr>
          <w:tag w:val="MENDELEY_CITATION_v3_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"/>
          <w:id w:val="2136907760"/>
        </w:sdtPr>
        <w:sdtContent>
          <w:r>
            <w:rPr>
              <w:rtl w:val="0"/>
            </w:rPr>
            <w:t xml:space="preserve">(2015)</w:t>
          </w:r>
        </w:sdtContent>
      </w:sdt>
      <w:r>
        <w:rPr>
          <w:rtl w:val="0"/>
        </w:rPr>
        <w:t xml:space="preserve"> describe a protocol for comparing these approaches. </w:t>
      </w:r>
      <w:r>
        <w:rPr>
          <w:rtl w:val="0"/>
        </w:rPr>
        <w:t xml:space="preserve">Santos et al. </w:t>
      </w:r>
      <w:sdt>
        <w:sdtPr>
          <w:rPr>
            <w:rtl w:val="0"/>
          </w:rPr>
          <w:tag w:val="MENDELEY_CITATION_v3_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"/>
          <w:id w:val="40915112"/>
        </w:sdtPr>
        <w:sdtContent>
          <w:r>
            <w:rPr>
              <w:rtl w:val="0"/>
            </w:rPr>
            <w:t xml:space="preserve">(2018)</w:t>
          </w:r>
        </w:sdtContent>
      </w:sdt>
      <w:r>
        <w:rPr>
          <w:rtl w:val="0"/>
        </w:rPr>
        <w:t xml:space="preserve"> further recommend resampling only on the training partition of each cross-validation fold, so oversampling before splitting does not produce optimistic bias. Class-weighted loss functions are a common alternative, since they preserve the marginal distribution of the training data.</w:t>
      </w:r>
    </w:p>
    <w:p w:rsidR="00000000" w:rsidDel="00000000" w:rsidP="00000000" w:rsidRDefault="00000000" w:rsidRPr="00000000" w14:paraId="000000A9">
      <w:pPr>
        <w:spacing w:after="200" w:lineRule="auto"/>
        <w:jc w:val="both"/>
        <w:rPr/>
      </w:pPr>
      <w:r>
        <w:rPr>
          <w:rtl w:val="0"/>
        </w:rPr>
        <w:t xml:space="preserve">Hyperparameter optimisation and validation design are a second recurring concern. </w:t>
      </w:r>
      <w:r>
        <w:rPr>
          <w:rtl w:val="0"/>
        </w:rPr>
        <w:t xml:space="preserve">Bergstra et al. </w:t>
      </w:r>
      <w:sdt>
        <w:sdtPr>
          <w:rPr>
            <w:rtl w:val="0"/>
          </w:rPr>
          <w:tag w:val="MENDELEY_CITATION_v3_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"/>
          <w:id w:val="-1676544203"/>
        </w:sdtPr>
        <w:sdtContent>
          <w:r>
            <w:rPr>
              <w:rtl w:val="0"/>
            </w:rPr>
            <w:t xml:space="preserve">(2011)</w:t>
          </w:r>
        </w:sdtContent>
      </w:sdt>
      <w:r>
        <w:rPr>
          <w:rtl w:val="0"/>
        </w:rPr>
        <w:t xml:space="preserve">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w:t>
      </w:r>
      <w:r>
        <w:rPr>
          <w:rtl w:val="0"/>
        </w:rPr>
        <w:t xml:space="preserve">Jin et al. </w:t>
      </w:r>
      <w:sdt>
        <w:sdtPr>
          <w:rPr>
            <w:rtl w:val="0"/>
          </w:rPr>
          <w:tag w:val="MENDELEY_CITATION_v3_eyJjaXRhdGlvbklEIjogIk1FTkRFTEVZX0NJVEFUSU9OXzk3ZjZmMWZmLWExOWYtNWY4Ni1iZTliLTczNzcwZjhhZGM1ZC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547376580"/>
        </w:sdtPr>
        <w:sdtContent>
          <w:r>
            <w:rPr>
              <w:rtl w:val="0"/>
            </w:rPr>
            <w:t xml:space="preserve">(2024)</w:t>
          </w:r>
        </w:sdtContent>
      </w:sdt>
      <w:r>
        <w:rPr>
          <w:rtl w:val="0"/>
        </w:rPr>
        <w:t xml:space="preserve"> note that evaluation protocols vary considerably across this literature. </w:t>
      </w:r>
      <w:r>
        <w:rPr>
          <w:rtl w:val="0"/>
        </w:rPr>
        <w:t xml:space="preserve">Krstajic et al. </w:t>
      </w:r>
      <w:sdt>
        <w:sdtPr>
          <w:rPr>
            <w:rtl w:val="0"/>
          </w:rPr>
          <w:tag w:val="MENDELEY_CITATION_v3_eyJjaXRhdGlvbklEIjogIk1FTkRFTEVZX0NJVEFUSU9OXzJiYjNkNzJjLTRhMDQtNTQzYi1hYjEyLTkxNDg4NTIyYTc3Ny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1874634224"/>
        </w:sdtPr>
        <w:sdtContent>
          <w:r>
            <w:rPr>
              <w:rtl w:val="0"/>
            </w:rPr>
            <w:t xml:space="preserve">(2014)</w:t>
          </w:r>
        </w:sdtContent>
      </w:sdt>
      <w:r>
        <w:rPr>
          <w:rtl w:val="0"/>
        </w:rPr>
        <w:t xml:space="preserve"> criticise protocols in which observations from the same higher-level unit appear in both training and validation folds, since this form of leakage produces optimistic estimates. </w:t>
      </w:r>
      <w:r>
        <w:rPr>
          <w:rtl w:val="0"/>
        </w:rPr>
        <w:t xml:space="preserve">Chicco and Jurman </w:t>
      </w:r>
      <w:sdt>
        <w:sdtPr>
          <w:rPr>
            <w:rtl w:val="0"/>
          </w:rPr>
          <w:tag w:val="MENDELEY_CITATION_v3_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"/>
          <w:id w:val="2130825113"/>
        </w:sdtPr>
        <w:sdtContent>
          <w:r>
            <w:rPr>
              <w:rtl w:val="0"/>
            </w:rPr>
            <w:t xml:space="preserve">(2020)</w:t>
          </w:r>
        </w:sdtContent>
      </w:sdt>
      <w:r>
        <w:rPr>
          <w:rtl w:val="0"/>
        </w:rPr>
        <w:t xml:space="preserve"> recommend the Matthews correlation coefficient as a more informative summary than accuracy or F1 alone under class imbalance, and area under the precision-recall curve and balanced accuracy are commonly reported as secondary metrics for the same reason.</w:t>
      </w:r>
    </w:p>
    <w:p w:rsidR="00000000" w:rsidDel="00000000" w:rsidP="00000000" w:rsidRDefault="00000000" w:rsidRPr="00000000" w14:paraId="000000AA">
      <w:pPr>
        <w:spacing w:after="200" w:lineRule="auto"/>
        <w:jc w:val="both"/>
        <w:rPr/>
      </w:pPr>
      <w:r>
        <w:rPr>
          <w:rtl w:val="0"/>
        </w:rPr>
        <w:t xml:space="preserve">Probability calibration is a third consideration for systems that display risk probabilities rather than binary decisions, since miscalibrated probabilities may lead practitioners to overreact to weak signals. </w:t>
      </w:r>
      <w:r>
        <w:rPr>
          <w:rtl w:val="0"/>
        </w:rPr>
        <w:t xml:space="preserve">Niculescu-Mizil and Caruana </w:t>
      </w:r>
      <w:sdt>
        <w:sdtPr>
          <w:rPr>
            <w:rtl w:val="0"/>
          </w:rPr>
          <w:tag w:val="MENDELEY_CITATION_v3_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"/>
          <w:id w:val="125045161"/>
        </w:sdtPr>
        <w:sdtContent>
          <w:r>
            <w:rPr>
              <w:rtl w:val="0"/>
            </w:rPr>
            <w:t xml:space="preserve">(2005)</w:t>
          </w:r>
        </w:sdtContent>
      </w:sdt>
      <w:r>
        <w:rPr>
          <w:rtl w:val="0"/>
        </w:rPr>
        <w:t xml:space="preserve"> compare isotonic regression and Platt scaling for this purpose, and </w:t>
      </w:r>
      <w:r>
        <w:rPr>
          <w:rtl w:val="0"/>
        </w:rPr>
        <w:t xml:space="preserve">Guo et al. </w:t>
      </w:r>
      <w:sdt>
        <w:sdtPr>
          <w:rPr>
            <w:rtl w:val="0"/>
          </w:rPr>
          <w:tag w:val="MENDELEY_CITATION_v3_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"/>
          <w:id w:val="947993017"/>
        </w:sdtPr>
        <w:sdtContent>
          <w:r>
            <w:rPr>
              <w:rtl w:val="0"/>
            </w:rPr>
            <w:t xml:space="preserve">(2017)</w:t>
          </w:r>
        </w:sdtContent>
      </w:sdt>
      <w:r>
        <w:rPr>
          <w:rtl w:val="0"/>
        </w:rPr>
        <w:t xml:space="preserve"> quantify calibration error using reliability diagrams and expected calibration error. </w:t>
      </w:r>
      <w:r>
        <w:rPr>
          <w:rtl w:val="0"/>
        </w:rPr>
        <w:t xml:space="preserve">Kim et al. </w:t>
      </w:r>
      <w:sdt>
        <w:sdtPr>
          <w:rPr>
            <w:rtl w:val="0"/>
          </w:rPr>
          <w:tag w:val="MENDELEY_CITATION_v3_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"/>
          <w:id w:val="605426323"/>
        </w:sdtPr>
        <w:sdtContent>
          <w:r>
            <w:rPr>
              <w:rtl w:val="0"/>
            </w:rPr>
            <w:t xml:space="preserve">(2024)</w:t>
          </w:r>
        </w:sdtContent>
      </w:sdt>
      <w:r>
        <w:rPr>
          <w:rtl w:val="0"/>
        </w:rPr>
        <w:t xml:space="preserve"> note that trust in AI-generated outputs depends not only on accuracy but also on the perceived reliability of the confidence values shown to users.</w:t>
      </w:r>
    </w:p>
    <w:p w:rsidR="00000000" w:rsidDel="00000000" w:rsidP="00000000" w:rsidRDefault="00000000" w:rsidRPr="00000000" w14:paraId="000000AB">
      <w:pPr>
        <w:spacing w:after="200" w:lineRule="auto"/>
        <w:jc w:val="both"/>
        <w:rPr/>
      </w:pPr>
      <w:r>
        <w:rPr>
          <w:rtl w:val="0"/>
        </w:rPr>
        <w:t xml:space="preserve">Finally, feature design matters for early prediction. </w:t>
      </w:r>
      <w:r>
        <w:rPr>
          <w:rtl w:val="0"/>
        </w:rPr>
        <w:t xml:space="preserve">Adnan et al. </w:t>
      </w:r>
      <w:sdt>
        <w:sdtPr>
          <w:rPr>
            <w:rtl w:val="0"/>
          </w:rPr>
          <w:tag w:val="MENDELEY_CITATION_v3_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"/>
          <w:id w:val="-1668370711"/>
        </w:sdtPr>
        <w:sdtContent>
          <w:r>
            <w:rPr>
              <w:rtl w:val="0"/>
            </w:rPr>
            <w:t xml:space="preserve">(2021)</w:t>
          </w:r>
        </w:sdtContent>
      </w:sdt>
      <w:r>
        <w:rPr>
          <w:rtl w:val="0"/>
        </w:rPr>
        <w:t xml:space="preserve">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planning the study's methodology; Chapter 3, Section 3.4 explains which were used in the final evaluation and records the remainder as planned but not implemented extensions.</w:t>
      </w:r>
    </w:p>
    <w:p w:rsidR="00000000" w:rsidDel="00000000" w:rsidP="00000000" w:rsidRDefault="00000000" w:rsidRPr="00000000" w14:paraId="000000AC">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AD">
      <w:pPr>
        <w:spacing w:after="160" w:lineRule="auto"/>
        <w:jc w:val="both"/>
        <w:rPr/>
      </w:pPr>
      <w:r>
        <w:rPr>
          <w:rtl w:val="0"/>
        </w:rPr>
        <w:t xml:space="preserve">Explainable AI has become increasingly important as high-accuracy models are adopted in education. The educational setting also presents particular challenges because model outputs may influence decisions about students. </w:t>
      </w:r>
      <w:r>
        <w:rPr>
          <w:rtl w:val="0"/>
        </w:rPr>
        <w:t xml:space="preserve">Barredo Arrieta et al. </w:t>
      </w:r>
      <w:sdt>
        <w:sdtPr>
          <w:rPr>
            <w:rtl w:val="0"/>
          </w:rPr>
          <w:tag w:val="MENDELEY_CITATION_v3_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"/>
          <w:id w:val="-280181094"/>
        </w:sdtPr>
        <w:sdtContent>
          <w:r>
            <w:rPr>
              <w:rtl w:val="0"/>
            </w:rPr>
            <w:t xml:space="preserve">(2020)</w:t>
          </w:r>
        </w:sdtContent>
      </w:sdt>
      <w:r>
        <w:rPr>
          <w:rtl w:val="0"/>
        </w:rPr>
        <w:t xml:space="preserve"> reviewed more than 400 papers and distinguished between interpretable models and explanation techniques. They argue that the choice between these approaches depends on the deployment context and the expertise of the intended user, a distinction that earlier XAI surveys by </w:t>
      </w:r>
      <w:r>
        <w:rPr>
          <w:rtl w:val="0"/>
        </w:rPr>
        <w:t xml:space="preserve">Gunning and Aha </w:t>
      </w:r>
      <w:sdt>
        <w:sdtPr>
          <w:rPr>
            <w:rtl w:val="0"/>
          </w:rPr>
          <w:tag w:val="MENDELEY_CITATION_v3_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"/>
          <w:id w:val="-198755165"/>
        </w:sdtPr>
        <w:sdtContent>
          <w:r>
            <w:rPr>
              <w:rtl w:val="0"/>
            </w:rPr>
            <w:t xml:space="preserve">(2019)</w:t>
          </w:r>
        </w:sdtContent>
      </w:sdt>
      <w:r>
        <w:rPr>
          <w:rtl w:val="0"/>
        </w:rPr>
        <w:t xml:space="preserve"> did not address in depth. </w:t>
      </w:r>
      <w:r>
        <w:rPr>
          <w:rtl w:val="0"/>
        </w:rPr>
        <w:t xml:space="preserve">Ali et al. </w:t>
      </w:r>
      <w:sdt>
        <w:sdtPr>
          <w:rPr>
            <w:rtl w:val="0"/>
          </w:rPr>
          <w:tag w:val="MENDELEY_CITATION_v3_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"/>
          <w:id w:val="1772223087"/>
        </w:sdtPr>
        <w:sdtContent>
          <w:r>
            <w:rPr>
              <w:rtl w:val="0"/>
            </w:rPr>
            <w:t xml:space="preserve">(2023)</w:t>
          </w:r>
        </w:sdtContent>
      </w:sdt>
      <w:r>
        <w:rPr>
          <w:rtl w:val="0"/>
        </w:rPr>
        <w:t xml:space="preserve">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AE">
      <w:pPr>
        <w:spacing w:after="160" w:lineRule="auto"/>
        <w:jc w:val="both"/>
        <w:rPr/>
      </w:pPr>
      <w:r>
        <w:rPr>
          <w:rtl w:val="0"/>
        </w:rPr>
        <w:t xml:space="preserve">Within the educational domain, SHAP and LIME dominate current applications, but their comparative strengths and limitations are contested. </w:t>
      </w:r>
      <w:r>
        <w:rPr>
          <w:rtl w:val="0"/>
        </w:rPr>
        <w:t xml:space="preserve">Nnadi et al. </w:t>
      </w:r>
      <w:sdt>
        <w:sdtPr>
          <w:rPr>
            <w:rtl w:val="0"/>
          </w:rPr>
          <w:tag w:val="MENDELEY_CITATION_v3_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"/>
          <w:id w:val="468023495"/>
        </w:sdtPr>
        <w:sdtContent>
          <w:r>
            <w:rPr>
              <w:rtl w:val="0"/>
            </w:rPr>
            <w:t xml:space="preserve">(2024)</w:t>
          </w:r>
        </w:sdtContent>
      </w:sdt>
      <w:r>
        <w:rPr>
          <w:rtl w:val="0"/>
        </w:rPr>
        <w:t xml:space="preserve"> evaluated SHAP, LIME, Anchors, Accumulated Local Effects (ALE), and counterfactual explanations on a student adaptability dataset and found SHAP most consistent for feature-attribution stability across model types. By contrast, </w:t>
      </w:r>
      <w:r>
        <w:rPr>
          <w:rtl w:val="0"/>
        </w:rPr>
        <w:t xml:space="preserve">Salih et al. </w:t>
      </w:r>
      <w:sdt>
        <w:sdtPr>
          <w:rPr>
            <w:rtl w:val="0"/>
          </w:rPr>
          <w:tag w:val="MENDELEY_CITATION_v3_eyJjaXRhdGlvbklEIjogIk1FTkRFTEVZX0NJVEFUSU9OX2JlYTNlMTA0LTVmYjAtNWIxNy1hMjY1LWZjMmM5YTgyYTI3OC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1491043971"/>
        </w:sdtPr>
        <w:sdtContent>
          <w:r>
            <w:rPr>
              <w:rtl w:val="0"/>
            </w:rPr>
            <w:t xml:space="preserve">(2025)</w:t>
          </w:r>
        </w:sdtContent>
      </w:sdt>
      <w:r>
        <w:rPr>
          <w:rtl w:val="0"/>
        </w:rPr>
        <w:t xml:space="preserve"> provides a rigorous critique of both techniques, noting that SHAP’s computational overhead limits real-time deployment and that LIME’s local approximation boundary is sensitive to sampling parameters in ways that affect reproducibility. </w:t>
      </w:r>
      <w:r>
        <w:rPr>
          <w:rtl w:val="0"/>
        </w:rPr>
        <w:t xml:space="preserve">Gunasekara and Saarela </w:t>
      </w:r>
      <w:sdt>
        <w:sdtPr>
          <w:rPr>
            <w:rtl w:val="0"/>
          </w:rPr>
          <w:tag w:val="MENDELEY_CITATION_v3_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"/>
          <w:id w:val="1127475297"/>
        </w:sdtPr>
        <w:sdtContent>
          <w:r>
            <w:rPr>
              <w:rtl w:val="0"/>
            </w:rPr>
            <w:t xml:space="preserve">(2025)</w:t>
          </w:r>
        </w:sdtContent>
      </w:sdt>
      <w:r>
        <w:rPr>
          <w:rtl w:val="0"/>
        </w:rPr>
        <w:t xml:space="preserve">, who apply SHAP and LIME to models trained on the OULAD dataset, help explain these differences: prior studies have reported complementary strengths, with SHAP commonly used for global attribution and LIME for local approximations. </w:t>
      </w:r>
      <w:r>
        <w:rPr>
          <w:rtl w:val="0"/>
        </w:rPr>
        <w:t xml:space="preserve">Islam et al. </w:t>
      </w:r>
      <w:sdt>
        <w:sdtPr>
          <w:rPr>
            <w:rtl w:val="0"/>
          </w:rPr>
          <w:tag w:val="MENDELEY_CITATION_v3_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"/>
          <w:id w:val="-755243973"/>
        </w:sdtPr>
        <w:sdtContent>
          <w:r>
            <w:rPr>
              <w:rtl w:val="0"/>
            </w:rPr>
            <w:t xml:space="preserve">(2025)</w:t>
          </w:r>
        </w:sdtContent>
      </w:sdt>
      <w:r>
        <w:rPr>
          <w:rtl w:val="0"/>
        </w:rPr>
        <w:t xml:space="preserve"> further show that combining SHAP, Shapash, ELI5, and LIME with XGBoost enables fine-grained performance explanations suitable for institutional reporting, though their work stops short of evaluating how non-technical stakeholders receive and interpret these explanations.</w:t>
      </w:r>
    </w:p>
    <w:p w:rsidR="00000000" w:rsidDel="00000000" w:rsidP="00000000" w:rsidRDefault="00000000" w:rsidRPr="00000000" w14:paraId="000000AF">
      <w:pPr>
        <w:spacing w:after="200" w:lineRule="auto"/>
        <w:jc w:val="both"/>
        <w:rPr/>
      </w:pPr>
      <w:r>
        <w:rPr>
          <w:rtl w:val="0"/>
        </w:rPr>
        <w:t xml:space="preserve">However, these studies give limited attention to how explanations should be presented to practitioners with different roles, levels of expertise, and decision-making responsibilities. </w:t>
      </w:r>
      <w:r>
        <w:rPr>
          <w:rtl w:val="0"/>
        </w:rPr>
        <w:t xml:space="preserve">Afzaal et al. </w:t>
      </w:r>
      <w:sdt>
        <w:sdtPr>
          <w:rPr>
            <w:rtl w:val="0"/>
          </w:rPr>
          <w:tag w:val="MENDELEY_CITATION_v3_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"/>
          <w:id w:val="-2063831678"/>
        </w:sdtPr>
        <w:sdtContent>
          <w:r>
            <w:rPr>
              <w:rtl w:val="0"/>
            </w:rPr>
            <w:t xml:space="preserve">(2021)</w:t>
          </w:r>
        </w:sdtContent>
      </w:sdt>
      <w:r>
        <w:rPr>
          <w:rtl w:val="0"/>
        </w:rPr>
        <w:t xml:space="preserve">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This study focuses on the gap between the explanations produced by XAI methods and the different information needs of stakeholder roles.</w:t>
      </w:r>
    </w:p>
    <w:p w:rsidR="00000000" w:rsidDel="00000000" w:rsidP="00000000" w:rsidRDefault="00000000" w:rsidRPr="00000000" w14:paraId="000000B0">
      <w:pPr>
        <w:spacing w:after="200" w:lineRule="auto"/>
        <w:jc w:val="both"/>
        <w:rPr/>
      </w:pPr>
      <w:r>
        <w:rPr>
          <w:rtl w:val="0"/>
        </w:rPr>
        <w:t xml:space="preserve">Previous research on the theoretical foundations of explainable AI complements the empirical evaluations discussed above. </w:t>
      </w:r>
      <w:r>
        <w:rPr>
          <w:rtl w:val="0"/>
        </w:rPr>
        <w:t xml:space="preserve">Miller </w:t>
      </w:r>
      <w:sdt>
        <w:sdtPr>
          <w:rPr>
            <w:rtl w:val="0"/>
          </w:rPr>
          <w:tag w:val="MENDELEY_CITATION_v3_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"/>
          <w:id w:val="1842964529"/>
        </w:sdtPr>
        <w:sdtContent>
          <w:r>
            <w:rPr>
              <w:rtl w:val="0"/>
            </w:rPr>
            <w:t xml:space="preserve">(2019)</w:t>
          </w:r>
        </w:sdtContent>
      </w:sdt>
      <w:r>
        <w:rPr>
          <w:rtl w:val="0"/>
        </w:rPr>
        <w:t xml:space="preserve">,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w:t>
      </w:r>
      <w:r>
        <w:rPr>
          <w:rtl w:val="0"/>
        </w:rPr>
        <w:t xml:space="preserve">Lipton </w:t>
      </w:r>
      <w:sdt>
        <w:sdtPr>
          <w:rPr>
            <w:rtl w:val="0"/>
          </w:rPr>
          <w:tag w:val="MENDELEY_CITATION_v3_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"/>
          <w:id w:val="-826720513"/>
        </w:sdtPr>
        <w:sdtContent>
          <w:r>
            <w:rPr>
              <w:rtl w:val="0"/>
            </w:rPr>
            <w:t xml:space="preserve">(2018)</w:t>
          </w:r>
        </w:sdtContent>
      </w:sdt>
      <w:r>
        <w:rPr>
          <w:rtl w:val="0"/>
        </w:rPr>
        <w:t xml:space="preserve"> offers a parallel critique of the interpretability literature, showing that the term is used inconsistently and that different notions of interpretability, including simulatability, decomposability, and post-hoc transparency, imply different design choices. These ideas are relevant to this study because a role-aware dashboard must consider both which explanations to display and what type of interpretability each stakeholder needs.</w:t>
      </w:r>
    </w:p>
    <w:p w:rsidR="00000000" w:rsidDel="00000000" w:rsidP="00000000" w:rsidRDefault="00000000" w:rsidRPr="00000000" w14:paraId="000000B1">
      <w:pPr>
        <w:spacing w:after="200" w:lineRule="auto"/>
        <w:jc w:val="both"/>
        <w:rPr/>
      </w:pPr>
      <w:r>
        <w:rPr>
          <w:rtl w:val="0"/>
        </w:rPr>
        <w:t xml:space="preserve">A related literature has examined the limits of post-hoc explanation techniques themselves. </w:t>
      </w:r>
      <w:r>
        <w:rPr>
          <w:rtl w:val="0"/>
        </w:rPr>
        <w:t xml:space="preserve">Adadi and Berrada </w:t>
      </w:r>
      <w:sdt>
        <w:sdtPr>
          <w:rPr>
            <w:rtl w:val="0"/>
          </w:rPr>
          <w:tag w:val="MENDELEY_CITATION_v3_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"/>
          <w:id w:val="-1898696934"/>
        </w:sdtPr>
        <w:sdtContent>
          <w:r>
            <w:rPr>
              <w:rtl w:val="0"/>
            </w:rPr>
            <w:t xml:space="preserve">(2018)</w:t>
          </w:r>
        </w:sdtContent>
      </w:sdt>
      <w:r>
        <w:rPr>
          <w:rtl w:val="0"/>
        </w:rPr>
        <w:t xml:space="preserve"> survey a broad taxonomy of XAI methods and note that the field lacks agreed evaluation protocols, making many claims about explanation quality hard to verify. </w:t>
      </w:r>
      <w:r>
        <w:rPr>
          <w:rtl w:val="0"/>
        </w:rPr>
        <w:t xml:space="preserve">Guidotti et al. </w:t>
      </w:r>
      <w:sdt>
        <w:sdtPr>
          <w:rPr>
            <w:rtl w:val="0"/>
          </w:rPr>
          <w:tag w:val="MENDELEY_CITATION_v3_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"/>
          <w:id w:val="1919633270"/>
        </w:sdtPr>
        <w:sdtContent>
          <w:r>
            <w:rPr>
              <w:rtl w:val="0"/>
            </w:rPr>
            <w:t xml:space="preserve">(2019)</w:t>
          </w:r>
        </w:sdtContent>
      </w:sdt>
      <w:r>
        <w:rPr>
          <w:rtl w:val="0"/>
        </w:rPr>
        <w:t xml:space="preserve"> provide a complementary survey of black-box explanation methods and note that fidelity, the degree to which an explanation faithfully reflects the underlying model, is often traded against comprehensibility in ways that are rarely reported. </w:t>
      </w:r>
      <w:r>
        <w:rPr>
          <w:rtl w:val="0"/>
        </w:rPr>
        <w:t xml:space="preserve">Rudin </w:t>
      </w:r>
      <w:sdt>
        <w:sdtPr>
          <w:rPr>
            <w:rtl w:val="0"/>
          </w:rPr>
          <w:tag w:val="MENDELEY_CITATION_v3_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"/>
          <w:id w:val="1141750196"/>
        </w:sdtPr>
        <w:sdtContent>
          <w:r>
            <w:rPr>
              <w:rtl w:val="0"/>
            </w:rPr>
            <w:t xml:space="preserve">(2019)</w:t>
          </w:r>
        </w:sdtContent>
      </w:sdt>
      <w:r>
        <w:rPr>
          <w:rtl w:val="0"/>
        </w:rPr>
        <w:t xml:space="preserve">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B2">
      <w:pPr>
        <w:spacing w:after="200" w:lineRule="auto"/>
        <w:jc w:val="both"/>
        <w:rPr/>
      </w:pPr>
      <w:r>
        <w:rPr>
          <w:rtl w:val="0"/>
        </w:rPr>
        <w:t xml:space="preserve">Within the educational domain, </w:t>
      </w:r>
      <w:r>
        <w:rPr>
          <w:rtl w:val="0"/>
        </w:rPr>
        <w:t xml:space="preserve">Khosravi et al. </w:t>
      </w:r>
      <w:sdt>
        <w:sdtPr>
          <w:rPr>
            <w:rtl w:val="0"/>
          </w:rPr>
          <w:tag w:val="MENDELEY_CITATION_v3_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"/>
          <w:id w:val="213904816"/>
        </w:sdtPr>
        <w:sdtContent>
          <w:r>
            <w:rPr>
              <w:rtl w:val="0"/>
            </w:rPr>
            <w:t xml:space="preserve">(2022)</w:t>
          </w:r>
        </w:sdtContent>
      </w:sdt>
      <w:r>
        <w:rPr>
          <w:rtl w:val="0"/>
        </w:rPr>
        <w:t xml:space="preserve"> map the state of explainable AI in education and identify six recurring stakeholder groups, including learners, teachers, and administrators, whose explanation needs differ structurally. Their analysis reinforces this study's central design proposition by showing that a single, undifferentiated explanation view is unlikely to serve any of these groups well. </w:t>
      </w:r>
      <w:r>
        <w:rPr>
          <w:rtl w:val="0"/>
        </w:rPr>
        <w:t xml:space="preserve">Conati et al. </w:t>
      </w:r>
      <w:sdt>
        <w:sdtPr>
          <w:rPr>
            <w:rtl w:val="0"/>
          </w:rPr>
          <w:tag w:val="MENDELEY_CITATION_v3_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"/>
          <w:id w:val="-808672358"/>
        </w:sdtPr>
        <w:sdtContent>
          <w:r>
            <w:rPr>
              <w:rtl w:val="0"/>
            </w:rPr>
            <w:t xml:space="preserve">(2021)</w:t>
          </w:r>
        </w:sdtContent>
      </w:sdt>
      <w:r>
        <w:rPr>
          <w:rtl w:val="0"/>
        </w:rPr>
        <w:t xml:space="preserve"> provide empirical support for a personalised approach through a case study within an intelligent tutoring system, demonstrating that learners with different levels of prior knowledge derive substantially different value from the same underlying explanations. These findings provide empirical support for designing explanations according to the needs of different users.</w:t>
      </w:r>
    </w:p>
    <w:p w:rsidR="00000000" w:rsidDel="00000000" w:rsidP="00000000" w:rsidRDefault="00000000" w:rsidRPr="00000000" w14:paraId="000000B3">
      <w:pPr>
        <w:spacing w:after="200" w:lineRule="auto"/>
        <w:jc w:val="both"/>
        <w:rPr/>
      </w:pPr>
      <w:r>
        <w:rPr>
          <w:rtl w:val="0"/>
        </w:rPr>
        <w:t xml:space="preserve">Counterfactual explanations have also emerged as an increasingly important complement to feature-attribution methods such as SHAP and LIME. </w:t>
      </w:r>
      <w:r>
        <w:rPr>
          <w:rtl w:val="0"/>
        </w:rPr>
        <w:t xml:space="preserve">Wachter et al. </w:t>
      </w:r>
      <w:sdt>
        <w:sdtPr>
          <w:rPr>
            <w:rtl w:val="0"/>
          </w:rPr>
          <w:tag w:val="MENDELEY_CITATION_v3_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"/>
          <w:id w:val="643721358"/>
        </w:sdtPr>
        <w:sdtContent>
          <w:r>
            <w:rPr>
              <w:rtl w:val="0"/>
            </w:rPr>
            <w:t xml:space="preserve">(2018)</w:t>
          </w:r>
        </w:sdtContent>
      </w:sdt>
      <w:r>
        <w:rPr>
          <w:rtl w:val="0"/>
        </w:rPr>
        <w:t xml:space="preserve"> argue that counterfactuals answer what would have to change for a prediction to differ, which is precisely what a practitioner facing an intervention decision needs to know. </w:t>
      </w:r>
      <w:r>
        <w:rPr>
          <w:rtl w:val="0"/>
        </w:rPr>
        <w:t xml:space="preserve">Susnjak et al. </w:t>
      </w:r>
      <w:sdt>
        <w:sdtPr>
          <w:rPr>
            <w:rtl w:val="0"/>
          </w:rPr>
          <w:tag w:val="MENDELEY_CITATION_v3_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"/>
          <w:id w:val="75487668"/>
        </w:sdtPr>
        <w:sdtContent>
          <w:r>
            <w:rPr>
              <w:rtl w:val="0"/>
            </w:rPr>
            <w:t xml:space="preserve">(2022)</w:t>
          </w:r>
        </w:sdtContent>
      </w:sdt>
      <w:r>
        <w:rPr>
          <w:rtl w:val="0"/>
        </w:rPr>
        <w:t xml:space="preserve"> integrate counterfactual reasoning into a learner-facing dashboard that was trialled in a university setting, but their design addresses a single stakeholder group. The literature therefore shows that counterfactual explanations are technically useful in education, but their presentation for different stakeholder roles remains underexplored.</w:t>
      </w:r>
    </w:p>
    <w:p w:rsidR="00000000" w:rsidDel="00000000" w:rsidP="00000000" w:rsidRDefault="00000000" w:rsidRPr="00000000" w14:paraId="000000B4">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B5">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w:t>
      </w:r>
      <w:r>
        <w:rPr>
          <w:rtl w:val="0"/>
        </w:rPr>
        <w:t xml:space="preserve">Susnjak et al. </w:t>
      </w:r>
      <w:sdt>
        <w:sdtPr>
          <w:rPr>
            <w:rtl w:val="0"/>
          </w:rPr>
          <w:tag w:val="MENDELEY_CITATION_v3_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"/>
          <w:id w:val="-1627774569"/>
        </w:sdtPr>
        <w:sdtContent>
          <w:r>
            <w:rPr>
              <w:rtl w:val="0"/>
            </w:rPr>
            <w:t xml:space="preserve">(2022)</w:t>
          </w:r>
        </w:sdtContent>
      </w:sdt>
      <w:r>
        <w:rPr>
          <w:rtl w:val="0"/>
        </w:rPr>
        <w:t xml:space="preserve">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w:t>
      </w:r>
      <w:r>
        <w:rPr>
          <w:rtl w:val="0"/>
        </w:rPr>
        <w:t xml:space="preserve">Chavan and Mitra </w:t>
      </w:r>
      <w:sdt>
        <w:sdtPr>
          <w:rPr>
            <w:rtl w:val="0"/>
          </w:rPr>
          <w:tag w:val="MENDELEY_CITATION_v3_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"/>
          <w:id w:val="-1182415921"/>
        </w:sdtPr>
        <w:sdtContent>
          <w:r>
            <w:rPr>
              <w:rtl w:val="0"/>
            </w:rPr>
            <w:t xml:space="preserve">(2022)</w:t>
          </w:r>
        </w:sdtContent>
      </w:sdt>
      <w:r>
        <w:rPr>
          <w:rtl w:val="0"/>
        </w:rPr>
        <w:t xml:space="preserve">,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B6">
      <w:pPr>
        <w:spacing w:after="200" w:lineRule="auto"/>
        <w:jc w:val="both"/>
        <w:rPr/>
      </w:pPr>
      <w:r>
        <w:rPr>
          <w:rtl w:val="0"/>
        </w:rPr>
        <w:t xml:space="preserve">Kaliisa and Dolonen </w:t>
      </w:r>
      <w:sdt>
        <w:sdtPr>
          <w:rPr>
            <w:rtl w:val="0"/>
          </w:rPr>
          <w:tag w:val="MENDELEY_CITATION_v3_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"/>
          <w:id w:val="-695417189"/>
        </w:sdtPr>
        <w:sdtContent>
          <w:r>
            <w:rPr>
              <w:rtl w:val="0"/>
            </w:rPr>
            <w:t xml:space="preserve">(2023)</w:t>
          </w:r>
        </w:sdtContent>
      </w:sdt>
      <w:r>
        <w:rPr>
          <w:rtl w:val="0"/>
        </w:rPr>
        <w:t xml:space="preserve"> evaluate a teacher-facing LA dashboard through ten semi-structured interviews and find that instructors prioritise summary-level alerts over granular statistical breakdowns, a finding that has direct implications for how the instructor interface of the present study should be designed. </w:t>
      </w:r>
      <w:r>
        <w:rPr>
          <w:rtl w:val="0"/>
        </w:rPr>
        <w:t xml:space="preserve">Kaliisa et al. </w:t>
      </w:r>
      <w:sdt>
        <w:sdtPr>
          <w:rPr>
            <w:rtl w:val="0"/>
          </w:rPr>
          <w:tag w:val="MENDELEY_CITATION_v3_eyJjaXRhdGlvbklEIjogIk1FTkRFTEVZX0NJVEFUSU9OX2MxMTFkM2FmLTUxN2ItNTA2Yy05MzVhLWExMjY3MDg3ZmIwZC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1201657162"/>
        </w:sdtPr>
        <w:sdtContent>
          <w:r>
            <w:rPr>
              <w:rtl w:val="0"/>
            </w:rPr>
            <w:t xml:space="preserve">(2023)</w:t>
          </w:r>
        </w:sdtContent>
      </w:sdt>
      <w:r>
        <w:rPr>
          <w:rtl w:val="0"/>
        </w:rPr>
        <w:t xml:space="preserve"> contribute a four-dimensional design checklist covering purpose, stakeholder involvement, design, and evaluation that guided this study's dashboard development methodology. In a recent systematic review of AI-powered learning analytics dashboards, </w:t>
      </w:r>
      <w:r>
        <w:rPr>
          <w:rtl w:val="0"/>
        </w:rPr>
        <w:t xml:space="preserve">Cabral et al. </w:t>
      </w:r>
      <w:sdt>
        <w:sdtPr>
          <w:rPr>
            <w:rtl w:val="0"/>
          </w:rPr>
          <w:tag w:val="MENDELEY_CITATION_v3_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"/>
          <w:id w:val="563082934"/>
        </w:sdtPr>
        <w:sdtContent>
          <w:r>
            <w:rPr>
              <w:rtl w:val="0"/>
            </w:rPr>
            <w:t xml:space="preserve">(2025)</w:t>
          </w:r>
        </w:sdtContent>
      </w:sdt>
      <w:r>
        <w:rPr>
          <w:rtl w:val="0"/>
        </w:rPr>
        <w:t xml:space="preserve"> identify limited XAI integration as one of the most persistent research gaps in the field, noting that XAI components are absent from most of the reviewed dashboards. </w:t>
      </w:r>
      <w:r>
        <w:rPr>
          <w:rtl w:val="0"/>
        </w:rPr>
        <w:t xml:space="preserve">Kaliisa et al. </w:t>
      </w:r>
      <w:sdt>
        <w:sdtPr>
          <w:rPr>
            <w:rtl w:val="0"/>
          </w:rPr>
          <w:tag w:val="MENDELEY_CITATION_v3_eyJjaXRhdGlvbklEIjogIk1FTkRFTEVZX0NJVEFUSU9OX2Y0MjY4ODI5LWMyNjgtNTBmYS04NDc0LTg3MGViMTcxYjYyOC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1164186156"/>
        </w:sdtPr>
        <w:sdtContent>
          <w:r>
            <w:rPr>
              <w:rtl w:val="0"/>
            </w:rPr>
            <w:t xml:space="preserve">(2023)</w:t>
          </w:r>
        </w:sdtContent>
      </w:sdt>
      <w:r>
        <w:rPr>
          <w:rtl w:val="0"/>
        </w:rPr>
        <w:t xml:space="preserve"> further report that teachers who take part in designing teacher-facing dashboards tend to contribute early, while the problem is still being defined, and are rarely consulted at later stages, which risks producing designs that do not fully reflect the needs of the practitioners they are intended to serve.</w:t>
      </w:r>
    </w:p>
    <w:p w:rsidR="00000000" w:rsidDel="00000000" w:rsidP="00000000" w:rsidRDefault="00000000" w:rsidRPr="00000000" w14:paraId="000000B7">
      <w:pPr>
        <w:spacing w:after="200" w:lineRule="auto"/>
        <w:jc w:val="both"/>
        <w:rPr/>
      </w:pPr>
      <w:r>
        <w:rPr>
          <w:rtl w:val="0"/>
        </w:rPr>
        <w:t xml:space="preserve">The studies reviewed above form part of a longer effort to understand and organise the design of learning analytics dashboards. </w:t>
      </w:r>
      <w:r>
        <w:rPr>
          <w:rtl w:val="0"/>
        </w:rPr>
        <w:t xml:space="preserve">Schwendimann et al. </w:t>
      </w:r>
      <w:sdt>
        <w:sdtPr>
          <w:rPr>
            <w:rtl w:val="0"/>
          </w:rPr>
          <w:tag w:val="MENDELEY_CITATION_v3_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"/>
          <w:id w:val="1741265702"/>
        </w:sdtPr>
        <w:sdtContent>
          <w:r>
            <w:rPr>
              <w:rtl w:val="0"/>
            </w:rPr>
            <w:t xml:space="preserve">(2017)</w:t>
          </w:r>
        </w:sdtContent>
      </w:sdt>
      <w:r>
        <w:rPr>
          <w:rtl w:val="0"/>
        </w:rPr>
        <w:t xml:space="preserve">, in a systematic review of 55 dashboards, propose a taxonomy that distinguishes dashboards by their data sources, intended users, indicators, and visualisation styles, and note that only a small proportion of reviewed systems were grounded in explicit theories of learning or decision-making. </w:t>
      </w:r>
      <w:r>
        <w:rPr>
          <w:rtl w:val="0"/>
        </w:rPr>
        <w:t xml:space="preserve">Bodily and Verbert </w:t>
      </w:r>
      <w:sdt>
        <w:sdtPr>
          <w:rPr>
            <w:rtl w:val="0"/>
          </w:rPr>
          <w:tag w:val="MENDELEY_CITATION_v3_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"/>
          <w:id w:val="1544622273"/>
        </w:sdtPr>
        <w:sdtContent>
          <w:r>
            <w:rPr>
              <w:rtl w:val="0"/>
            </w:rPr>
            <w:t xml:space="preserve">(2017)</w:t>
          </w:r>
        </w:sdtContent>
      </w:sdt>
      <w:r>
        <w:rPr>
          <w:rtl w:val="0"/>
        </w:rPr>
        <w:t xml:space="preserve"> offer a complementary review focused on student-facing dashboards and educational recommender systems, and observe that the field has developed rich technical methods for surfacing behavioural indicators while making comparatively little progress on how intended users should interpret those indicators. Together with the more recent review by </w:t>
      </w:r>
      <w:r>
        <w:rPr>
          <w:rtl w:val="0"/>
        </w:rPr>
        <w:t xml:space="preserve">Cabral et al. </w:t>
      </w:r>
      <w:sdt>
        <w:sdtPr>
          <w:rPr>
            <w:rtl w:val="0"/>
          </w:rPr>
          <w:tag w:val="MENDELEY_CITATION_v3_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"/>
          <w:id w:val="-1125261523"/>
        </w:sdtPr>
        <w:sdtContent>
          <w:r>
            <w:rPr>
              <w:rtl w:val="0"/>
            </w:rPr>
            <w:t xml:space="preserve">(2025)</w:t>
          </w:r>
        </w:sdtContent>
      </w:sdt>
      <w:r>
        <w:rPr>
          <w:rtl w:val="0"/>
        </w:rPr>
        <w:t xml:space="preserve">, these earlier reviews show that explaining analytical outputs has remained a limitation in dashboard research.</w:t>
      </w:r>
    </w:p>
    <w:p w:rsidR="00000000" w:rsidDel="00000000" w:rsidP="00000000" w:rsidRDefault="00000000" w:rsidRPr="00000000" w14:paraId="000000B8">
      <w:pPr>
        <w:spacing w:after="200" w:lineRule="auto"/>
        <w:jc w:val="both"/>
        <w:rPr/>
      </w:pPr>
      <w:r>
        <w:rPr>
          <w:rtl w:val="0"/>
        </w:rPr>
        <w:t xml:space="preserve">Empirical studies of dashboard effectiveness have reported similar limitations. </w:t>
      </w:r>
      <w:r>
        <w:rPr>
          <w:rtl w:val="0"/>
        </w:rPr>
        <w:t xml:space="preserve">Matcha et al. </w:t>
      </w:r>
      <w:sdt>
        <w:sdtPr>
          <w:rPr>
            <w:rtl w:val="0"/>
          </w:rPr>
          <w:tag w:val="MENDELEY_CITATION_v3_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"/>
          <w:id w:val="725754023"/>
        </w:sdtPr>
        <w:sdtContent>
          <w:r>
            <w:rPr>
              <w:rtl w:val="0"/>
            </w:rPr>
            <w:t xml:space="preserve">(2020)</w:t>
          </w:r>
        </w:sdtContent>
      </w:sdt>
      <w:r>
        <w:rPr>
          <w:rtl w:val="0"/>
        </w:rPr>
        <w:t xml:space="preserve"> synthesise findings from 21 empirical studies of learning analytics dashboards through a self-regulated learning lens and report that most systems are neither theoretically grounded nor evaluated against learning outcomes, with most studies limited to usability measurement or short-term satisfaction surveys. </w:t>
      </w:r>
      <w:r>
        <w:rPr>
          <w:rtl w:val="0"/>
        </w:rPr>
        <w:t xml:space="preserve">Sedrakyan et al. </w:t>
      </w:r>
      <w:sdt>
        <w:sdtPr>
          <w:rPr>
            <w:rtl w:val="0"/>
          </w:rPr>
          <w:tag w:val="MENDELEY_CITATION_v3_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"/>
          <w:id w:val="-117377031"/>
        </w:sdtPr>
        <w:sdtContent>
          <w:r>
            <w:rPr>
              <w:rtl w:val="0"/>
            </w:rPr>
            <w:t xml:space="preserve">(2020)</w:t>
          </w:r>
        </w:sdtContent>
      </w:sdt>
      <w:r>
        <w:rPr>
          <w:rtl w:val="0"/>
        </w:rPr>
        <w:t xml:space="preserve"> argue that this limited evaluation is partly related to treating dashboards as reporting tools rather than as part of a wider feedback process, and they call for designs that explicitly model how analytical outputs enter the practitioner's decision-making process. The study responds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B9">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BA">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w:t>
      </w:r>
      <w:r>
        <w:rPr>
          <w:rtl w:val="0"/>
        </w:rPr>
        <w:t xml:space="preserve">Schreiber et al. </w:t>
      </w:r>
      <w:sdt>
        <w:sdtPr>
          <w:rPr>
            <w:rtl w:val="0"/>
          </w:rPr>
          <w:tag w:val="MENDELEY_CITATION_v3_eyJjaXRhdGlvbklEIjogIk1FTkRFTEVZX0NJVEFUSU9OXzU1YjY1OTg5LWRjM2ItNTAyNS1hNzdmLWI5ZmU2NjBkZDgyOCIsICJwcm9wZXJ0aWVzIjogeyJub3RlSW5kZXgiOiAwfSwgImlzRWRpdGVkIjogZmFsc2UsICJtYW51YWxPdmVycmlkZSI6IHsiaXNNYW51YWxseU92ZXJyaWRkZW4iOiBmYWxzZSwgImNpdGVwcm9jVGV4dCI6ICIo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UsICJzdXBwcmVzcy1hdXRob3IiOiB0cnVlfV19"/>
          <w:id w:val="1222431135"/>
        </w:sdtPr>
        <w:sdtContent>
          <w:r>
            <w:rPr>
              <w:rtl w:val="0"/>
            </w:rPr>
            <w:t xml:space="preserve">(2000)</w:t>
          </w:r>
        </w:sdtContent>
      </w:sdt>
      <w:r>
        <w:rPr>
          <w:rtl w:val="0"/>
        </w:rPr>
        <w:t xml:space="preserve"> and developed further by </w:t>
      </w:r>
      <w:r>
        <w:rPr>
          <w:rtl w:val="0"/>
        </w:rPr>
        <w:t xml:space="preserve">Studer et al. </w:t>
      </w:r>
      <w:sdt>
        <w:sdtPr>
          <w:rPr>
            <w:rtl w:val="0"/>
          </w:rPr>
          <w:tag w:val="MENDELEY_CITATION_v3_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"/>
          <w:id w:val="1320689565"/>
        </w:sdtPr>
        <w:sdtContent>
          <w:r>
            <w:rPr>
              <w:rtl w:val="0"/>
            </w:rPr>
            <w:t xml:space="preserve">(1998)</w:t>
          </w:r>
        </w:sdtContent>
      </w:sdt>
      <w:r>
        <w:rPr>
          <w:rtl w:val="0"/>
        </w:rPr>
        <w:t xml:space="preserve">, provides one of the clearest theoretical foundations for this approach by treating agents, their tasks, and the knowledge they require as distinct modelling artefacts. Applied to learning analytics, this perspective suggests that each interface should be designed around the tasks and knowledge of its intended role, rather than using the same template for all users. This modelling stance is adopted throughout this study.</w:t>
      </w:r>
    </w:p>
    <w:p w:rsidR="00000000" w:rsidDel="00000000" w:rsidP="00000000" w:rsidRDefault="00000000" w:rsidRPr="00000000" w14:paraId="000000BB">
      <w:pPr>
        <w:spacing w:after="200" w:lineRule="auto"/>
        <w:jc w:val="both"/>
        <w:rPr/>
      </w:pPr>
      <w:r>
        <w:rPr>
          <w:rtl w:val="0"/>
        </w:rPr>
        <w:t xml:space="preserve">Human-centred XAI research supports this principle from another perspective. </w:t>
      </w:r>
      <w:r>
        <w:rPr>
          <w:rtl w:val="0"/>
        </w:rPr>
        <w:t xml:space="preserve">Liao and Varshney </w:t>
      </w:r>
      <w:sdt>
        <w:sdtPr>
          <w:rPr>
            <w:rtl w:val="0"/>
          </w:rPr>
          <w:tag w:val="MENDELEY_CITATION_v3_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"/>
          <w:id w:val="-1329679265"/>
        </w:sdtPr>
        <w:sdtContent>
          <w:r>
            <w:rPr>
              <w:rtl w:val="0"/>
            </w:rPr>
            <w:t xml:space="preserve">(2022)</w:t>
          </w:r>
        </w:sdtContent>
      </w:sdt>
      <w:r>
        <w:rPr>
          <w:rtl w:val="0"/>
        </w:rPr>
        <w:t xml:space="preserve"> and </w:t>
      </w:r>
      <w:r>
        <w:rPr>
          <w:rtl w:val="0"/>
        </w:rPr>
        <w:t xml:space="preserve">Ehsan et al. </w:t>
      </w:r>
      <w:sdt>
        <w:sdtPr>
          <w:rPr>
            <w:rtl w:val="0"/>
          </w:rPr>
          <w:tag w:val="MENDELEY_CITATION_v3_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"/>
          <w:id w:val="-296132909"/>
        </w:sdtPr>
        <w:sdtContent>
          <w:r>
            <w:rPr>
              <w:rtl w:val="0"/>
            </w:rPr>
            <w:t xml:space="preserve">(2021)</w:t>
          </w:r>
        </w:sdtContent>
      </w:sdt>
      <w:r>
        <w:rPr>
          <w:rtl w:val="0"/>
        </w:rPr>
        <w:t xml:space="preserve"> argue that an explanation's effectiveness depends on the fit between the explanation content, the recipient's expertise, and the decision they are trying to make, and that generic explanations tend to satisfy no one particularly well. </w:t>
      </w:r>
      <w:r>
        <w:rPr>
          <w:rtl w:val="0"/>
        </w:rPr>
        <w:t xml:space="preserve">Kouki et al. </w:t>
      </w:r>
      <w:sdt>
        <w:sdtPr>
          <w:rPr>
            <w:rtl w:val="0"/>
          </w:rPr>
          <w:tag w:val="MENDELEY_CITATION_v3_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"/>
          <w:id w:val="-328227311"/>
        </w:sdtPr>
        <w:sdtContent>
          <w:r>
            <w:rPr>
              <w:rtl w:val="0"/>
            </w:rPr>
            <w:t xml:space="preserve">(2020)</w:t>
          </w:r>
        </w:sdtContent>
      </w:sdt>
      <w:r>
        <w:rPr>
          <w:rtl w:val="0"/>
        </w:rPr>
        <w:t xml:space="preserve">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BC">
      <w:pPr>
        <w:spacing w:after="200" w:lineRule="auto"/>
        <w:jc w:val="both"/>
        <w:rPr/>
      </w:pPr>
      <w:r>
        <w:rPr>
          <w:rtl w:val="0"/>
        </w:rPr>
        <w:t xml:space="preserve">Empirical work within learning analytics has begun to converge on similar conclusions. </w:t>
      </w:r>
      <w:r>
        <w:rPr>
          <w:rtl w:val="0"/>
        </w:rPr>
        <w:t xml:space="preserve">Kaliisa et al. </w:t>
      </w:r>
      <w:sdt>
        <w:sdtPr>
          <w:rPr>
            <w:rtl w:val="0"/>
          </w:rPr>
          <w:tag w:val="MENDELEY_CITATION_v3_eyJjaXRhdGlvbklEIjogIk1FTkRFTEVZX0NJVEFUSU9OXzNmNDQzNTY0LWE0MTktNTY5My1iZDI3LWM3NGJjNzUxM2ZlNS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983873306"/>
        </w:sdtPr>
        <w:sdtContent>
          <w:r>
            <w:rPr>
              <w:rtl w:val="0"/>
            </w:rPr>
            <w:t xml:space="preserve">(2023)</w:t>
          </w:r>
        </w:sdtContent>
      </w:sdt>
      <w:r>
        <w:rPr>
          <w:rtl w:val="0"/>
        </w:rPr>
        <w:t xml:space="preserve"> argue that dashboard design must move beyond a single archetypal user and explicitly engage with the plurality of stakeholders whose decisions the system will inform. </w:t>
      </w:r>
      <w:r>
        <w:rPr>
          <w:rtl w:val="0"/>
        </w:rPr>
        <w:t xml:space="preserve">Gutiérrez et al. </w:t>
      </w:r>
      <w:sdt>
        <w:sdtPr>
          <w:rPr>
            <w:rtl w:val="0"/>
          </w:rPr>
          <w:tag w:val="MENDELEY_CITATION_v3_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"/>
          <w:id w:val="-1724782098"/>
        </w:sdtPr>
        <w:sdtContent>
          <w:r>
            <w:rPr>
              <w:rtl w:val="0"/>
            </w:rPr>
            <w:t xml:space="preserve">(2020)</w:t>
          </w:r>
        </w:sdtContent>
      </w:sdt>
      <w:r>
        <w:rPr>
          <w:rtl w:val="0"/>
        </w:rPr>
        <w:t xml:space="preserve">, in an evaluation of the LADA advising dashboard, demonstrate that even a single stakeholder role encompasses substantial variation in information needs, with senior advisors preferring cohort-level views and less experienced advisors relying more heavily on individual case detail. </w:t>
      </w:r>
      <w:r>
        <w:rPr>
          <w:rtl w:val="0"/>
        </w:rPr>
        <w:t xml:space="preserve">Kaliisa et al. </w:t>
      </w:r>
      <w:sdt>
        <w:sdtPr>
          <w:rPr>
            <w:rtl w:val="0"/>
          </w:rPr>
          <w:tag w:val="MENDELEY_CITATION_v3_eyJjaXRhdGlvbklEIjogIk1FTkRFTEVZX0NJVEFUSU9OX2ZkODQwZGU4LWE5YjAtNTVjNS1hNTI2LWQxZGI0NTM5NTdlMC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1553371742"/>
        </w:sdtPr>
        <w:sdtContent>
          <w:r>
            <w:rPr>
              <w:rtl w:val="0"/>
            </w:rPr>
            <w:t xml:space="preserve">(2023)</w:t>
          </w:r>
        </w:sdtContent>
      </w:sdt>
      <w:r>
        <w:rPr>
          <w:rtl w:val="0"/>
        </w:rPr>
        <w:t xml:space="preserve"> bring these issues together in a checklist covering stakeholder involvement, design, and evaluation. This checklist informs both the design and evaluation of the present study.</w:t>
      </w:r>
    </w:p>
    <w:p w:rsidR="00000000" w:rsidDel="00000000" w:rsidP="00000000" w:rsidRDefault="00000000" w:rsidRPr="00000000" w14:paraId="000000BD">
      <w:pPr>
        <w:spacing w:after="200" w:lineRule="auto"/>
        <w:jc w:val="both"/>
        <w:rPr/>
      </w:pPr>
      <w:r>
        <w:rPr>
          <w:rtl w:val="0"/>
        </w:rPr>
        <w:t xml:space="preserve">The studies reviewed show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addresses this gap by combining the CommonKADS Agent and Communication Models with the </w:t>
      </w:r>
      <w:r>
        <w:rPr>
          <w:rtl w:val="0"/>
        </w:rPr>
        <w:t xml:space="preserve">Kaliisa et al. </w:t>
      </w:r>
      <w:sdt>
        <w:sdtPr>
          <w:rPr>
            <w:rtl w:val="0"/>
          </w:rPr>
          <w:tag w:val="MENDELEY_CITATION_v3_eyJjaXRhdGlvbklEIjogIk1FTkRFTEVZX0NJVEFUSU9OXzc5OWVkY2RhLTJkOTUtNWQ3My05NzRmLTFiNTg2YTRkODI3ZC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1079512828"/>
        </w:sdtPr>
        <w:sdtContent>
          <w:r>
            <w:rPr>
              <w:rtl w:val="0"/>
            </w:rPr>
            <w:t xml:space="preserve">(2023)</w:t>
          </w:r>
        </w:sdtContent>
      </w:sdt>
      <w:r>
        <w:rPr>
          <w:rtl w:val="0"/>
        </w:rPr>
        <w:t xml:space="preserve"> design checklist. This provides a structured way to move from stakeholder analysis to role-specific interface content.</w:t>
      </w:r>
    </w:p>
    <w:p w:rsidR="00000000" w:rsidDel="00000000" w:rsidP="00000000" w:rsidRDefault="00000000" w:rsidRPr="00000000" w14:paraId="000000BE">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BF">
      <w:pPr>
        <w:spacing w:after="160" w:lineRule="auto"/>
        <w:jc w:val="both"/>
        <w:rPr/>
      </w:pPr>
      <w:r>
        <w:rPr>
          <w:rtl w:val="0"/>
        </w:rPr>
        <w:t xml:space="preserve">The literature reviewed in this chapter identifies a gap at the intersection of student at-risk prediction, explainable AI, and role-aware learning analytics dashboard design. Several specific, interrelated dimensions of this gap warrant more attention and study.</w:t>
      </w:r>
    </w:p>
    <w:p w:rsidR="00000000" w:rsidDel="00000000" w:rsidP="00000000" w:rsidRDefault="00000000" w:rsidRPr="00000000" w14:paraId="000000C0">
      <w:pPr>
        <w:spacing w:after="160" w:lineRule="auto"/>
        <w:jc w:val="both"/>
        <w:rPr/>
      </w:pPr>
      <w:r>
        <w:rPr>
          <w:rtl w:val="0"/>
        </w:rPr>
        <w:t xml:space="preserve">First, although ensemble models have achieved high accuracy on OULAD and similar datasets </w:t>
      </w:r>
      <w:sdt>
        <w:sdtPr>
          <w:rPr>
            <w:rtl w:val="0"/>
          </w:rPr>
          <w:tag w:val="MENDELEY_CITATION_v3_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V9XX0="/>
          <w:id w:val="-220703107"/>
        </w:sdtPr>
        <w:sdtContent>
          <w:r>
            <w:rPr>
              <w:rtl w:val="0"/>
            </w:rPr>
            <w:t xml:space="preserve">(Guevara-Reyes et al., 2025; Jin et al., 2024; Rebelo Marcolino et al., 2025; Wang, 2025)</w:t>
          </w:r>
        </w:sdtContent>
      </w:sdt>
      <w:r>
        <w:rPr>
          <w:rtl w:val="0"/>
        </w:rPr>
        <w:t xml:space="preserve">, the reviewed studies give limited attention to how their predictions are communicated to practitioners. Evaluation in this area remains largely technical, with accuracy, F1-score, and AUC commonly reported, while the interpretability of model outputs receives less attention.</w:t>
      </w:r>
    </w:p>
    <w:p w:rsidR="00000000" w:rsidDel="00000000" w:rsidP="00000000" w:rsidRDefault="00000000" w:rsidRPr="00000000" w14:paraId="000000C1">
      <w:pPr>
        <w:spacing w:after="160" w:lineRule="auto"/>
        <w:jc w:val="both"/>
        <w:rPr/>
      </w:pPr>
      <w:r>
        <w:rPr>
          <w:rtl w:val="0"/>
        </w:rPr>
        <w:t xml:space="preserve">Second, the XAI literature </w:t>
      </w:r>
      <w:sdt>
        <w:sdtPr>
          <w:rPr>
            <w:rtl w:val="0"/>
          </w:rPr>
          <w:tag w:val="MENDELEY_CITATION_v3_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V9XX0="/>
          <w:id w:val="-335515807"/>
        </w:sdtPr>
        <w:sdtContent>
          <w:r>
            <w:rPr>
              <w:rtl w:val="0"/>
            </w:rPr>
            <w:t xml:space="preserve">(including Ali et al., 2023; Barredo Arrieta et al., 2020; Gunasekara &amp; Saarela, 2025; Islam et al., 2025; Nnadi et al., 2024; Salih et al., 2025)</w:t>
          </w:r>
        </w:sdtContent>
      </w:sdt>
      <w:r>
        <w:rPr>
          <w:rtl w:val="0"/>
        </w:rPr>
        <w:t xml:space="preserve"> demonstrates that post-hoc explanation methods can be used in educational settings, but gives less attention to how explanations should differ between institutional stakeholder roles. The only role-specific XAI dashboard identified in the literature reviewed for this study, </w:t>
      </w:r>
      <w:r>
        <w:rPr>
          <w:rtl w:val="0"/>
        </w:rPr>
        <w:t xml:space="preserve">Afzaal et al. </w:t>
      </w:r>
      <w:sdt>
        <w:sdtPr>
          <w:rPr>
            <w:rtl w:val="0"/>
          </w:rPr>
          <w:tag w:val="MENDELEY_CITATION_v3_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"/>
          <w:id w:val="-951141351"/>
        </w:sdtPr>
        <w:sdtContent>
          <w:r>
            <w:rPr>
              <w:rtl w:val="0"/>
            </w:rPr>
            <w:t xml:space="preserve">(2021)</w:t>
          </w:r>
        </w:sdtContent>
      </w:sdt>
      <w:r>
        <w:rPr>
          <w:rtl w:val="0"/>
        </w:rPr>
        <w:t xml:space="preserve">, targets students, not the instructors, advisors, and administrators responsible for institutional intervention decisions.</w:t>
      </w:r>
    </w:p>
    <w:p w:rsidR="00000000" w:rsidDel="00000000" w:rsidP="00000000" w:rsidRDefault="00000000" w:rsidRPr="00000000" w14:paraId="000000C2">
      <w:pPr>
        <w:spacing w:after="160" w:lineRule="auto"/>
        <w:jc w:val="both"/>
        <w:rPr/>
      </w:pPr>
      <w:r>
        <w:rPr>
          <w:rtl w:val="0"/>
        </w:rPr>
        <w:t xml:space="preserve">Thirdly, the dashboard design literature </w:t>
      </w:r>
      <w:sdt>
        <w:sdtPr>
          <w:rPr>
            <w:rtl w:val="0"/>
          </w:rPr>
          <w:tag w:val="MENDELEY_CITATION_v3_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"/>
          <w:id w:val="1817911932"/>
        </w:sdtPr>
        <w:sdtContent>
          <w:r>
            <w:rPr>
              <w:rtl w:val="0"/>
            </w:rPr>
            <w:t xml:space="preserve">(Cabral et al., 2025; Chavan &amp; Mitra, 2022; Kaliisa &amp; Dolonen, 2023; Susnjak et al., 2022)</w:t>
          </w:r>
        </w:sdtContent>
      </w:sdt>
      <w:r>
        <w:rPr>
          <w:rtl w:val="0"/>
        </w:rPr>
        <w:t xml:space="preserve"> consistently demonstrates that existing LADs serve a single stakeholder type or provide undifferentiated, role-agnostic outputs. The literature reviewed in this study did not identify a study that has designed, implemented, and empirically evaluated a dashboard that serves three distinct LMS stakeholder roles (instructors, advisors, and administrators) from a single shared prediction system with role-specific XAI explanations.</w:t>
      </w:r>
    </w:p>
    <w:p w:rsidR="00000000" w:rsidDel="00000000" w:rsidP="00000000" w:rsidRDefault="00000000" w:rsidRPr="00000000" w14:paraId="000000C3">
      <w:pPr>
        <w:spacing w:after="160" w:lineRule="auto"/>
        <w:jc w:val="both"/>
        <w:rPr/>
      </w:pPr>
      <w:r>
        <w:rPr>
          <w:rtl w:val="0"/>
        </w:rPr>
        <w:t xml:space="preserve">The knowledge engineering aspect of XAI dashboard development has also received limited attention. In particular, existing studies have given little attention to how SHAP and LIME outputs can be represented as knowledge and delivered differently to different stakeholder roles. This can be viewed as a knowledge engineering problem. Applying a structured knowledge engineering methodology such as CommonKADS </w:t>
      </w:r>
      <w:sdt>
        <w:sdtPr>
          <w:rPr>
            <w:rtl w:val="0"/>
          </w:rPr>
          <w:tag w:val="MENDELEY_CITATION_v3_eyJjaXRhdGlvbklEIjogIk1FTkRFTEVZX0NJVEFUSU9OXzI0M2QwZmZkLWI0NGItNThmNi04MGM1LTIzY2M4ZWVlYmNmZSIsICJwcm9wZXJ0aWVzIjogeyJub3RlSW5kZXgiOiAwfSwgImlzRWRpdGVkIjogZmFsc2UsICJtYW51YWxPdmVycmlkZSI6IHsiaXNNYW51YWxseU92ZXJyaWRkZW4iOiBmYWxzZSwgImNpdGVwcm9jVGV4dCI6ICIoU2NocmVpYmVyIGV0IGFsLiwg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V9XX0="/>
          <w:id w:val="216145571"/>
        </w:sdtPr>
        <w:sdtContent>
          <w:r>
            <w:rPr>
              <w:rtl w:val="0"/>
            </w:rPr>
            <w:t xml:space="preserve">(Schreiber et al., 2000)</w:t>
          </w:r>
        </w:sdtContent>
      </w:sdt>
      <w:r>
        <w:rPr>
          <w:rtl w:val="0"/>
        </w:rPr>
        <w:t xml:space="preserve"> to this context provides the methodological contribution of the study.</w:t>
      </w:r>
    </w:p>
    <w:p w:rsidR="00000000" w:rsidDel="00000000" w:rsidP="00000000" w:rsidRDefault="00000000" w:rsidRPr="00000000" w14:paraId="000000C4">
      <w:pPr>
        <w:jc w:val="both"/>
        <w:rPr/>
      </w:pPr>
      <w:r>
        <w:rPr>
          <w:rtl w:val="0"/>
        </w:rPr>
        <w:t xml:space="preserve">Finally, the evaluation frameworks used in existing XAI studies </w:t>
      </w:r>
      <w:sdt>
        <w:sdtPr>
          <w:rPr>
            <w:rtl w:val="0"/>
          </w:rPr>
          <w:tag w:val="MENDELEY_CITATION_v3_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"/>
          <w:id w:val="1443227504"/>
        </w:sdtPr>
        <w:sdtContent>
          <w:r>
            <w:rPr>
              <w:rtl w:val="0"/>
            </w:rPr>
            <w:t xml:space="preserve">(Al-Ansari et al., 2024; Kim et al., 2024)</w:t>
          </w:r>
        </w:sdtContent>
      </w:sdt>
      <w:r>
        <w:rPr>
          <w:rtl w:val="0"/>
        </w:rPr>
        <w:t xml:space="preserve"> are largely generic and give limited attention to differences in trust, understanding, and decision quality across LMS stakeholder groups. This study addresses these issues through a technically evaluated artefact and a proposed framework for future expert validation. The dashboard is designed around different stakeholder roles and the CommonKADS knowledge engineering framework.</w:t>
      </w:r>
    </w:p>
    <w:p w:rsidR="00000000" w:rsidDel="00000000" w:rsidP="00000000" w:rsidRDefault="00000000" w:rsidRPr="00000000" w14:paraId="000000C5">
      <w:pPr>
        <w:jc w:val="both"/>
        <w:rPr/>
      </w:pPr>
      <w:r>
        <w:rPr>
          <w:rtl w:val="0"/>
        </w:rPr>
      </w:r>
    </w:p>
    <w:p w:rsidR="00000000" w:rsidDel="00000000" w:rsidP="00000000" w:rsidRDefault="00000000" w:rsidRPr="00000000" w14:paraId="000000C6">
      <w:pPr>
        <w:jc w:val="both"/>
        <w:rPr/>
      </w:pPr>
      <w:r>
        <w:rPr>
          <w:rtl w:val="0"/>
        </w:rPr>
        <w:t xml:space="preserve">Taken together, these five gaps point to a broader problem. Technical, methodological, and evaluation work has often developed separately, and the few studies that combine them generally focus on a single stakeholder group. This study therefore designs the predictive model, explanation layer, role-aware interface, and evaluation framework against a common knowledge engineering specification. Based on these findings, the study extends previous work by bringing these areas together to address a gap that earlier research has given limited attention to.</w:t>
      </w:r>
    </w:p>
    <w:p w:rsidR="00000000" w:rsidDel="00000000" w:rsidP="00000000" w:rsidRDefault="00000000" w:rsidRPr="00000000" w14:paraId="000000C7">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C8">
      <w:pPr>
        <w:jc w:val="both"/>
        <w:rPr/>
      </w:pPr>
      <w:r>
        <w:rPr>
          <w:rtl w:val="0"/>
        </w:rPr>
        <w:t xml:space="preserve">This chapter reviewed research on learning analytics, student at-risk prediction, explainable AI, and learning analytics dashboard design. The review showed how these areas contribute to the problem addressed by this study, while also identifying their limitations.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The review also showed that high predictive accuracy does not necessarily translate into institutional impact. Explanation methods are rarely tailored to different users, and many dashboards continue to focus on a single type of user despite differences in stakeholder information needs.</w:t>
      </w:r>
    </w:p>
    <w:p w:rsidR="00000000" w:rsidDel="00000000" w:rsidP="00000000" w:rsidRDefault="00000000" w:rsidRPr="00000000" w14:paraId="000000C9">
      <w:pPr>
        <w:jc w:val="both"/>
        <w:rPr/>
      </w:pPr>
      <w:r>
        <w:rPr>
          <w:rtl w:val="0"/>
        </w:rPr>
        <w:t xml:space="preserve">The research gap identified above follows from these findings. The remainder of the thesis uses the CommonKADS knowledge engineering framework together with the </w:t>
      </w:r>
      <w:r>
        <w:rPr>
          <w:rtl w:val="0"/>
        </w:rPr>
        <w:t xml:space="preserve">Kaliisa et al. </w:t>
      </w:r>
      <w:sdt>
        <w:sdtPr>
          <w:rPr>
            <w:rtl w:val="0"/>
          </w:rPr>
          <w:tag w:val="MENDELEY_CITATION_v3_eyJjaXRhdGlvbklEIjogIk1FTkRFTEVZX0NJVEFUSU9OXzNhZmZlN2RhLTMwYmEtNTEzYy04NjlhLTQ5NjhhMTEzNDIwNS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2014323587"/>
        </w:sdtPr>
        <w:sdtContent>
          <w:r>
            <w:rPr>
              <w:rtl w:val="0"/>
            </w:rPr>
            <w:t xml:space="preserve">(2023)</w:t>
          </w:r>
        </w:sdtContent>
      </w:sdt>
      <w:r>
        <w:rPr>
          <w:rtl w:val="0"/>
        </w:rPr>
        <w:t xml:space="preserve"> design checklist and the human-centred evaluation framework of </w:t>
      </w:r>
      <w:r>
        <w:rPr>
          <w:rtl w:val="0"/>
        </w:rPr>
        <w:t xml:space="preserve">Kim et al. </w:t>
      </w:r>
      <w:sdt>
        <w:sdtPr>
          <w:rPr>
            <w:rtl w:val="0"/>
          </w:rPr>
          <w:tag w:val="MENDELEY_CITATION_v3_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"/>
          <w:id w:val="1497636773"/>
        </w:sdtPr>
        <w:sdtContent>
          <w:r>
            <w:rPr>
              <w:rtl w:val="0"/>
            </w:rPr>
            <w:t xml:space="preserve">(2024)</w:t>
          </w:r>
        </w:sdtContent>
      </w:sdt>
      <w:r>
        <w:rPr>
          <w:rtl w:val="0"/>
        </w:rPr>
        <w:t xml:space="preserve"> to address these limitations.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CA">
      <w:pPr>
        <w:pStyle w:val="Heading1"/>
        <w:keepNext w:val="0"/>
        <w:keepLines w:val="0"/>
        <w:pageBreakBefore w:val="1"/>
        <w:spacing w:after="240" w:lineRule="auto"/>
        <w:jc w:val="center"/>
        <w:rPr/>
      </w:pPr>
      <w:bookmarkStart w:colFirst="0" w:colLast="0" w:name="_heading=h.a4tu5ijod27s" w:id="22"/>
      <w:bookmarkEnd w:id="22"/>
      <w:r>
        <w:rPr>
          <w:color w:val="000000"/>
          <w:rtl w:val="0"/>
        </w:rPr>
        <w:t xml:space="preserve">CHAPTER 3</w:t>
      </w:r>
      <w:r>
        <w:rPr>
          <w:rtl w:val="0"/>
        </w:rPr>
      </w:r>
    </w:p>
    <w:p w:rsidR="00000000" w:rsidDel="00000000" w:rsidP="00000000" w:rsidRDefault="00000000" w:rsidRPr="00000000" w14:paraId="000000CB">
      <w:pPr>
        <w:pStyle w:val="Heading1"/>
        <w:keepNext w:val="0"/>
        <w:keepLines w:val="0"/>
        <w:spacing w:after="240" w:lineRule="auto"/>
        <w:jc w:val="center"/>
        <w:rPr/>
      </w:pPr>
      <w:bookmarkStart w:colFirst="0" w:colLast="0" w:name="_heading=h.vs65flwzxwoo" w:id="23"/>
      <w:bookmarkEnd w:id="23"/>
      <w:r>
        <w:rPr>
          <w:color w:val="000000"/>
          <w:rtl w:val="0"/>
        </w:rPr>
        <w:t xml:space="preserve">METHODOLOGY</w:t>
      </w:r>
      <w:r>
        <w:rPr>
          <w:rtl w:val="0"/>
        </w:rPr>
      </w:r>
    </w:p>
    <w:p w:rsidR="00000000" w:rsidDel="00000000" w:rsidP="00000000" w:rsidRDefault="00000000" w:rsidRPr="00000000" w14:paraId="000000CC">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rsidR="00000000" w:rsidDel="00000000" w:rsidP="00000000" w:rsidRDefault="00000000" w:rsidRPr="00000000" w14:paraId="000000CD">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CE">
      <w:pPr>
        <w:spacing w:after="160" w:lineRule="auto"/>
        <w:jc w:val="both"/>
        <w:rPr/>
      </w:pPr>
      <w:r>
        <w:rPr>
          <w:rtl w:val="0"/>
        </w:rPr>
        <w:t xml:space="preserve">This study adopts the CommonKADS Knowledge Engineering (KE) methodology as its primary knowledge-engineering and design framework </w:t>
      </w:r>
      <w:sdt>
        <w:sdtPr>
          <w:rPr>
            <w:rtl w:val="0"/>
          </w:rPr>
          <w:tag w:val="MENDELEY_CITATION_v3_eyJjaXRhdGlvbklEIjogIk1FTkRFTEVZX0NJVEFUSU9OX2E5NTk0MTI4LTIyMjYtNThhMy1iOTlhLTk5ZGFhOTBiMzk4OCIsICJwcm9wZXJ0aWVzIjogeyJub3RlSW5kZXgiOiAwfSwgImlzRWRpdGVkIjogZmFsc2UsICJtYW51YWxPdmVycmlkZSI6IHsiaXNNYW51YWxseU92ZXJyaWRkZW4iOiBmYWxzZSwgImNpdGVwcm9jVGV4dCI6ICIoU2NocmVpYmVyIGV0IGFsLiwgMjAwMDsgU3R1ZGVyIGV0IGFsLiwgMTk5O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"/>
          <w:id w:val="-1433182878"/>
        </w:sdtPr>
        <w:sdtContent>
          <w:r>
            <w:rPr>
              <w:rtl w:val="0"/>
            </w:rPr>
            <w:t xml:space="preserve">(Schreiber et al., 2000; Studer et al., 1998)</w:t>
          </w:r>
        </w:sdtContent>
      </w:sdt>
      <w:r>
        <w:rPr>
          <w:rtl w:val="0"/>
        </w:rPr>
        <w:t xml:space="preserve">. CommonKADS was selected because the main design problem in this study is a knowledge engineering problem: how to represent and communicate the knowledge produced by the prediction system. In particular, the study examines how SHAP and LIME explanations can be presented to instructors, advisors, and administrators according to their different information needs. CommonKADS was developed for analysing and designing knowledge-intensive systems </w:t>
      </w:r>
      <w:sdt>
        <w:sdtPr>
          <w:rPr>
            <w:rtl w:val="0"/>
          </w:rPr>
          <w:tag w:val="MENDELEY_CITATION_v3_eyJjaXRhdGlvbklEIjogIk1FTkRFTEVZX0NJVEFUSU9OXzJkYzQwNmVkLTAwNWYtNWNiMS1iOGUyLTQ0YWFiNzUyYzQ1ZCIsICJwcm9wZXJ0aWVzIjogeyJub3RlSW5kZXgiOiAwfSwgImlzRWRpdGVkIjogZmFsc2UsICJtYW51YWxPdmVycmlkZSI6IHsiaXNNYW51YWxseU92ZXJyaWRkZW4iOiBmYWxzZSwgImNpdGVwcm9jVGV4dCI6ICIoU2NocmVpYmVyIGV0IGFsLiwg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V9XX0="/>
          <w:id w:val="-61670889"/>
        </w:sdtPr>
        <w:sdtContent>
          <w:r>
            <w:rPr>
              <w:rtl w:val="0"/>
            </w:rPr>
            <w:t xml:space="preserve">(Schreiber et al., 2000)</w:t>
          </w:r>
        </w:sdtContent>
      </w:sdt>
      <w:r>
        <w:rPr>
          <w:rtl w:val="0"/>
        </w:rPr>
        <w:t xml:space="preserve">. This makes it suitable for the present study, which uses LMS data to generate predictions and XAI explanations for different stakeholder roles.</w:t>
      </w:r>
    </w:p>
    <w:p w:rsidR="00000000" w:rsidDel="00000000" w:rsidP="00000000" w:rsidRDefault="00000000" w:rsidRPr="00000000" w14:paraId="000000CF">
      <w:pPr>
        <w:spacing w:after="160" w:lineRule="auto"/>
        <w:jc w:val="both"/>
        <w:rPr/>
      </w:pPr>
      <w:r>
        <w:rPr>
          <w:rtl w:val="0"/>
        </w:rPr>
        <w:t xml:space="preserve">Schreiber et al. </w:t>
      </w:r>
      <w:sdt>
        <w:sdtPr>
          <w:rPr>
            <w:rtl w:val="0"/>
          </w:rPr>
          <w:tag w:val="MENDELEY_CITATION_v3_eyJjaXRhdGlvbklEIjogIk1FTkRFTEVZX0NJVEFUSU9OX2ExY2IzYjgzLWExMGEtNTNlMS04MDVmLWExZDE0ZmMzZDE2ZiIsICJwcm9wZXJ0aWVzIjogeyJub3RlSW5kZXgiOiAwfSwgImlzRWRpdGVkIjogZmFsc2UsICJtYW51YWxPdmVycmlkZSI6IHsiaXNNYW51YWxseU92ZXJyaWRkZW4iOiBmYWxzZSwgImNpdGVwcm9jVGV4dCI6ICIo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UsICJzdXBwcmVzcy1hdXRob3IiOiB0cnVlfV19"/>
          <w:id w:val="-1895646512"/>
        </w:sdtPr>
        <w:sdtContent>
          <w:r>
            <w:rPr>
              <w:rtl w:val="0"/>
            </w:rPr>
            <w:t xml:space="preserve">(2000)</w:t>
          </w:r>
        </w:sdtContent>
      </w:sdt>
      <w:r>
        <w:rPr>
          <w:rtl w:val="0"/>
        </w:rPr>
        <w:t xml:space="preserve"> structure CommonKADS as six models covering organisational context, tasks, agents, knowledge, communication, and system design. Each model addresses a specific design requirement in this study. For the present study, the Organisation Model captures the institutional context 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each stakeholder role's knowledge, capabilities, and explanation needs, informing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approach bases the dashboard design on the information needs of each stakeholder role rather than assuming that all users require the same information </w:t>
      </w:r>
      <w:sdt>
        <w:sdtPr>
          <w:rPr>
            <w:rtl w:val="0"/>
          </w:rPr>
          <w:tag w:val="MENDELEY_CITATION_v3_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"/>
          <w:id w:val="-519806493"/>
        </w:sdtPr>
        <w:sdtContent>
          <w:r>
            <w:rPr>
              <w:rtl w:val="0"/>
            </w:rPr>
            <w:t xml:space="preserve">(Studer et al., 1998)</w:t>
          </w:r>
        </w:sdtContent>
      </w:sdt>
      <w:r>
        <w:rPr>
          <w:rtl w:val="0"/>
        </w:rPr>
        <w:t xml:space="preserve">. Table 3.1 summarises how each of the six models was instantiated in this study, the evidence it draws on, and the resulting design decision.</w:t>
      </w:r>
    </w:p>
    <w:p w:rsidR="00000000" w:rsidDel="00000000" w:rsidP="00000000" w:rsidRDefault="00000000" w:rsidRPr="00000000" w14:paraId="000000D0">
      <w:pPr>
        <w:spacing w:after="200" w:before="100" w:lineRule="auto"/>
        <w:rPr>
          <w:b w:val="1"/>
          <w:bCs w:val="1"/>
        </w:rPr>
      </w:pPr>
      <w:r>
        <w:rPr>
          <w:i w:val="1"/>
          <w:iCs w:val="1"/>
          <w:sz w:val="20"/>
          <w:szCs w:val="20"/>
          <w:rtl w:val="0"/>
        </w:rPr>
        <w:t xml:space="preserve">Table 3.1. Instantiation of the CommonKADS models in this study.</w:t>
      </w:r>
      <w:r>
        <w:rPr>
          <w:rtl w:val="0"/>
        </w:rPr>
      </w:r>
    </w:p>
    <w:tbl>
      <w:tblPr>
        <w:tblStyle w:val="Table1"/>
        <w:tblW w:w="9360.0" w:type="dxa"/>
        <w:jc w:val="left"/>
        <w:tblLayout w:type="fixed"/>
        <w:tblLook w:val="0600"/>
      </w:tblPr>
      <w:tblGrid>
        <w:gridCol w:w="1750"/>
        <w:gridCol w:w="2700"/>
        <w:gridCol w:w="2500"/>
        <w:gridCol w:w="2410"/>
        <w:tblGridChange w:id="0">
          <w:tblGrid>
            <w:gridCol w:w="1750"/>
            <w:gridCol w:w="2700"/>
            <w:gridCol w:w="2500"/>
            <w:gridCol w:w="241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1">
            <w:pPr>
              <w:spacing w:after="60" w:before="60" w:line="240" w:lineRule="auto"/>
              <w:jc w:val="center"/>
              <w:rPr/>
            </w:pPr>
            <w:r>
              <w:rPr>
                <w:b w:val="1"/>
                <w:bCs w:val="1"/>
                <w:sz w:val="20"/>
                <w:szCs w:val="20"/>
                <w:rtl w:val="0"/>
              </w:rPr>
              <w:t xml:space="preserve">CommonKADS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2">
            <w:pPr>
              <w:spacing w:after="60" w:before="60" w:line="240" w:lineRule="auto"/>
              <w:jc w:val="center"/>
              <w:rPr/>
            </w:pPr>
            <w:r>
              <w:rPr>
                <w:b w:val="1"/>
                <w:bCs w:val="1"/>
                <w:sz w:val="20"/>
                <w:szCs w:val="20"/>
                <w:rtl w:val="0"/>
              </w:rPr>
              <w:t xml:space="preserve">Study-specific instantiation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3">
            <w:pPr>
              <w:spacing w:after="60" w:before="60" w:line="240" w:lineRule="auto"/>
              <w:jc w:val="center"/>
              <w:rPr/>
            </w:pPr>
            <w:r>
              <w:rPr>
                <w:b w:val="1"/>
                <w:bCs w:val="1"/>
                <w:sz w:val="20"/>
                <w:szCs w:val="20"/>
                <w:rtl w:val="0"/>
              </w:rPr>
              <w:t xml:space="preserve">Evidence/source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4">
            <w:pPr>
              <w:spacing w:after="60" w:before="60" w:line="240" w:lineRule="auto"/>
              <w:jc w:val="center"/>
              <w:rPr/>
            </w:pPr>
            <w:r>
              <w:rPr>
                <w:b w:val="1"/>
                <w:bCs w:val="1"/>
                <w:sz w:val="20"/>
                <w:szCs w:val="20"/>
                <w:rtl w:val="0"/>
              </w:rPr>
              <w:t xml:space="preserve">Resulting design decision</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5">
            <w:pPr>
              <w:spacing w:after="60" w:before="60" w:line="240" w:lineRule="auto"/>
              <w:jc w:val="left"/>
              <w:rPr/>
            </w:pPr>
            <w:r>
              <w:rPr>
                <w:sz w:val="20"/>
                <w:szCs w:val="20"/>
                <w:rtl w:val="0"/>
              </w:rPr>
              <w:t xml:space="preserve">Organisation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6">
            <w:pPr>
              <w:spacing w:after="60" w:before="60" w:line="240" w:lineRule="auto"/>
              <w:jc w:val="left"/>
              <w:rPr/>
            </w:pPr>
            <w:r>
              <w:rPr>
                <w:sz w:val="20"/>
                <w:szCs w:val="20"/>
                <w:rtl w:val="0"/>
              </w:rPr>
              <w:t xml:space="preserve">Institutional context of LMS use: how at-risk information reaches instructors, advisors, and administrators, and where that flow breaks down (risk scores without explanation; one view for all roles).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7">
            <w:pPr>
              <w:spacing w:after="60" w:before="60" w:line="240" w:lineRule="auto"/>
              <w:jc w:val="left"/>
              <w:rPr/>
            </w:pPr>
            <w:r>
              <w:rPr>
                <w:sz w:val="20"/>
                <w:szCs w:val="20"/>
                <w:rtl w:val="0"/>
              </w:rPr>
              <w:t xml:space="preserve">Published accounts of learning analytics governance and stakeholder workflows </w:t>
            </w:r>
            <w:sdt>
              <w:sdtPr>
                <w:rPr>
                  <w:sz w:val="20"/>
                  <w:szCs w:val="20"/>
                  <w:rtl w:val="0"/>
                </w:rPr>
                <w:tag w:val="MENDELEY_CITATION_v3_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"/>
                <w:id w:val="2084385608"/>
              </w:sdtPr>
              <w:sdtContent>
                <w:r>
                  <w:rPr>
                    <w:sz w:val="20"/>
                    <w:szCs w:val="20"/>
                    <w:rtl w:val="0"/>
                  </w:rPr>
                  <w:t xml:space="preserve">(Kaliisa et al., 2023; Leitner et al., 2019; Tsai &amp; Gašević, 2017)</w:t>
                </w:r>
              </w:sdtContent>
            </w:sdt>
            <w:r>
              <w:rPr>
                <w:sz w:val="20"/>
                <w:szCs w:val="20"/>
                <w:rtl w:val="0"/>
              </w:rPr>
              <w:t xml:space="preserve">; no organisational study was conducted.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8">
            <w:pPr>
              <w:spacing w:after="60" w:before="60" w:line="240" w:lineRule="auto"/>
              <w:jc w:val="left"/>
              <w:rPr/>
            </w:pPr>
            <w:r>
              <w:rPr>
                <w:sz w:val="20"/>
                <w:szCs w:val="20"/>
                <w:rtl w:val="0"/>
              </w:rPr>
              <w:t xml:space="preserve">Three staff roles are served from one shared prediction system; students are outside the scope of the study.</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9">
            <w:pPr>
              <w:spacing w:after="60" w:before="60" w:line="240" w:lineRule="auto"/>
              <w:jc w:val="left"/>
              <w:rPr/>
            </w:pPr>
            <w:r>
              <w:rPr>
                <w:sz w:val="20"/>
                <w:szCs w:val="20"/>
                <w:rtl w:val="0"/>
              </w:rPr>
              <w:t xml:space="preserve">Task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A">
            <w:pPr>
              <w:spacing w:after="60" w:before="60" w:line="240" w:lineRule="auto"/>
              <w:jc w:val="left"/>
              <w:rPr/>
            </w:pPr>
            <w:r>
              <w:rPr>
                <w:sz w:val="20"/>
                <w:szCs w:val="20"/>
                <w:rtl w:val="0"/>
              </w:rPr>
              <w:t xml:space="preserve">Decomposition into risk assessment, explanation generation, role assignment, and explanation delivery; the intervention decision is left to the human agent.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B">
            <w:pPr>
              <w:spacing w:after="60" w:before="60" w:line="240" w:lineRule="auto"/>
              <w:jc w:val="left"/>
              <w:rPr/>
            </w:pPr>
            <w:r>
              <w:rPr>
                <w:sz w:val="20"/>
                <w:szCs w:val="20"/>
                <w:rtl w:val="0"/>
              </w:rPr>
              <w:t xml:space="preserve">Task decomposition patterns for learning analytics dashboards </w:t>
            </w:r>
            <w:sdt>
              <w:sdtPr>
                <w:rPr>
                  <w:sz w:val="20"/>
                  <w:szCs w:val="20"/>
                  <w:rtl w:val="0"/>
                </w:rPr>
                <w:tag w:val="MENDELEY_CITATION_v3_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"/>
                <w:id w:val="-193237574"/>
              </w:sdtPr>
              <w:sdtContent>
                <w:r>
                  <w:rPr>
                    <w:sz w:val="20"/>
                    <w:szCs w:val="20"/>
                    <w:rtl w:val="0"/>
                  </w:rPr>
                  <w:t xml:space="preserve">(Verbert et al., 2013)</w:t>
                </w:r>
              </w:sdtContent>
            </w:sdt>
            <w:r>
              <w:rPr>
                <w:sz w:val="20"/>
                <w:szCs w:val="20"/>
                <w:rtl w:val="0"/>
              </w:rPr>
              <w:t xml:space="preserv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C">
            <w:pPr>
              <w:spacing w:after="60" w:before="60" w:line="240" w:lineRule="auto"/>
              <w:jc w:val="left"/>
              <w:rPr/>
            </w:pPr>
            <w:r>
              <w:rPr>
                <w:sz w:val="20"/>
                <w:szCs w:val="20"/>
                <w:rtl w:val="0"/>
              </w:rPr>
              <w:t xml:space="preserve">Layered architecture separating data, prediction, explanation, role assignment, and presentation (Section 3.2).</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D">
            <w:pPr>
              <w:spacing w:after="60" w:before="60" w:line="240" w:lineRule="auto"/>
              <w:jc w:val="left"/>
              <w:rPr/>
            </w:pPr>
            <w:r>
              <w:rPr>
                <w:sz w:val="20"/>
                <w:szCs w:val="20"/>
                <w:rtl w:val="0"/>
              </w:rPr>
              <w:t xml:space="preserve">Agent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E">
            <w:pPr>
              <w:spacing w:after="60" w:before="60" w:line="240" w:lineRule="auto"/>
              <w:jc w:val="left"/>
              <w:rPr/>
            </w:pPr>
            <w:r>
              <w:rPr>
                <w:sz w:val="20"/>
                <w:szCs w:val="20"/>
                <w:rtl w:val="0"/>
              </w:rPr>
              <w:t xml:space="preserve">Knowledge, capabilities, and explanation needs of instructors, advisors, and administrators.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F">
            <w:pPr>
              <w:spacing w:after="60" w:before="60" w:line="240" w:lineRule="auto"/>
              <w:jc w:val="left"/>
              <w:rPr/>
            </w:pPr>
            <w:r>
              <w:rPr>
                <w:sz w:val="20"/>
                <w:szCs w:val="20"/>
                <w:rtl w:val="0"/>
              </w:rPr>
              <w:t xml:space="preserve">Published evidence on role-specific explanation needs </w:t>
            </w:r>
            <w:sdt>
              <w:sdtPr>
                <w:rPr>
                  <w:sz w:val="20"/>
                  <w:szCs w:val="20"/>
                  <w:rtl w:val="0"/>
                </w:rPr>
                <w:tag w:val="MENDELEY_CITATION_v3_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"/>
                <w:id w:val="938056394"/>
              </w:sdtPr>
              <w:sdtContent>
                <w:r>
                  <w:rPr>
                    <w:sz w:val="20"/>
                    <w:szCs w:val="20"/>
                    <w:rtl w:val="0"/>
                  </w:rPr>
                  <w:t xml:space="preserve">(Haque et al., 2023; Kostopoulos et al., 2024)</w:t>
                </w:r>
              </w:sdtContent>
            </w:sdt>
            <w:r>
              <w:rPr>
                <w:sz w:val="20"/>
                <w:szCs w:val="20"/>
                <w:rtl w:val="0"/>
              </w:rPr>
              <w:t xml:space="preserve">; populated from literature, not from knowledge elicitation with practitioners.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0">
            <w:pPr>
              <w:spacing w:after="60" w:before="60" w:line="240" w:lineRule="auto"/>
              <w:jc w:val="left"/>
              <w:rPr/>
            </w:pPr>
            <w:r>
              <w:rPr>
                <w:sz w:val="20"/>
                <w:szCs w:val="20"/>
                <w:rtl w:val="0"/>
              </w:rPr>
              <w:t xml:space="preserve">Three role-specific information briefs with individual, caseload, and cohort granularity (Section 3.6, Table 3.2).</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1">
            <w:pPr>
              <w:spacing w:after="60" w:before="60" w:line="240" w:lineRule="auto"/>
              <w:jc w:val="left"/>
              <w:rPr/>
            </w:pPr>
            <w:r>
              <w:rPr>
                <w:sz w:val="20"/>
                <w:szCs w:val="20"/>
                <w:rtl w:val="0"/>
              </w:rPr>
              <w:t xml:space="preserve">Knowledge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2">
            <w:pPr>
              <w:spacing w:after="60" w:before="60" w:line="240" w:lineRule="auto"/>
              <w:jc w:val="left"/>
              <w:rPr/>
            </w:pPr>
            <w:r>
              <w:rPr>
                <w:sz w:val="20"/>
                <w:szCs w:val="20"/>
                <w:rtl w:val="0"/>
              </w:rPr>
              <w:t xml:space="preserve">Domain knowledge for at-risk prediction: behavioural, assessment, and demographic features and their SHAP attributions.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3">
            <w:pPr>
              <w:spacing w:after="60" w:before="60" w:line="240" w:lineRule="auto"/>
              <w:jc w:val="left"/>
              <w:rPr/>
            </w:pPr>
            <w:r>
              <w:rPr>
                <w:sz w:val="20"/>
                <w:szCs w:val="20"/>
                <w:rtl w:val="0"/>
              </w:rPr>
              <w:t xml:space="preserve">OULAD feature taxonomies </w:t>
            </w:r>
            <w:sdt>
              <w:sdtPr>
                <w:rPr>
                  <w:sz w:val="20"/>
                  <w:szCs w:val="20"/>
                  <w:rtl w:val="0"/>
                </w:rPr>
                <w:tag w:val="MENDELEY_CITATION_v3_eyJjaXRhdGlvbklEIjogIk1FTkRFTEVZX0NJVEFUSU9OXzc2ZmQwMWYwLTY5ZDQtNTI5Yi04ZWNjLTM2OGJmMDYyMmZkMyIsICJwcm9wZXJ0aWVzIjogeyJub3RlSW5kZXgiOiAwfSwgImlzRWRpdGVkIjogZmFsc2UsICJtYW51YWxPdmVycmlkZSI6IHsiaXNNYW51YWxseU92ZXJyaWRkZW4iOiBmYWxzZSwgImNpdGVwcm9jVGV4dCI6ICIoSmluIGV0IGFsLiwgMjAyNDsgS3V6aWxlayBldCBhbC4sIDIwMTcpIiwgIm1hbnVhbE92ZXJyaWRlVGV4dCI6ICIifSwgImNpdGF0aW9uSXRlbXMiOiBb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"/>
                <w:id w:val="-1482636329"/>
              </w:sdtPr>
              <w:sdtContent>
                <w:r>
                  <w:rPr>
                    <w:sz w:val="20"/>
                    <w:szCs w:val="20"/>
                    <w:rtl w:val="0"/>
                  </w:rPr>
                  <w:t xml:space="preserve">(Jin et al., 2024; Kuzilek et al., 2017)</w:t>
                </w:r>
              </w:sdtContent>
            </w:sdt>
            <w:r>
              <w:rPr>
                <w:sz w:val="20"/>
                <w:szCs w:val="20"/>
                <w:rtl w:val="0"/>
              </w:rPr>
              <w:t xml:space="preserve">; SHAP </w:t>
            </w:r>
            <w:sdt>
              <w:sdtPr>
                <w:rPr>
                  <w:sz w:val="20"/>
                  <w:szCs w:val="20"/>
                  <w:rtl w:val="0"/>
                </w:rPr>
                <w:tag w:val="MENDELEY_CITATION_v3_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"/>
                <w:id w:val="-873133230"/>
              </w:sdtPr>
              <w:sdtContent>
                <w:r>
                  <w:rPr>
                    <w:sz w:val="20"/>
                    <w:szCs w:val="20"/>
                    <w:rtl w:val="0"/>
                  </w:rPr>
                  <w:t xml:space="preserve">(Lundberg &amp; Lee, 2017)</w:t>
                </w:r>
              </w:sdtContent>
            </w:sdt>
            <w:r>
              <w:rPr>
                <w:sz w:val="20"/>
                <w:szCs w:val="20"/>
                <w:rtl w:val="0"/>
              </w:rPr>
              <w:t xml:space="preserv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4">
            <w:pPr>
              <w:spacing w:after="60" w:before="60" w:line="240" w:lineRule="auto"/>
              <w:jc w:val="left"/>
              <w:rPr/>
            </w:pPr>
            <w:r>
              <w:rPr>
                <w:sz w:val="20"/>
                <w:szCs w:val="20"/>
                <w:rtl w:val="0"/>
              </w:rPr>
              <w:t xml:space="preserve">Engagement, assessment, and demographic feature families with a human-readable feature dictionary (Section 3.4).</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5">
            <w:pPr>
              <w:spacing w:after="60" w:before="60" w:line="240" w:lineRule="auto"/>
              <w:jc w:val="left"/>
              <w:rPr/>
            </w:pPr>
            <w:r>
              <w:rPr>
                <w:sz w:val="20"/>
                <w:szCs w:val="20"/>
                <w:rtl w:val="0"/>
              </w:rPr>
              <w:t xml:space="preserve">Communication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6">
            <w:pPr>
              <w:spacing w:after="60" w:before="60" w:line="240" w:lineRule="auto"/>
              <w:jc w:val="left"/>
              <w:rPr/>
            </w:pPr>
            <w:r>
              <w:rPr>
                <w:sz w:val="20"/>
                <w:szCs w:val="20"/>
                <w:rtl w:val="0"/>
              </w:rPr>
              <w:t xml:space="preserve">Interaction pattern between each role and the system; explanations are selective and phrased for the recipient.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7">
            <w:pPr>
              <w:spacing w:after="60" w:before="60" w:line="240" w:lineRule="auto"/>
              <w:jc w:val="left"/>
              <w:rPr/>
            </w:pPr>
            <w:r>
              <w:rPr>
                <w:sz w:val="20"/>
                <w:szCs w:val="20"/>
                <w:rtl w:val="0"/>
              </w:rPr>
              <w:t xml:space="preserve">Miller </w:t>
            </w:r>
            <w:sdt>
              <w:sdtPr>
                <w:rPr>
                  <w:sz w:val="20"/>
                  <w:szCs w:val="20"/>
                  <w:rtl w:val="0"/>
                </w:rPr>
                <w:tag w:val="MENDELEY_CITATION_v3_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"/>
                <w:id w:val="2013091398"/>
              </w:sdtPr>
              <w:sdtContent>
                <w:r>
                  <w:rPr>
                    <w:sz w:val="20"/>
                    <w:szCs w:val="20"/>
                    <w:rtl w:val="0"/>
                  </w:rPr>
                  <w:t xml:space="preserve">(2019)</w:t>
                </w:r>
              </w:sdtContent>
            </w:sdt>
            <w:r>
              <w:rPr>
                <w:sz w:val="20"/>
                <w:szCs w:val="20"/>
                <w:rtl w:val="0"/>
              </w:rPr>
              <w:t xml:space="preserv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8">
            <w:pPr>
              <w:spacing w:after="60" w:before="60" w:line="240" w:lineRule="auto"/>
              <w:jc w:val="left"/>
              <w:rPr/>
            </w:pPr>
            <w:r>
              <w:rPr>
                <w:sz w:val="20"/>
                <w:szCs w:val="20"/>
                <w:rtl w:val="0"/>
              </w:rPr>
              <w:t xml:space="preserve">Progressive disclosure, side-by-side SHAP and LIME presentation, and role-gated views (Sections 3.5 and 3.6).</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9">
            <w:pPr>
              <w:spacing w:after="60" w:before="60" w:line="240" w:lineRule="auto"/>
              <w:jc w:val="left"/>
              <w:rPr/>
            </w:pPr>
            <w:r>
              <w:rPr>
                <w:sz w:val="20"/>
                <w:szCs w:val="20"/>
                <w:rtl w:val="0"/>
              </w:rPr>
              <w:t xml:space="preserve">Design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A">
            <w:pPr>
              <w:spacing w:after="60" w:before="60" w:line="240" w:lineRule="auto"/>
              <w:jc w:val="left"/>
              <w:rPr/>
            </w:pPr>
            <w:r>
              <w:rPr>
                <w:sz w:val="20"/>
                <w:szCs w:val="20"/>
                <w:rtl w:val="0"/>
              </w:rPr>
              <w:t xml:space="preserve">Mapping of the upstream models onto the technical architecture.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B">
            <w:pPr>
              <w:spacing w:after="60" w:before="60" w:line="240" w:lineRule="auto"/>
              <w:jc w:val="left"/>
              <w:rPr/>
            </w:pPr>
            <w:r>
              <w:rPr>
                <w:sz w:val="20"/>
                <w:szCs w:val="20"/>
                <w:rtl w:val="0"/>
              </w:rPr>
              <w:t xml:space="preserve">Schreiber et al. </w:t>
            </w:r>
            <w:sdt>
              <w:sdtPr>
                <w:rPr>
                  <w:sz w:val="20"/>
                  <w:szCs w:val="20"/>
                  <w:rtl w:val="0"/>
                </w:rPr>
                <w:tag w:val="MENDELEY_CITATION_v3_eyJjaXRhdGlvbklEIjogIk1FTkRFTEVZX0NJVEFUSU9OX2YwZjdkMGM4LTEwNzQtNTU0Zi1hMmY1LTViZTQzNWFiMzc2YyIsICJwcm9wZXJ0aWVzIjogeyJub3RlSW5kZXgiOiAwfSwgImlzRWRpdGVkIjogZmFsc2UsICJtYW51YWxPdmVycmlkZSI6IHsiaXNNYW51YWxseU92ZXJyaWRkZW4iOiBmYWxzZSwgImNpdGVwcm9jVGV4dCI6ICIo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UsICJzdXBwcmVzcy1hdXRob3IiOiB0cnVlfV19"/>
                <w:id w:val="181227024"/>
              </w:sdtPr>
              <w:sdtContent>
                <w:r>
                  <w:rPr>
                    <w:sz w:val="20"/>
                    <w:szCs w:val="20"/>
                    <w:rtl w:val="0"/>
                  </w:rPr>
                  <w:t xml:space="preserve">(2000)</w:t>
                </w:r>
              </w:sdtContent>
            </w:sdt>
            <w:r>
              <w:rPr>
                <w:sz w:val="20"/>
                <w:szCs w:val="20"/>
                <w:rtl w:val="0"/>
              </w:rPr>
              <w:t xml:space="preserve">; the five models above.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C">
            <w:pPr>
              <w:spacing w:after="60" w:before="60" w:line="240" w:lineRule="auto"/>
              <w:jc w:val="left"/>
              <w:rPr/>
            </w:pPr>
            <w:r>
              <w:rPr>
                <w:sz w:val="20"/>
                <w:szCs w:val="20"/>
                <w:rtl w:val="0"/>
              </w:rPr>
              <w:t xml:space="preserve">Five-layer architecture and role-based access control, implemented as described in Chapter 4.</w:t>
            </w:r>
            <w:r>
              <w:rPr>
                <w:rtl w:val="0"/>
              </w:rPr>
            </w:r>
          </w:p>
        </w:tc>
      </w:tr>
    </w:tbl>
    <w:p w:rsidR="00000000" w:rsidDel="00000000" w:rsidP="00000000" w:rsidRDefault="00000000" w:rsidRPr="00000000" w14:paraId="000000ED">
      <w:pPr>
        <w:spacing w:after="120" w:before="120" w:lineRule="auto"/>
        <w:rPr>
          <w:b w:val="1"/>
          <w:bCs w:val="1"/>
        </w:rPr>
      </w:pPr>
      <w:r>
        <w:rPr>
          <w:rtl w:val="0"/>
        </w:rPr>
      </w:r>
    </w:p>
    <w:p w:rsidR="00000000" w:rsidDel="00000000" w:rsidP="00000000" w:rsidRDefault="00000000" w:rsidRPr="00000000" w14:paraId="000000EE">
      <w:pPr>
        <w:jc w:val="center"/>
        <w:rPr/>
      </w:pPr>
      <w:r>
        <w:rPr/>
        <w:drawing>
          <wp:inline distB="0" distT="0" distL="0" distR="0">
            <wp:extent cx="4754880" cy="2493774"/>
            <wp:effectExtent b="0" l="0" r="0" t="0"/>
            <wp:docPr id="9006" name="image2.png"/>
            <a:graphic>
              <a:graphicData uri="http://schemas.openxmlformats.org/drawingml/2006/picture">
                <pic:pic>
                  <pic:nvPicPr>
                    <pic:cNvPr id="0" name="image2.png"/>
                    <pic:cNvPicPr preferRelativeResize="0"/>
                  </pic:nvPicPr>
                  <pic:blipFill>
                    <a:blip r:embed="rId11"/>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EF">
      <w:pPr>
        <w:jc w:val="center"/>
        <w:rPr>
          <w:sz w:val="20"/>
          <w:szCs w:val="20"/>
        </w:rPr>
      </w:pPr>
      <w:r>
        <w:rPr>
          <w:i w:val="1"/>
          <w:iCs w:val="1"/>
          <w:sz w:val="20"/>
          <w:szCs w:val="20"/>
          <w:rtl w:val="0"/>
        </w:rPr>
        <w:t xml:space="preserve">Figure 3.1. CommonKADS six-model suite adopted in this study </w:t>
      </w:r>
      <w:sdt>
        <w:sdtPr>
          <w:rPr>
            <w:i w:val="1"/>
            <w:iCs w:val="1"/>
            <w:sz w:val="20"/>
            <w:szCs w:val="20"/>
            <w:rtl w:val="0"/>
          </w:rPr>
          <w:tag w:val="MENDELEY_CITATION_v3_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"/>
          <w:id w:val="1065046939"/>
        </w:sdtPr>
        <w:sdtContent>
          <w:r>
            <w:rPr>
              <w:i w:val="1"/>
              <w:iCs w:val="1"/>
              <w:sz w:val="20"/>
              <w:szCs w:val="20"/>
              <w:rtl w:val="0"/>
            </w:rPr>
            <w:t xml:space="preserve">(adapted from Schreiber et al., 2000)</w:t>
          </w:r>
        </w:sdtContent>
      </w:sdt>
      <w:r>
        <w:rPr>
          <w:i w:val="1"/>
          <w:iCs w:val="1"/>
          <w:sz w:val="20"/>
          <w:szCs w:val="20"/>
          <w:rtl w:val="0"/>
        </w:rPr>
        <w:t xml:space="preserve">.</w:t>
      </w:r>
      <w:r>
        <w:rPr>
          <w:rtl w:val="0"/>
        </w:rPr>
      </w:r>
    </w:p>
    <w:p w:rsidR="00000000" w:rsidDel="00000000" w:rsidP="00000000" w:rsidRDefault="00000000" w:rsidRPr="00000000" w14:paraId="000000F0">
      <w:pPr>
        <w:jc w:val="center"/>
        <w:rPr>
          <w:sz w:val="20"/>
          <w:szCs w:val="20"/>
        </w:rPr>
      </w:pPr>
      <w:r>
        <w:rPr>
          <w:rtl w:val="0"/>
        </w:rPr>
      </w:r>
    </w:p>
    <w:p w:rsidR="00000000" w:rsidDel="00000000" w:rsidP="00000000" w:rsidRDefault="00000000" w:rsidRPr="00000000" w14:paraId="000000F1">
      <w:pPr>
        <w:spacing w:after="160" w:lineRule="auto"/>
        <w:jc w:val="both"/>
        <w:rPr/>
      </w:pPr>
      <w:r>
        <w:rPr>
          <w:rtl w:val="0"/>
        </w:rPr>
        <w:t xml:space="preserve">In this study, each of the six models is applied to a specific part of the system design rather than used only as a conceptual framework. The Organisation Model was informed by published research on learning analytics governance </w:t>
      </w:r>
      <w:sdt>
        <w:sdtPr>
          <w:rPr>
            <w:rtl w:val="0"/>
          </w:rPr>
          <w:tag w:val="MENDELEY_CITATION_v3_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fV19"/>
          <w:id w:val="-1901960661"/>
        </w:sdtPr>
        <w:sdtContent>
          <w:r>
            <w:rPr>
              <w:rtl w:val="0"/>
            </w:rPr>
            <w:t xml:space="preserve">(Leitner et al., 2019; Tsai &amp; Gašević, 2017)</w:t>
          </w:r>
        </w:sdtContent>
      </w:sdt>
      <w:r>
        <w:rPr>
          <w:rtl w:val="0"/>
        </w:rPr>
        <w:t xml:space="preserve"> and the stakeholder workflows reported by </w:t>
      </w:r>
      <w:r>
        <w:rPr>
          <w:rtl w:val="0"/>
        </w:rPr>
        <w:t xml:space="preserve">Kaliisa et al. </w:t>
      </w:r>
      <w:sdt>
        <w:sdtPr>
          <w:rPr>
            <w:rtl w:val="0"/>
          </w:rPr>
          <w:tag w:val="MENDELEY_CITATION_v3_eyJjaXRhdGlvbklEIjogIk1FTkRFTEVZX0NJVEFUSU9OXzZkZDQ2MDM3LTRiOGUtNWJmZC1iZDM0LWEzNDRiZmE0NzUxZi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361540026"/>
        </w:sdtPr>
        <w:sdtContent>
          <w:r>
            <w:rPr>
              <w:rtl w:val="0"/>
            </w:rPr>
            <w:t xml:space="preserve">(2023)</w:t>
          </w:r>
        </w:sdtContent>
      </w:sdt>
      <w:r>
        <w:rPr>
          <w:rtl w:val="0"/>
        </w:rPr>
        <w:t xml:space="preserve">. It was used to describe how at-risk information currently moves between institutional roles, as set out in the following paragraph. The Task Model draws on the task decomposition proposed by </w:t>
      </w:r>
      <w:r>
        <w:rPr>
          <w:rtl w:val="0"/>
        </w:rPr>
        <w:t xml:space="preserve">Verbert et al. </w:t>
      </w:r>
      <w:sdt>
        <w:sdtPr>
          <w:rPr>
            <w:rtl w:val="0"/>
          </w:rPr>
          <w:tag w:val="MENDELEY_CITATION_v3_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"/>
          <w:id w:val="-1471315227"/>
        </w:sdtPr>
        <w:sdtContent>
          <w:r>
            <w:rPr>
              <w:rtl w:val="0"/>
            </w:rPr>
            <w:t xml:space="preserve">(2013)</w:t>
          </w:r>
        </w:sdtContent>
      </w:sdt>
      <w:r>
        <w:rPr>
          <w:rtl w:val="0"/>
        </w:rPr>
        <w:t xml:space="preserve"> and was extended to include the additional tasks required for post-hoc explanations. The Agent Model is informed by the role-specific information needs identified by </w:t>
      </w:r>
      <w:r>
        <w:rPr>
          <w:rtl w:val="0"/>
        </w:rPr>
        <w:t xml:space="preserve">Kostopoulos et al. </w:t>
      </w:r>
      <w:sdt>
        <w:sdtPr>
          <w:rPr>
            <w:rtl w:val="0"/>
          </w:rPr>
          <w:tag w:val="MENDELEY_CITATION_v3_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"/>
          <w:id w:val="-1349371498"/>
        </w:sdtPr>
        <w:sdtContent>
          <w:r>
            <w:rPr>
              <w:rtl w:val="0"/>
            </w:rPr>
            <w:t xml:space="preserve">(2024)</w:t>
          </w:r>
        </w:sdtContent>
      </w:sdt>
      <w:r>
        <w:rPr>
          <w:rtl w:val="0"/>
        </w:rPr>
        <w:t xml:space="preserve"> and by </w:t>
      </w:r>
      <w:r>
        <w:rPr>
          <w:rtl w:val="0"/>
        </w:rPr>
        <w:t xml:space="preserve">Haque et al. </w:t>
      </w:r>
      <w:sdt>
        <w:sdtPr>
          <w:rPr>
            <w:rtl w:val="0"/>
          </w:rPr>
          <w:tag w:val="MENDELEY_CITATION_v3_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"/>
          <w:id w:val="408172673"/>
        </w:sdtPr>
        <w:sdtContent>
          <w:r>
            <w:rPr>
              <w:rtl w:val="0"/>
            </w:rPr>
            <w:t xml:space="preserve">(2023)</w:t>
          </w:r>
        </w:sdtContent>
      </w:sdt>
      <w:r>
        <w:rPr>
          <w:rtl w:val="0"/>
        </w:rPr>
        <w:t xml:space="preserve">, who synthesise practitioner-facing evidence on how explanation preferences differ by expertise. Because practitioners were not involved in the study, the Agent Model was developed from published literature rather than from direct knowledge elicitation with practitioners, which is the acquisition activity CommonKADS would ordinarily expect </w:t>
      </w:r>
      <w:sdt>
        <w:sdtPr>
          <w:rPr>
            <w:rtl w:val="0"/>
          </w:rPr>
          <w:tag w:val="MENDELEY_CITATION_v3_eyJjaXRhdGlvbklEIjogIk1FTkRFTEVZX0NJVEFUSU9OXzg0NmEyZWFiLWZiODctNTMxNS1hZjU4LThmZTdhMzk1MDU4MiIsICJwcm9wZXJ0aWVzIjogeyJub3RlSW5kZXgiOiAwfSwgImlzRWRpdGVkIjogZmFsc2UsICJtYW51YWxPdmVycmlkZSI6IHsiaXNNYW51YWxseU92ZXJyaWRkZW4iOiBmYWxzZSwgImNpdGVwcm9jVGV4dCI6ICIoU2NocmVpYmVyIGV0IGFsLiwg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V9XX0="/>
          <w:id w:val="-1137290602"/>
        </w:sdtPr>
        <w:sdtContent>
          <w:r>
            <w:rPr>
              <w:rtl w:val="0"/>
            </w:rPr>
            <w:t xml:space="preserve">(Schreiber et al., 2000)</w:t>
          </w:r>
        </w:sdtContent>
      </w:sdt>
      <w:r>
        <w:rPr>
          <w:rtl w:val="0"/>
        </w:rPr>
        <w:t xml:space="preserve">.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w:t>
      </w:r>
      <w:sdt>
        <w:sdtPr>
          <w:rPr>
            <w:rtl w:val="0"/>
          </w:rPr>
          <w:tag w:val="MENDELEY_CITATION_v3_eyJjaXRhdGlvbklEIjogIk1FTkRFTEVZX0NJVEFUSU9OXzQzNWRiNDk0LTcwY2YtNTA4ZS04YmU4LWVkYTlmYjliNzBkMiIsICJwcm9wZXJ0aWVzIjogeyJub3RlSW5kZXgiOiAwfSwgImlzRWRpdGVkIjogZmFsc2UsICJtYW51YWxPdmVycmlkZSI6IHsiaXNNYW51YWxseU92ZXJyaWRkZW4iOiBmYWxzZSwgImNpdGVwcm9jVGV4dCI6ICIoSmluIGV0IGFsLiwgMjAyNDsgS3V6aWxlayBldCBhbC4sIDIwMTcpIiwgIm1hbnVhbE92ZXJyaWRlVGV4dCI6ICIifSwgImNpdGF0aW9uSXRlbXMiOiBb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"/>
          <w:id w:val="405956694"/>
        </w:sdtPr>
        <w:sdtContent>
          <w:r>
            <w:rPr>
              <w:rtl w:val="0"/>
            </w:rPr>
            <w:t xml:space="preserve">(Jin et al., 2024; Kuzilek et al., 2017)</w:t>
          </w:r>
        </w:sdtContent>
      </w:sdt>
      <w:r>
        <w:rPr>
          <w:rtl w:val="0"/>
        </w:rPr>
        <w:t xml:space="preserve"> and integrates them with feature-attribution outputs generated by SHAP </w:t>
      </w:r>
      <w:sdt>
        <w:sdtPr>
          <w:rPr>
            <w:rtl w:val="0"/>
          </w:rPr>
          <w:tag w:val="MENDELEY_CITATION_v3_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"/>
          <w:id w:val="512739685"/>
        </w:sdtPr>
        <w:sdtContent>
          <w:r>
            <w:rPr>
              <w:rtl w:val="0"/>
            </w:rPr>
            <w:t xml:space="preserve">(Lundberg &amp; Lee, 2017)</w:t>
          </w:r>
        </w:sdtContent>
      </w:sdt>
      <w:r>
        <w:rPr>
          <w:rtl w:val="0"/>
        </w:rPr>
        <w:t xml:space="preserve">. The Communication Model draws on </w:t>
      </w:r>
      <w:r>
        <w:rPr>
          <w:rtl w:val="0"/>
        </w:rPr>
        <w:t xml:space="preserve">Miller's </w:t>
      </w:r>
      <w:sdt>
        <w:sdtPr>
          <w:rPr>
            <w:rtl w:val="0"/>
          </w:rPr>
          <w:tag w:val="MENDELEY_CITATION_v3_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"/>
          <w:id w:val="97851029"/>
        </w:sdtPr>
        <w:sdtContent>
          <w:r>
            <w:rPr>
              <w:rtl w:val="0"/>
            </w:rPr>
            <w:t xml:space="preserve">(2019)</w:t>
          </w:r>
        </w:sdtContent>
      </w:sdt>
      <w:r>
        <w:rPr>
          <w:rtl w:val="0"/>
        </w:rPr>
        <w:t xml:space="preserve">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rsidR="00000000" w:rsidDel="00000000" w:rsidP="00000000" w:rsidRDefault="00000000" w:rsidRPr="00000000" w14:paraId="000000F2">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w:t>
      </w:r>
      <w:sdt>
        <w:sdtPr>
          <w:rPr>
            <w:rtl w:val="0"/>
          </w:rPr>
          <w:tag w:val="MENDELEY_CITATION_v3_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"/>
          <w:id w:val="1867049173"/>
        </w:sdtPr>
        <w:sdtContent>
          <w:r>
            <w:rPr>
              <w:rtl w:val="0"/>
            </w:rPr>
            <w:t xml:space="preserve">(Susnjak et al., 2022)</w:t>
          </w:r>
        </w:sdtContent>
      </w:sdt>
      <w:r>
        <w:rPr>
          <w:rtl w:val="0"/>
        </w:rPr>
        <w:t xml:space="preserve">, dashboards are typically designed for a single archetypal user </w:t>
      </w:r>
      <w:sdt>
        <w:sdtPr>
          <w:rPr>
            <w:rtl w:val="0"/>
          </w:rPr>
          <w:tag w:val="MENDELEY_CITATION_v3_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"/>
          <w:id w:val="928536717"/>
        </w:sdtPr>
        <w:sdtContent>
          <w:r>
            <w:rPr>
              <w:rtl w:val="0"/>
            </w:rPr>
            <w:t xml:space="preserve">(Kaliisa et al., 2023)</w:t>
          </w:r>
        </w:sdtContent>
      </w:sdt>
      <w:r>
        <w:rPr>
          <w:rtl w:val="0"/>
        </w:rPr>
        <w:t xml:space="preserve">, and a shortage of practitioner-facing decision support is one of the barriers to institutional adoption </w:t>
      </w:r>
      <w:sdt>
        <w:sdtPr>
          <w:rPr>
            <w:rtl w:val="0"/>
          </w:rPr>
          <w:tag w:val="MENDELEY_CITATION_v3_eyJjaXRhdGlvbklEIjogIk1FTkRFTEVZX0NJVEFUSU9OX2FmYTVjZjYyLWY3OGMtNTlhMy04MDNlLWE4Yjg4ODlmZWFhZiIsICJwcm9wZXJ0aWVzIjogeyJub3RlSW5kZXgiOiAwfSwgImlzRWRpdGVkIjogZmFsc2UsICJtYW51YWxPdmVycmlkZSI6IHsiaXNNYW51YWxseU92ZXJyaWRkZW4iOiBmYWxzZSwgImNpdGVwcm9jVGV4dCI6ICIoVHNhaSAmIEdhxaFldmnEhywg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fV19"/>
          <w:id w:val="-1122335267"/>
        </w:sdtPr>
        <w:sdtContent>
          <w:r>
            <w:rPr>
              <w:rtl w:val="0"/>
            </w:rPr>
            <w:t xml:space="preserve">(Tsai &amp; Gašević, 2017)</w:t>
          </w:r>
        </w:sdtContent>
      </w:sdt>
      <w:r>
        <w:rPr>
          <w:rtl w:val="0"/>
        </w:rPr>
        <w:t xml:space="preserve">. The flow of at-risk information therefore breaks down at two points: when a prediction reaches a practitioner without an explanation they can check against what they know,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each role's decision, while the practitioner retains the intervention decision.</w:t>
      </w:r>
    </w:p>
    <w:p w:rsidR="00000000" w:rsidDel="00000000" w:rsidP="00000000" w:rsidRDefault="00000000" w:rsidRPr="00000000" w14:paraId="000000F3">
      <w:pPr>
        <w:spacing w:after="160" w:lineRule="auto"/>
        <w:jc w:val="both"/>
        <w:rPr/>
      </w:pPr>
      <w:r>
        <w:rPr>
          <w:rtl w:val="0"/>
        </w:rPr>
        <w:t xml:space="preserve">The secondary theoretical lens is the Technology Acceptance Model (TAM) developed by </w:t>
      </w:r>
      <w:r>
        <w:rPr>
          <w:rtl w:val="0"/>
        </w:rPr>
        <w:t xml:space="preserve">Davis </w:t>
      </w:r>
      <w:sdt>
        <w:sdtPr>
          <w:rPr>
            <w:rtl w:val="0"/>
          </w:rPr>
          <w:tag w:val="MENDELEY_CITATION_v3_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"/>
          <w:id w:val="-447596378"/>
        </w:sdtPr>
        <w:sdtContent>
          <w:r>
            <w:rPr>
              <w:rtl w:val="0"/>
            </w:rPr>
            <w:t xml:space="preserve">(1989)</w:t>
          </w:r>
        </w:sdtContent>
      </w:sdt>
      <w:r>
        <w:rPr>
          <w:rtl w:val="0"/>
        </w:rPr>
        <w:t xml:space="preserve">, which frames user adoption of information systems around perceived usefulness and perceived ease of use. TAM </w:t>
      </w:r>
      <w:sdt>
        <w:sdtPr>
          <w:rPr>
            <w:rtl w:val="0"/>
          </w:rPr>
          <w:tag w:val="MENDELEY_CITATION_v3_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"/>
          <w:id w:val="-859006014"/>
        </w:sdtPr>
        <w:sdtContent>
          <w:r>
            <w:rPr>
              <w:rtl w:val="0"/>
            </w:rPr>
            <w:t xml:space="preserve">(Davis, 1989)</w:t>
          </w:r>
        </w:sdtContent>
      </w:sdt>
      <w:r>
        <w:rPr>
          <w:rtl w:val="0"/>
        </w:rPr>
        <w:t xml:space="preserve"> informs the design goals for each role-specific interface, its two core constructs, perceived usefulness and perceived ease of use, providing a simple but well-validated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not as an empirical framework; a TAM-based practitioner evaluation is identified in Chapter 7 as future work. The research proceeds through four iterative phases: knowledge acquisition and organisation analysis; knowledge and system modelling; artefact design and development; and technical evaluation.</w:t>
      </w:r>
    </w:p>
    <w:p w:rsidR="00000000" w:rsidDel="00000000" w:rsidP="00000000" w:rsidRDefault="00000000" w:rsidRPr="00000000" w14:paraId="000000F4">
      <w:pPr>
        <w:spacing w:after="160" w:lineRule="auto"/>
        <w:jc w:val="both"/>
        <w:rPr/>
      </w:pPr>
      <w:r>
        <w:rPr>
          <w:rtl w:val="0"/>
        </w:rPr>
        <w:t xml:space="preserve">The choice of TAM as a secondary lens is deliberate, not incidental. </w:t>
      </w:r>
      <w:r>
        <w:rPr>
          <w:rtl w:val="0"/>
        </w:rPr>
        <w:t xml:space="preserve">Venkatesh and Bala </w:t>
      </w:r>
      <w:sdt>
        <w:sdtPr>
          <w:rPr>
            <w:rtl w:val="0"/>
          </w:rPr>
          <w:tag w:val="MENDELEY_CITATION_v3_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"/>
          <w:id w:val="-1835913341"/>
        </w:sdtPr>
        <w:sdtContent>
          <w:r>
            <w:rPr>
              <w:rtl w:val="0"/>
            </w:rPr>
            <w:t xml:space="preserve">(2008)</w:t>
          </w:r>
        </w:sdtContent>
      </w:sdt>
      <w:r>
        <w:rPr>
          <w:rtl w:val="0"/>
        </w:rPr>
        <w:t xml:space="preserve">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w:t>
      </w:r>
      <w:r>
        <w:rPr>
          <w:rtl w:val="0"/>
        </w:rPr>
        <w:t xml:space="preserve">Marangunić and Granić </w:t>
      </w:r>
      <w:sdt>
        <w:sdtPr>
          <w:rPr>
            <w:rtl w:val="0"/>
          </w:rPr>
          <w:tag w:val="MENDELEY_CITATION_v3_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"/>
          <w:id w:val="2130718029"/>
        </w:sdtPr>
        <w:sdtContent>
          <w:r>
            <w:rPr>
              <w:rtl w:val="0"/>
            </w:rPr>
            <w:t xml:space="preserve">(2015)</w:t>
          </w:r>
        </w:sdtContent>
      </w:sdt>
      <w:r>
        <w:rPr>
          <w:rtl w:val="0"/>
        </w:rPr>
        <w:t xml:space="preserve"> reviewed 85 TAM studies and concluded that the model remains the most consistently supported framework for evaluating information system acceptance across educational and workplace contexts. TAM is therefore used alongside the CommonKADS Agent and Communication Models. TAM contributes the constructs of perceived usefulness and perceived ease of use, while the Agent and Communication Models describe the information needs of each stakeholder role. </w:t>
      </w:r>
      <w:r>
        <w:rPr>
          <w:rtl w:val="0"/>
        </w:rPr>
        <w:t xml:space="preserve">Kim et al. </w:t>
      </w:r>
      <w:sdt>
        <w:sdtPr>
          <w:rPr>
            <w:rtl w:val="0"/>
          </w:rPr>
          <w:tag w:val="MENDELEY_CITATION_v3_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"/>
          <w:id w:val="-1008456529"/>
        </w:sdtPr>
        <w:sdtContent>
          <w:r>
            <w:rPr>
              <w:rtl w:val="0"/>
            </w:rPr>
            <w:t xml:space="preserve">(2024)</w:t>
          </w:r>
        </w:sdtContent>
      </w:sdt>
      <w:r>
        <w:rPr>
          <w:rtl w:val="0"/>
        </w:rPr>
        <w:t xml:space="preserve"> identify the same constructs as central to how AI explanations are received, which makes them relevant to a future practitioner evaluation.</w:t>
      </w:r>
    </w:p>
    <w:p w:rsidR="00000000" w:rsidDel="00000000" w:rsidP="00000000" w:rsidRDefault="00000000" w:rsidRPr="00000000" w14:paraId="000000F5">
      <w:pPr>
        <w:spacing w:after="160" w:lineRule="auto"/>
        <w:jc w:val="both"/>
        <w:rPr/>
      </w:pPr>
      <w:r>
        <w:rPr>
          <w:rtl w:val="0"/>
        </w:rPr>
        <w:t xml:space="preserve">The study also draws on the design science paradigm described by </w:t>
      </w:r>
      <w:r>
        <w:rPr>
          <w:rtl w:val="0"/>
        </w:rPr>
        <w:t xml:space="preserve">Hevner et al. </w:t>
      </w:r>
      <w:sdt>
        <w:sdtPr>
          <w:rPr>
            <w:rtl w:val="0"/>
          </w:rPr>
          <w:tag w:val="MENDELEY_CITATION_v3_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"/>
          <w:id w:val="1860834878"/>
        </w:sdtPr>
        <w:sdtContent>
          <w:r>
            <w:rPr>
              <w:rtl w:val="0"/>
            </w:rPr>
            <w:t xml:space="preserve">(2004)</w:t>
          </w:r>
        </w:sdtContent>
      </w:sdt>
      <w:r>
        <w:rPr>
          <w:rtl w:val="0"/>
        </w:rPr>
        <w:t xml:space="preserve">, which </w:t>
      </w:r>
      <w:r>
        <w:rPr>
          <w:rtl w:val="0"/>
        </w:rPr>
        <w:t xml:space="preserve">Peffers et al. </w:t>
      </w:r>
      <w:sdt>
        <w:sdtPr>
          <w:rPr>
            <w:rtl w:val="0"/>
          </w:rPr>
          <w:tag w:val="MENDELEY_CITATION_v3_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"/>
          <w:id w:val="1635799169"/>
        </w:sdtPr>
        <w:sdtContent>
          <w:r>
            <w:rPr>
              <w:rtl w:val="0"/>
            </w:rPr>
            <w:t xml:space="preserve">(2007)</w:t>
          </w:r>
        </w:sdtContent>
      </w:sdt>
      <w:r>
        <w:rPr>
          <w:rtl w:val="0"/>
        </w:rPr>
        <w:t xml:space="preserve"> later developed into the Design Science Research Methodology. Both argue that research centred on a purposeful artefact is justified by the rigour of its construction and by its usefulness when evaluated against a well-defined problem. This fits the present study, which contributes a working dashboard and design guidelines derived from its evaluation. This study adopts the iterative process proposed by </w:t>
      </w:r>
      <w:r>
        <w:rPr>
          <w:rtl w:val="0"/>
        </w:rPr>
        <w:t xml:space="preserve">Peffers et al. </w:t>
      </w:r>
      <w:sdt>
        <w:sdtPr>
          <w:rPr>
            <w:rtl w:val="0"/>
          </w:rPr>
          <w:tag w:val="MENDELEY_CITATION_v3_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"/>
          <w:id w:val="1628953283"/>
        </w:sdtPr>
        <w:sdtContent>
          <w:r>
            <w:rPr>
              <w:rtl w:val="0"/>
            </w:rPr>
            <w:t xml:space="preserve">(2007)</w:t>
          </w:r>
        </w:sdtContent>
      </w:sdt>
      <w:r>
        <w:rPr>
          <w:rtl w:val="0"/>
        </w:rPr>
        <w:t xml:space="preserve"> alongside CommonKADS. It comprises problem identification, objective definition, design and development, demonstration, evaluation, and communication. CommonKADS guides the knowledge modelling activities within each phase, while DSRM provides the overall structure for conducting the research.</w:t>
      </w:r>
    </w:p>
    <w:p w:rsidR="00000000" w:rsidDel="00000000" w:rsidP="00000000" w:rsidRDefault="00000000" w:rsidRPr="00000000" w14:paraId="000000F6">
      <w:pPr>
        <w:spacing w:after="160" w:lineRule="auto"/>
        <w:jc w:val="both"/>
        <w:rPr/>
      </w:pPr>
      <w:r>
        <w:rPr>
          <w:rtl w:val="0"/>
        </w:rPr>
        <w:t xml:space="preserve">The frameworks therefore serve different purposes in the study. The Design Science Research Methodology (DSRM) is the overarching research paradigm and process; CommonKADS is the knowledge-engineering and design framework applied within that process; TAM is a theoretical lens for anticipated technology acceptance; and the </w:t>
      </w:r>
      <w:r>
        <w:rPr>
          <w:rtl w:val="0"/>
        </w:rPr>
        <w:t xml:space="preserve">Kaliisa et al. </w:t>
      </w:r>
      <w:sdt>
        <w:sdtPr>
          <w:rPr>
            <w:rtl w:val="0"/>
          </w:rPr>
          <w:tag w:val="MENDELEY_CITATION_v3_eyJjaXRhdGlvbklEIjogIk1FTkRFTEVZX0NJVEFUSU9OXzc5ODA0OTVkLTE0MDMtNTNlNS1hMmE3LTE2NDNhZjEzY2NlMS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560376878"/>
        </w:sdtPr>
        <w:sdtContent>
          <w:r>
            <w:rPr>
              <w:rtl w:val="0"/>
            </w:rPr>
            <w:t xml:space="preserve">(2023)</w:t>
          </w:r>
        </w:sdtContent>
      </w:sdt>
      <w:r>
        <w:rPr>
          <w:rtl w:val="0"/>
        </w:rPr>
        <w:t xml:space="preserve"> checklist provides dashboard design guidance. None of these frameworks, other than DSRM, serves as the overarching methodology, and TAM is not evaluated empirically.</w:t>
      </w:r>
    </w:p>
    <w:p w:rsidR="00000000" w:rsidDel="00000000" w:rsidP="00000000" w:rsidRDefault="00000000" w:rsidRPr="00000000" w14:paraId="000000F7">
      <w:pPr>
        <w:spacing w:after="160" w:lineRule="auto"/>
        <w:jc w:val="both"/>
        <w:rPr/>
      </w:pPr>
      <w:r>
        <w:rPr>
          <w:rtl w:val="0"/>
        </w:rPr>
        <w:t xml:space="preserve">The four iterative phases identified above are conducted with explicit feedback loops between them rather than as a strict linear progression. In this study, knowledge acquisition drew on published literature rather than user-based elicitation, so findings from the literature review fed into the modelling phase, where an agent characterisation was refined, and outputs from the technical evaluation could inform late adjustments to the design phase. This iterative structure is consistent with the recommendations of </w:t>
      </w:r>
      <w:r>
        <w:rPr>
          <w:rtl w:val="0"/>
        </w:rPr>
        <w:t xml:space="preserve">Verbert et al. </w:t>
      </w:r>
      <w:sdt>
        <w:sdtPr>
          <w:rPr>
            <w:rtl w:val="0"/>
          </w:rPr>
          <w:tag w:val="MENDELEY_CITATION_v3_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"/>
          <w:id w:val="-1469966152"/>
        </w:sdtPr>
        <w:sdtContent>
          <w:r>
            <w:rPr>
              <w:rtl w:val="0"/>
            </w:rPr>
            <w:t xml:space="preserve">(2013)</w:t>
          </w:r>
        </w:sdtContent>
      </w:sdt>
      <w:r>
        <w:rPr>
          <w:rtl w:val="0"/>
        </w:rPr>
        <w:t xml:space="preserve">,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p>
    <w:p w:rsidR="00000000" w:rsidDel="00000000" w:rsidP="00000000" w:rsidRDefault="00000000" w:rsidRPr="00000000" w14:paraId="000000F8">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F9">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 role-based dashboard design, technical evaluation of predictive performance and explanation behaviour against OULAD, and concludes with the development of design guidelines.</w:t>
      </w:r>
    </w:p>
    <w:p w:rsidR="00000000" w:rsidDel="00000000" w:rsidP="00000000" w:rsidRDefault="00000000" w:rsidRPr="00000000" w14:paraId="000000FA">
      <w:pPr>
        <w:spacing w:after="120" w:before="120" w:lineRule="auto"/>
        <w:rPr/>
      </w:pPr>
      <w:r>
        <w:rPr>
          <w:rtl w:val="0"/>
        </w:rPr>
      </w:r>
    </w:p>
    <w:p w:rsidR="00000000" w:rsidDel="00000000" w:rsidP="00000000" w:rsidRDefault="00000000" w:rsidRPr="00000000" w14:paraId="000000FB">
      <w:pPr>
        <w:jc w:val="center"/>
        <w:rPr/>
      </w:pPr>
      <w:r>
        <w:rPr/>
        <w:drawing>
          <wp:inline distB="0" distT="0" distL="0" distR="0">
            <wp:extent cx="3840480" cy="5760720"/>
            <wp:effectExtent b="0" l="0" r="0" t="0"/>
            <wp:docPr id="9005"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FC">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FD">
      <w:pPr>
        <w:jc w:val="center"/>
        <w:rPr>
          <w:sz w:val="20"/>
          <w:szCs w:val="20"/>
        </w:rPr>
      </w:pPr>
      <w:r>
        <w:rPr>
          <w:rtl w:val="0"/>
        </w:rPr>
      </w:r>
    </w:p>
    <w:p w:rsidR="00000000" w:rsidDel="00000000" w:rsidP="00000000" w:rsidRDefault="00000000" w:rsidRPr="00000000" w14:paraId="000000FE">
      <w:pPr>
        <w:spacing w:after="160" w:lineRule="auto"/>
        <w:jc w:val="both"/>
        <w:rPr/>
      </w:pPr>
      <w:r>
        <w:rPr>
          <w:rtl w:val="0"/>
        </w:rPr>
        <w:t xml:space="preserve">This system's architecture is driven by the need to address two established limitations in the literature. First, existing student at-risk prediction systems emphasise predictive accuracy while offering limited interpretability, thereby constraining their usefulness in practice </w:t>
      </w:r>
      <w:sdt>
        <w:sdtPr>
          <w:rPr>
            <w:rtl w:val="0"/>
          </w:rPr>
          <w:tag w:val="MENDELEY_CITATION_v3_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"/>
          <w:id w:val="874197315"/>
        </w:sdtPr>
        <w:sdtContent>
          <w:r>
            <w:rPr>
              <w:rtl w:val="0"/>
            </w:rPr>
            <w:t xml:space="preserve">(Ali et al., 2023)</w:t>
          </w:r>
        </w:sdtContent>
      </w:sdt>
      <w:r>
        <w:rPr>
          <w:rtl w:val="0"/>
        </w:rPr>
        <w:t xml:space="preserve">. Second, most learning analytics dashboards adopt uniform interface designs despite clear evidence that different stakeholder roles require different forms of analytical insight </w:t>
      </w:r>
      <w:sdt>
        <w:sdtPr>
          <w:rPr>
            <w:rtl w:val="0"/>
          </w:rPr>
          <w:tag w:val="MENDELEY_CITATION_v3_eyJjaXRhdGlvbklEIjogIk1FTkRFTEVZX0NJVEFUSU9OX2M2ZmY3NzM3LWZlZjMtNTJiOS04NWQwLWE4NmE1ZjAyOTYwYiIsICJwcm9wZXJ0aWVzIjogeyJub3RlSW5kZXgiOiAwfSwgImlzRWRpdGVkIjogZmFsc2UsICJtYW51YWxPdmVycmlkZSI6IHsiaXNNYW51YWxseU92ZXJyaWRkZW4iOiBmYWxzZSwgImNpdGVwcm9jVGV4dCI6ICIoS2FsaWlzYSBldCBhbC4sIDIwMjM7IEtvc3RvcG91bG9zIGV0IGFsLiwgMjAyNC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"/>
          <w:id w:val="701749191"/>
        </w:sdtPr>
        <w:sdtContent>
          <w:r>
            <w:rPr>
              <w:rtl w:val="0"/>
            </w:rPr>
            <w:t xml:space="preserve">(Kaliisa et al., 2023; Kostopoulos et al., 2024)</w:t>
          </w:r>
        </w:sdtContent>
      </w:sdt>
      <w:r>
        <w:rPr>
          <w:rtl w:val="0"/>
        </w:rPr>
        <w:t xml:space="preserve">. The architecture therefore separates data processing, prediction, explanation, and user interaction, ensuring each component directly addresses these limitations.</w:t>
      </w:r>
    </w:p>
    <w:p w:rsidR="00000000" w:rsidDel="00000000" w:rsidP="00000000" w:rsidRDefault="00000000" w:rsidRPr="00000000" w14:paraId="000000FF">
      <w:pPr>
        <w:spacing w:after="160" w:lineRule="auto"/>
        <w:jc w:val="both"/>
        <w:rPr/>
      </w:pPr>
      <w:r>
        <w:rPr>
          <w:rtl w:val="0"/>
        </w:rPr>
        <w:t xml:space="preserve">The overall system is organised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 each layer to be revised, replaced, or scaled without cascading changes throughout the system. This architectural design is consistent with the guidance of </w:t>
      </w:r>
      <w:r>
        <w:rPr>
          <w:rtl w:val="0"/>
        </w:rPr>
        <w:t xml:space="preserve">Bass et al. </w:t>
      </w:r>
      <w:sdt>
        <w:sdtPr>
          <w:rPr>
            <w:rtl w:val="0"/>
          </w:rPr>
          <w:tag w:val="MENDELEY_CITATION_v3_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"/>
          <w:id w:val="-1570707697"/>
        </w:sdtPr>
        <w:sdtContent>
          <w:r>
            <w:rPr>
              <w:rtl w:val="0"/>
            </w:rPr>
            <w:t xml:space="preserve">(2021)</w:t>
          </w:r>
        </w:sdtContent>
      </w:sdt>
      <w:r>
        <w:rPr>
          <w:rtl w:val="0"/>
        </w:rPr>
        <w:t xml:space="preserve"> and aligns with the recommendations of </w:t>
      </w:r>
      <w:r>
        <w:rPr>
          <w:rtl w:val="0"/>
        </w:rPr>
        <w:t xml:space="preserve">Adadi and Berrada </w:t>
      </w:r>
      <w:sdt>
        <w:sdtPr>
          <w:rPr>
            <w:rtl w:val="0"/>
          </w:rPr>
          <w:tag w:val="MENDELEY_CITATION_v3_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"/>
          <w:id w:val="228593815"/>
        </w:sdtPr>
        <w:sdtContent>
          <w:r>
            <w:rPr>
              <w:rtl w:val="0"/>
            </w:rPr>
            <w:t xml:space="preserve">(2018)</w:t>
          </w:r>
        </w:sdtContent>
      </w:sdt>
      <w:r>
        <w:rPr>
          <w:rtl w:val="0"/>
        </w:rPr>
        <w:t xml:space="preserve">,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100">
      <w:pPr>
        <w:spacing w:after="120" w:before="120" w:lineRule="auto"/>
        <w:rPr/>
      </w:pPr>
      <w:r>
        <w:rPr>
          <w:rtl w:val="0"/>
        </w:rPr>
      </w:r>
    </w:p>
    <w:p w:rsidR="00000000" w:rsidDel="00000000" w:rsidP="00000000" w:rsidRDefault="00000000" w:rsidRPr="00000000" w14:paraId="00000101">
      <w:pPr>
        <w:jc w:val="center"/>
        <w:rPr/>
      </w:pPr>
      <w:r>
        <w:rPr/>
        <w:drawing>
          <wp:inline distB="0" distT="0" distL="0" distR="0">
            <wp:extent cx="4754060" cy="2720011"/>
            <wp:effectExtent b="0" l="0" r="0" t="0"/>
            <wp:docPr id="9008" name="image5.png"/>
            <a:graphic>
              <a:graphicData uri="http://schemas.openxmlformats.org/drawingml/2006/picture">
                <pic:pic>
                  <pic:nvPicPr>
                    <pic:cNvPr id="0" name="image5.png"/>
                    <pic:cNvPicPr preferRelativeResize="0"/>
                  </pic:nvPicPr>
                  <pic:blipFill>
                    <a:blip r:embed="rId13"/>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102">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103">
      <w:pPr>
        <w:jc w:val="center"/>
        <w:rPr>
          <w:sz w:val="20"/>
          <w:szCs w:val="20"/>
        </w:rPr>
      </w:pPr>
      <w:r>
        <w:rPr>
          <w:rtl w:val="0"/>
        </w:rPr>
      </w:r>
    </w:p>
    <w:p w:rsidR="00000000" w:rsidDel="00000000" w:rsidP="00000000" w:rsidRDefault="00000000" w:rsidRPr="00000000" w14:paraId="00000104">
      <w:pPr>
        <w:spacing w:after="160" w:lineRule="auto"/>
        <w:jc w:val="both"/>
        <w:rPr/>
      </w:pPr>
      <w:r>
        <w:rPr>
          <w:rtl w:val="0"/>
        </w:rPr>
        <w:t xml:space="preserve">A layered architectural approach is adopted because modular separation improves system clarity, scalability, and integration of explainability mechanisms in AI systems </w:t>
      </w:r>
      <w:sdt>
        <w:sdtPr>
          <w:rPr>
            <w:rtl w:val="0"/>
          </w:rPr>
          <w:tag w:val="MENDELEY_CITATION_v3_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"/>
          <w:id w:val="-977756967"/>
        </w:sdtPr>
        <w:sdtContent>
          <w:r>
            <w:rPr>
              <w:rtl w:val="0"/>
            </w:rPr>
            <w:t xml:space="preserve">(Barredo Arrieta et al., 2020; Mohseni et al., 2021)</w:t>
          </w:r>
        </w:sdtContent>
      </w:sdt>
      <w:r>
        <w:rPr>
          <w:rtl w:val="0"/>
        </w:rPr>
        <w:t xml:space="preserve">. This is particularly necessary in this study, as post-hoc explanation techniques such as SHAP and LIME operate independently of the predictive model and require flexible integration within the system pipeline </w:t>
      </w:r>
      <w:sdt>
        <w:sdtPr>
          <w:rPr>
            <w:rtl w:val="0"/>
          </w:rPr>
          <w:tag w:val="MENDELEY_CITATION_v3_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"/>
          <w:id w:val="450240683"/>
        </w:sdtPr>
        <w:sdtContent>
          <w:r>
            <w:rPr>
              <w:rtl w:val="0"/>
            </w:rPr>
            <w:t xml:space="preserve">(Ali et al., 2023; Salih et al., 2025)</w:t>
          </w:r>
        </w:sdtContent>
      </w:sdt>
      <w:r>
        <w:rPr>
          <w:rtl w:val="0"/>
        </w:rPr>
        <w:t xml:space="preserve">.</w:t>
      </w:r>
    </w:p>
    <w:p w:rsidR="00000000" w:rsidDel="00000000" w:rsidP="00000000" w:rsidRDefault="00000000" w:rsidRPr="00000000" w14:paraId="00000105">
      <w:pPr>
        <w:spacing w:after="160" w:lineRule="auto"/>
        <w:jc w:val="both"/>
        <w:rPr/>
      </w:pPr>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p>
    <w:p w:rsidR="00000000" w:rsidDel="00000000" w:rsidP="00000000" w:rsidRDefault="00000000" w:rsidRPr="00000000" w14:paraId="00000106">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w:t>
      </w:r>
      <w:sdt>
        <w:sdtPr>
          <w:rPr>
            <w:rtl w:val="0"/>
          </w:rPr>
          <w:tag w:val="MENDELEY_CITATION_v3_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"/>
          <w:id w:val="934637223"/>
        </w:sdtPr>
        <w:sdtContent>
          <w:r>
            <w:rPr>
              <w:rtl w:val="0"/>
            </w:rPr>
            <w:t xml:space="preserve">(Guevara-Reyes et al., 2025; Jin et al., 2024; Kuzilek et al., 2017; Wang, 2025)</w:t>
          </w:r>
        </w:sdtContent>
      </w:sdt>
      <w:r>
        <w:rPr>
          <w:rtl w:val="0"/>
        </w:rPr>
        <w:t xml:space="preserve">. Isolating this layer supports reproducibility and reduces variability in feature engineering, a source of inconsistency in prior studies </w:t>
      </w:r>
      <w:sdt>
        <w:sdtPr>
          <w:rPr>
            <w:rtl w:val="0"/>
          </w:rPr>
          <w:tag w:val="MENDELEY_CITATION_v3_eyJjaXRhdGlvbklEIjogIk1FTkRFTEVZX0NJVEFUSU9OX2IxMDcyOTRhLWQ0ZjctNTMzNi1hZjI5LThlOGU4OGI5YmU1MyIsICJwcm9wZXJ0aWVzIjogeyJub3RlSW5kZXgiOiAwfSwgImlzRWRpdGVkIjogZmFsc2UsICJtYW51YWxPdmVycmlkZSI6IHsiaXNNYW51YWxseU92ZXJyaWRkZW4iOiBmYWxzZSwgImNpdGVwcm9jVGV4dCI6ICIoSmluIGV0IGFsLiwg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X1dfQ=="/>
          <w:id w:val="-49255328"/>
        </w:sdtPr>
        <w:sdtContent>
          <w:r>
            <w:rPr>
              <w:rtl w:val="0"/>
            </w:rPr>
            <w:t xml:space="preserve">(Jin et al., 2024)</w:t>
          </w:r>
        </w:sdtContent>
      </w:sdt>
      <w:r>
        <w:rPr>
          <w:rtl w:val="0"/>
        </w:rPr>
        <w:t xml:space="preserve">.</w:t>
      </w:r>
    </w:p>
    <w:p w:rsidR="00000000" w:rsidDel="00000000" w:rsidP="00000000" w:rsidRDefault="00000000" w:rsidRPr="00000000" w14:paraId="00000107">
      <w:pPr>
        <w:spacing w:after="160" w:lineRule="auto"/>
        <w:jc w:val="both"/>
        <w:rPr/>
      </w:pPr>
      <w:r>
        <w:rPr>
          <w:rtl w:val="0"/>
        </w:rPr>
        <w:t xml:space="preserve">The Data Layer is also responsible for temporally aligning interaction records with assessment deadlines, a step essential for constructing time-window features. Following the temporal feature construction strategies documented by </w:t>
      </w:r>
      <w:r>
        <w:rPr>
          <w:rtl w:val="0"/>
        </w:rPr>
        <w:t xml:space="preserve">Hlosta et al. </w:t>
      </w:r>
      <w:sdt>
        <w:sdtPr>
          <w:rPr>
            <w:rtl w:val="0"/>
          </w:rPr>
          <w:tag w:val="MENDELEY_CITATION_v3_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"/>
          <w:id w:val="1486504128"/>
        </w:sdtPr>
        <w:sdtContent>
          <w:r>
            <w:rPr>
              <w:rtl w:val="0"/>
            </w:rPr>
            <w:t xml:space="preserve">(2017)</w:t>
          </w:r>
        </w:sdtContent>
      </w:sdt>
      <w:r>
        <w:rPr>
          <w:rtl w:val="0"/>
        </w:rPr>
        <w:t xml:space="preserve">, interaction counts are aggregated over rolling windows anchored to submission dates rather than over calendar weeks, because deadline-anchored windows have been shown to yield stronger early-warning signals than calendar-anchored windows on OULAD. This treatment also lets the same feature pipeline be reused for both training and inference without leaking future information into historical windows, a concern emphasised by </w:t>
      </w:r>
      <w:r>
        <w:rPr>
          <w:rtl w:val="0"/>
        </w:rPr>
        <w:t xml:space="preserve">Krstajic et al. </w:t>
      </w:r>
      <w:sdt>
        <w:sdtPr>
          <w:rPr>
            <w:rtl w:val="0"/>
          </w:rPr>
          <w:tag w:val="MENDELEY_CITATION_v3_eyJjaXRhdGlvbklEIjogIk1FTkRFTEVZX0NJVEFUSU9OX2IzNDg5NjVlLWMwNDYtNThhOS1iMzMxLTU1NTM3ZDcxZjNkYy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959151117"/>
        </w:sdtPr>
        <w:sdtContent>
          <w:r>
            <w:rPr>
              <w:rtl w:val="0"/>
            </w:rPr>
            <w:t xml:space="preserve">(2014)</w:t>
          </w:r>
        </w:sdtContent>
      </w:sdt>
      <w:r>
        <w:rPr>
          <w:rtl w:val="0"/>
        </w:rPr>
        <w:t xml:space="preserve"> in their analysis of cross-validation pitfalls in predictive modelling.</w:t>
      </w:r>
    </w:p>
    <w:p w:rsidR="00000000" w:rsidDel="00000000" w:rsidP="00000000" w:rsidRDefault="00000000" w:rsidRPr="00000000" w14:paraId="00000108">
      <w:pPr>
        <w:spacing w:after="160" w:lineRule="auto"/>
        <w:jc w:val="both"/>
        <w:rPr/>
      </w:pPr>
      <w:r>
        <w:rPr>
          <w:rtl w:val="0"/>
        </w:rPr>
        <w:t xml:space="preserve">The Prediction Engine is implemented as an independent layer to support ensemble learning methods. Ensemble models have consistently demonstrated superior predictive performance in at-risk classification tasks </w:t>
      </w:r>
      <w:sdt>
        <w:sdtPr>
          <w:rPr>
            <w:rtl w:val="0"/>
          </w:rPr>
          <w:tag w:val="MENDELEY_CITATION_v3_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V9XX0="/>
          <w:id w:val="-2132255026"/>
        </w:sdtPr>
        <w:sdtContent>
          <w:r>
            <w:rPr>
              <w:rtl w:val="0"/>
            </w:rPr>
            <w:t xml:space="preserve">(Rebelo Marcolino et al., 2025; Wang, 2025)</w:t>
          </w:r>
        </w:sdtContent>
      </w:sdt>
      <w:r>
        <w:rPr>
          <w:rtl w:val="0"/>
        </w:rPr>
        <w:t xml:space="preserve">. However, their increased complexity reduces interpretability, necessitating a dedicated explanation component </w:t>
      </w:r>
      <w:sdt>
        <w:sdtPr>
          <w:rPr>
            <w:rtl w:val="0"/>
          </w:rPr>
          <w:tag w:val="MENDELEY_CITATION_v3_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"/>
          <w:id w:val="1164448205"/>
        </w:sdtPr>
        <w:sdtContent>
          <w:r>
            <w:rPr>
              <w:rtl w:val="0"/>
            </w:rPr>
            <w:t xml:space="preserve">(Guevara-Reyes et al., 2025)</w:t>
          </w:r>
        </w:sdtContent>
      </w:sdt>
      <w:r>
        <w:rPr>
          <w:rtl w:val="0"/>
        </w:rPr>
        <w:t xml:space="preserve">.</w:t>
      </w:r>
    </w:p>
    <w:p w:rsidR="00000000" w:rsidDel="00000000" w:rsidP="00000000" w:rsidRDefault="00000000" w:rsidRPr="00000000" w14:paraId="00000109">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w:t>
      </w:r>
      <w:sdt>
        <w:sdtPr>
          <w:rPr>
            <w:rtl w:val="0"/>
          </w:rPr>
          <w:tag w:val="MENDELEY_CITATION_v3_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"/>
          <w:id w:val="-1022394339"/>
        </w:sdtPr>
        <w:sdtContent>
          <w:r>
            <w:rPr>
              <w:rtl w:val="0"/>
            </w:rPr>
            <w:t xml:space="preserve">(Gunasekara &amp; Saarela, 2025; Nnadi et al., 2024; Salih et al., 2025)</w:t>
          </w:r>
        </w:sdtContent>
      </w:sdt>
      <w:r>
        <w:rPr>
          <w:rtl w:val="0"/>
        </w:rPr>
        <w:t xml:space="preserve">. This ensures that the module adequately addresses both cohort-level and instance-level interpretation needs.</w:t>
      </w:r>
    </w:p>
    <w:p w:rsidR="00000000" w:rsidDel="00000000" w:rsidP="00000000" w:rsidRDefault="00000000" w:rsidRPr="00000000" w14:paraId="0000010A">
      <w:pPr>
        <w:spacing w:after="160" w:lineRule="auto"/>
        <w:jc w:val="both"/>
        <w:rPr/>
      </w:pPr>
      <w:r>
        <w:rPr>
          <w:rtl w:val="0"/>
        </w:rPr>
        <w:t xml:space="preserve">The Explainability Module includes two internal sub-services. The first, a global explanation service, computes and caches TreeSHAP values </w:t>
      </w:r>
      <w:sdt>
        <w:sdtPr>
          <w:rPr>
            <w:rtl w:val="0"/>
          </w:rPr>
          <w:tag w:val="MENDELEY_CITATION_v3_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"/>
          <w:id w:val="1036078879"/>
        </w:sdtPr>
        <w:sdtContent>
          <w:r>
            <w:rPr>
              <w:rtl w:val="0"/>
            </w:rPr>
            <w:t xml:space="preserve">(Lundberg et al., 2020)</w:t>
          </w:r>
        </w:sdtContent>
      </w:sdt>
      <w:r>
        <w:rPr>
          <w:rtl w:val="0"/>
        </w:rPr>
        <w:t xml:space="preserve"> across the training population; these values underpin the cohort-level visualisations used by administrators and, at a coarser grain, by advisors. The second, a local explanation service, generates on-demand LIME approximations for individual predictions </w:t>
      </w:r>
      <w:sdt>
        <w:sdtPr>
          <w:rPr>
            <w:rtl w:val="0"/>
          </w:rPr>
          <w:tag w:val="MENDELEY_CITATION_v3_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"/>
          <w:id w:val="-2105952602"/>
        </w:sdtPr>
        <w:sdtContent>
          <w:r>
            <w:rPr>
              <w:rtl w:val="0"/>
            </w:rPr>
            <w:t xml:space="preserve">(Ribeiro et al., 2016)</w:t>
          </w:r>
        </w:sdtContent>
      </w:sdt>
      <w:r>
        <w:rPr>
          <w:rtl w:val="0"/>
        </w:rPr>
        <w:t xml:space="preserve"> and produces a corresponding local SHAP explanation using the tree-path-dependent estimator, so the two techniques can be compared side by side within the interface. Storing global SHAP outputs while computing LIME on demand reflects the difference in computing time between the two methods reported by </w:t>
      </w:r>
      <w:r>
        <w:rPr>
          <w:rtl w:val="0"/>
        </w:rPr>
        <w:t xml:space="preserve">Salih et al. </w:t>
      </w:r>
      <w:sdt>
        <w:sdtPr>
          <w:rPr>
            <w:rtl w:val="0"/>
          </w:rPr>
          <w:tag w:val="MENDELEY_CITATION_v3_eyJjaXRhdGlvbklEIjogIk1FTkRFTEVZX0NJVEFUSU9OX2UzZjY1NmQ4LWIxM2YtNTRlOC1iYzBjLWIxODEzNjM0MTAzNS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1734860010"/>
        </w:sdtPr>
        <w:sdtContent>
          <w:r>
            <w:rPr>
              <w:rtl w:val="0"/>
            </w:rPr>
            <w:t xml:space="preserve">(2025)</w:t>
          </w:r>
        </w:sdtContent>
      </w:sdt>
      <w:r>
        <w:rPr>
          <w:rtl w:val="0"/>
        </w:rPr>
        <w:t xml:space="preserve">, where SHAP has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10B">
      <w:pPr>
        <w:spacing w:after="120" w:before="120" w:lineRule="auto"/>
        <w:rPr/>
      </w:pPr>
      <w:r>
        <w:rPr>
          <w:rtl w:val="0"/>
        </w:rPr>
      </w:r>
    </w:p>
    <w:p w:rsidR="00000000" w:rsidDel="00000000" w:rsidP="00000000" w:rsidRDefault="00000000" w:rsidRPr="00000000" w14:paraId="0000010C">
      <w:pPr>
        <w:jc w:val="center"/>
        <w:rPr/>
      </w:pPr>
      <w:r>
        <w:rPr/>
        <w:drawing>
          <wp:inline distB="0" distT="0" distL="0" distR="0">
            <wp:extent cx="5029200" cy="2842744"/>
            <wp:effectExtent b="0" l="0" r="0" t="0"/>
            <wp:docPr id="9007"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10D">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10E">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w:t>
      </w:r>
      <w:sdt>
        <w:sdtPr>
          <w:rPr>
            <w:rtl w:val="0"/>
          </w:rPr>
          <w:tag w:val="MENDELEY_CITATION_v3_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"/>
          <w:id w:val="195808827"/>
        </w:sdtPr>
        <w:sdtContent>
          <w:r>
            <w:rPr>
              <w:rtl w:val="0"/>
            </w:rPr>
            <w:t xml:space="preserve">(Gutiérrez et al., 2020; Haque et al., 2023; Kostopoulos et al., 2024)</w:t>
          </w:r>
        </w:sdtContent>
      </w:sdt>
      <w:r>
        <w:rPr>
          <w:rtl w:val="0"/>
        </w:rPr>
        <w:t xml:space="preserve">. Accordingly, the system maps shared explanation outputs to role-specific visualisations for instructors, advisors, and administrators. This allows a single predictive model to support multiple stakeholders without redundancy, and is intended to support each role's decision-making; its effect on usability was not measured in this study.</w:t>
      </w:r>
    </w:p>
    <w:p w:rsidR="00000000" w:rsidDel="00000000" w:rsidP="00000000" w:rsidRDefault="00000000" w:rsidRPr="00000000" w14:paraId="0000010F">
      <w:pPr>
        <w:spacing w:after="120" w:before="120" w:lineRule="auto"/>
        <w:rPr/>
      </w:pPr>
      <w:r>
        <w:rPr>
          <w:rtl w:val="0"/>
        </w:rPr>
      </w:r>
    </w:p>
    <w:p w:rsidR="00000000" w:rsidDel="00000000" w:rsidP="00000000" w:rsidRDefault="00000000" w:rsidRPr="00000000" w14:paraId="00000110">
      <w:pPr>
        <w:jc w:val="center"/>
        <w:rPr/>
      </w:pPr>
      <w:r>
        <w:rPr/>
        <w:drawing>
          <wp:inline distB="0" distT="0" distL="0" distR="0">
            <wp:extent cx="5029200" cy="3006781"/>
            <wp:effectExtent b="0" l="0" r="0" t="0"/>
            <wp:docPr id="9010"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111">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112">
      <w:pPr>
        <w:jc w:val="center"/>
        <w:rPr>
          <w:sz w:val="20"/>
          <w:szCs w:val="20"/>
        </w:rPr>
      </w:pPr>
      <w:r>
        <w:rPr>
          <w:rtl w:val="0"/>
        </w:rPr>
      </w:r>
    </w:p>
    <w:p w:rsidR="00000000" w:rsidDel="00000000" w:rsidP="00000000" w:rsidRDefault="00000000" w:rsidRPr="00000000" w14:paraId="00000113">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w:t>
      </w:r>
      <w:r>
        <w:rPr>
          <w:rtl w:val="0"/>
        </w:rPr>
        <w:t xml:space="preserve">Sokol and Flach </w:t>
      </w:r>
      <w:sdt>
        <w:sdtPr>
          <w:rPr>
            <w:rtl w:val="0"/>
          </w:rPr>
          <w:tag w:val="MENDELEY_CITATION_v3_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"/>
          <w:id w:val="1437074667"/>
        </w:sdtPr>
        <w:sdtContent>
          <w:r>
            <w:rPr>
              <w:rtl w:val="0"/>
            </w:rPr>
            <w:t xml:space="preserve">(2020)</w:t>
          </w:r>
        </w:sdtContent>
      </w:sdt>
      <w:r>
        <w:rPr>
          <w:rtl w:val="0"/>
        </w:rPr>
        <w:t xml:space="preserve"> that explanation systems adopt a modular, fact-sheet-based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14">
      <w:pPr>
        <w:spacing w:after="160" w:lineRule="auto"/>
        <w:jc w:val="both"/>
        <w:rPr/>
      </w:pPr>
      <w:r>
        <w:rPr>
          <w:rtl w:val="0"/>
        </w:rPr>
        <w:t xml:space="preserve">The Presentation Layer is treated as a distinct concern rather than as a thin rendering shell over the Role Assignment policy. Its responsibilities include composing visual components, managing interaction state, and translating explanation artefacts into forms that respect the cognitive constraints of the intended audience. </w:t>
      </w:r>
      <w:r>
        <w:rPr>
          <w:rtl w:val="0"/>
        </w:rPr>
        <w:t xml:space="preserve">Hernández-Leo et al. </w:t>
      </w:r>
      <w:sdt>
        <w:sdtPr>
          <w:rPr>
            <w:rtl w:val="0"/>
          </w:rPr>
          <w:tag w:val="MENDELEY_CITATION_v3_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"/>
          <w:id w:val="-1511425673"/>
        </w:sdtPr>
        <w:sdtContent>
          <w:r>
            <w:rPr>
              <w:rtl w:val="0"/>
            </w:rPr>
            <w:t xml:space="preserve">(2019)</w:t>
          </w:r>
        </w:sdtContent>
      </w:sdt>
      <w:r>
        <w:rPr>
          <w:rtl w:val="0"/>
        </w:rPr>
        <w:t xml:space="preserve">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the risk indicator, the feature attribution panel, and the cohort comparison view, each parameterised by the presentation policy handed down from the Role Assignment layer.</w:t>
      </w:r>
    </w:p>
    <w:p w:rsidR="00000000" w:rsidDel="00000000" w:rsidP="00000000" w:rsidRDefault="00000000" w:rsidRPr="00000000" w14:paraId="00000115">
      <w:pPr>
        <w:spacing w:after="160" w:lineRule="auto"/>
        <w:jc w:val="both"/>
        <w:rPr/>
      </w:pPr>
      <w:r>
        <w:rPr>
          <w:rtl w:val="0"/>
        </w:rPr>
        <w:t xml:space="preserve">A second reason for isolating the Presentation Layer is the need to accommodate accessibility and progressive disclosure. </w:t>
      </w:r>
      <w:r>
        <w:rPr>
          <w:rtl w:val="0"/>
        </w:rPr>
        <w:t xml:space="preserve">Miteva and Stefanova </w:t>
      </w:r>
      <w:sdt>
        <w:sdtPr>
          <w:rPr>
            <w:rtl w:val="0"/>
          </w:rPr>
          <w:tag w:val="MENDELEY_CITATION_v3_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"/>
          <w:id w:val="-1600109310"/>
        </w:sdtPr>
        <w:sdtContent>
          <w:r>
            <w:rPr>
              <w:rtl w:val="0"/>
            </w:rPr>
            <w:t xml:space="preserve">(2022)</w:t>
          </w:r>
        </w:sdtContent>
      </w:sdt>
      <w:r>
        <w:rPr>
          <w:rtl w:val="0"/>
        </w:rPr>
        <w:t xml:space="preserve">, in their model of a learning analytics visualisation system, note that dashboards for heterogeneous audiences benefit from layered disclosure, in which summary indicators appear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the Explainability Module remains agnostic to downstream visualisation choices.</w:t>
      </w:r>
    </w:p>
    <w:p w:rsidR="00000000" w:rsidDel="00000000" w:rsidP="00000000" w:rsidRDefault="00000000" w:rsidRPr="00000000" w14:paraId="00000116">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and caching, are reported in Chapter 4 rather than here.</w:t>
      </w:r>
    </w:p>
    <w:p w:rsidR="00000000" w:rsidDel="00000000" w:rsidP="00000000" w:rsidRDefault="00000000" w:rsidRPr="00000000" w14:paraId="00000117">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The Presentation Layer enforces authentication and authorisation, so a practitioner is exposed only to the interface and explanation granularity associated with their role. This end-to-end trace is intended to satisfy the reproducibility criterion proposed by </w:t>
      </w:r>
      <w:r>
        <w:rPr>
          <w:rtl w:val="0"/>
        </w:rPr>
        <w:t xml:space="preserve">Gundersen and Kjensmo </w:t>
      </w:r>
      <w:sdt>
        <w:sdtPr>
          <w:rPr>
            <w:rtl w:val="0"/>
          </w:rPr>
          <w:tag w:val="MENDELEY_CITATION_v3_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"/>
          <w:id w:val="-823524121"/>
        </w:sdtPr>
        <w:sdtContent>
          <w:r>
            <w:rPr>
              <w:rtl w:val="0"/>
            </w:rPr>
            <w:t xml:space="preserve">(2018)</w:t>
          </w:r>
        </w:sdtContent>
      </w:sdt>
      <w:r>
        <w:rPr>
          <w:rtl w:val="0"/>
        </w:rPr>
        <w:t xml:space="preserve">, who argue that machine learning research artefacts should permit an independent reviewer to reconstruct the pipeline from raw data to end-user output.</w:t>
      </w:r>
    </w:p>
    <w:p w:rsidR="00000000" w:rsidDel="00000000" w:rsidP="00000000" w:rsidRDefault="00000000" w:rsidRPr="00000000" w14:paraId="00000118">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19">
      <w:pPr>
        <w:spacing w:after="160" w:lineRule="auto"/>
        <w:jc w:val="both"/>
        <w:rPr/>
      </w:pPr>
      <w:r>
        <w:rPr>
          <w:rtl w:val="0"/>
        </w:rPr>
        <w:t xml:space="preserve">The Open University Learning Analytics Dataset (OULAD) is adopted as the primary dataset for model development </w:t>
      </w:r>
      <w:sdt>
        <w:sdtPr>
          <w:rPr>
            <w:rtl w:val="0"/>
          </w:rPr>
          <w:tag w:val="MENDELEY_CITATION_v3_eyJjaXRhdGlvbklEIjogIk1FTkRFTEVZX0NJVEFUSU9OX2ZiNzc0ZmVmLTFhZjgtNTI4ZC04MTY3LTYzMDM0MTQwM2U0NC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1549205809"/>
        </w:sdtPr>
        <w:sdtContent>
          <w:r>
            <w:rPr>
              <w:rtl w:val="0"/>
            </w:rPr>
            <w:t xml:space="preserve">(Kuzilek et al., 2017)</w:t>
          </w:r>
        </w:sdtContent>
      </w:sdt>
      <w:r>
        <w:rPr>
          <w:rtl w:val="0"/>
        </w:rPr>
        <w:t xml:space="preserve">. This selection is justified by its extensive use in the literature, which enables direct comparison with prior studies and strengthens the validity of the results </w:t>
      </w:r>
      <w:sdt>
        <w:sdtPr>
          <w:rPr>
            <w:rtl w:val="0"/>
          </w:rPr>
          <w:tag w:val="MENDELEY_CITATION_v3_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V9XX0="/>
          <w:id w:val="1713368256"/>
        </w:sdtPr>
        <w:sdtContent>
          <w:r>
            <w:rPr>
              <w:rtl w:val="0"/>
            </w:rPr>
            <w:t xml:space="preserve">(Gunasekara &amp; Saarela, 2025; Jin et al., 2024; Wang, 2025)</w:t>
          </w:r>
        </w:sdtContent>
      </w:sdt>
      <w:r>
        <w:rPr>
          <w:rtl w:val="0"/>
        </w:rPr>
        <w:t xml:space="preserve">.</w:t>
      </w:r>
    </w:p>
    <w:p w:rsidR="00000000" w:rsidDel="00000000" w:rsidP="00000000" w:rsidRDefault="00000000" w:rsidRPr="00000000" w14:paraId="0000011A">
      <w:pPr>
        <w:spacing w:after="160" w:lineRule="auto"/>
        <w:jc w:val="both"/>
        <w:rPr/>
      </w:pPr>
      <w:r>
        <w:rPr>
          <w:rtl w:val="0"/>
        </w:rPr>
        <w:t xml:space="preserve">Since its release, OULAD has become one of the most widely used benchmarks for at-risk prediction research and has therefore accumulated an unusually rich body of comparative evidence. </w:t>
      </w:r>
      <w:r>
        <w:rPr>
          <w:rtl w:val="0"/>
        </w:rPr>
        <w:t xml:space="preserve">Hlosta et al. </w:t>
      </w:r>
      <w:sdt>
        <w:sdtPr>
          <w:rPr>
            <w:rtl w:val="0"/>
          </w:rPr>
          <w:tag w:val="MENDELEY_CITATION_v3_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"/>
          <w:id w:val="-1705988413"/>
        </w:sdtPr>
        <w:sdtContent>
          <w:r>
            <w:rPr>
              <w:rtl w:val="0"/>
            </w:rPr>
            <w:t xml:space="preserve">(2017)</w:t>
          </w:r>
        </w:sdtContent>
      </w:sdt>
      <w:r>
        <w:rPr>
          <w:rtl w:val="0"/>
        </w:rPr>
        <w:t xml:space="preserve"> provide one of the earliest baseline analyses of the dataset and document the class distributions, the temporal structure of the interaction logs, and the operational meaning of the pass, fail, and withdrawn labels. Subsequent contributions from </w:t>
      </w:r>
      <w:r>
        <w:rPr>
          <w:rtl w:val="0"/>
        </w:rPr>
        <w:t xml:space="preserve">Waheed et al. </w:t>
      </w:r>
      <w:sdt>
        <w:sdtPr>
          <w:rPr>
            <w:rtl w:val="0"/>
          </w:rPr>
          <w:tag w:val="MENDELEY_CITATION_v3_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"/>
          <w:id w:val="1846324917"/>
        </w:sdtPr>
        <w:sdtContent>
          <w:r>
            <w:rPr>
              <w:rtl w:val="0"/>
            </w:rPr>
            <w:t xml:space="preserve">(2020)</w:t>
          </w:r>
        </w:sdtContent>
      </w:sdt>
      <w:r>
        <w:rPr>
          <w:rtl w:val="0"/>
        </w:rPr>
        <w:t xml:space="preserve"> and from </w:t>
      </w:r>
      <w:r>
        <w:rPr>
          <w:rtl w:val="0"/>
        </w:rPr>
        <w:t xml:space="preserve">Adnan et al. </w:t>
      </w:r>
      <w:sdt>
        <w:sdtPr>
          <w:rPr>
            <w:rtl w:val="0"/>
          </w:rPr>
          <w:tag w:val="MENDELEY_CITATION_v3_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"/>
          <w:id w:val="1565969556"/>
        </w:sdtPr>
        <w:sdtContent>
          <w:r>
            <w:rPr>
              <w:rtl w:val="0"/>
            </w:rPr>
            <w:t xml:space="preserve">(2021)</w:t>
          </w:r>
        </w:sdtContent>
      </w:sdt>
      <w:r>
        <w:rPr>
          <w:rtl w:val="0"/>
        </w:rPr>
        <w:t xml:space="preserve"> have extended this baseline with deep learning treatments and time-series formulations, respectively, and their published performance figures provide credible reference points against which the models developed in this study can be benchmarked. Adopting OULAD therefore also situates the present study within a live comparative research programme.</w:t>
      </w:r>
    </w:p>
    <w:p w:rsidR="00000000" w:rsidDel="00000000" w:rsidP="00000000" w:rsidRDefault="00000000" w:rsidRPr="00000000" w14:paraId="0000011B">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w:t>
      </w:r>
      <w:sdt>
        <w:sdtPr>
          <w:rPr>
            <w:rtl w:val="0"/>
          </w:rPr>
          <w:tag w:val="MENDELEY_CITATION_v3_eyJjaXRhdGlvbklEIjogIk1FTkRFTEVZX0NJVEFUSU9OXzU4NWEwZjI2LTg1NzEtNWJkZS05OGZlLWJhYmNjMzQ4NWI0ZC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1334754394"/>
        </w:sdtPr>
        <w:sdtContent>
          <w:r>
            <w:rPr>
              <w:rtl w:val="0"/>
            </w:rPr>
            <w:t xml:space="preserve">(Kuzilek et al., 2017)</w:t>
          </w:r>
        </w:sdtContent>
      </w:sdt>
      <w:r>
        <w:rPr>
          <w:rtl w:val="0"/>
        </w:rPr>
        <w:t xml:space="preserve">. These data types correspond directly to the feature categories most frequently identified as predictive of student at-risk status </w:t>
      </w:r>
      <w:sdt>
        <w:sdtPr>
          <w:rPr>
            <w:rtl w:val="0"/>
          </w:rPr>
          <w:tag w:val="MENDELEY_CITATION_v3_eyJjaXRhdGlvbklEIjogIk1FTkRFTEVZX0NJVEFUSU9OXzQyODk2ODUwLWYxMGMtNTliOS04NjZkLWEzZjMzNmQzZTIyMyIsICJwcm9wZXJ0aWVzIjogeyJub3RlSW5kZXgiOiAwfSwgImlzRWRpdGVkIjogZmFsc2UsICJtYW51YWxPdmVycmlkZSI6IHsiaXNNYW51YWxseU92ZXJyaWRkZW4iOiBmYWxzZSwgImNpdGVwcm9jVGV4dCI6ICIoSmluIGV0IGFsLiwgMjAyNDsgS3V6aWxlayBldCBhbC4sIDIwMTcpIiwgIm1hbnVhbE92ZXJyaWRlVGV4dCI6ICIifSwgImNpdGF0aW9uSXRlbXMiOiBb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"/>
          <w:id w:val="1638170128"/>
        </w:sdtPr>
        <w:sdtContent>
          <w:r>
            <w:rPr>
              <w:rtl w:val="0"/>
            </w:rPr>
            <w:t xml:space="preserve">(Jin et al., 2024; Kuzilek et al., 2017)</w:t>
          </w:r>
        </w:sdtContent>
      </w:sdt>
      <w:r>
        <w:rPr>
          <w:rtl w:val="0"/>
        </w:rPr>
        <w:t xml:space="preserve">. The dataset is therefore appropriate for the binary classification task adopted in this study.</w:t>
      </w:r>
    </w:p>
    <w:p w:rsidR="00000000" w:rsidDel="00000000" w:rsidP="00000000" w:rsidRDefault="00000000" w:rsidRPr="00000000" w14:paraId="0000011C">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t>
      </w:r>
      <w:r>
        <w:rPr>
          <w:rtl w:val="0"/>
        </w:rPr>
        <w:t xml:space="preserve">Waheed et al. </w:t>
      </w:r>
      <w:sdt>
        <w:sdtPr>
          <w:rPr>
            <w:rtl w:val="0"/>
          </w:rPr>
          <w:tag w:val="MENDELEY_CITATION_v3_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"/>
          <w:id w:val="-2041027014"/>
        </w:sdtPr>
        <w:sdtContent>
          <w:r>
            <w:rPr>
              <w:rtl w:val="0"/>
            </w:rPr>
            <w:t xml:space="preserve">(2020)</w:t>
          </w:r>
        </w:sdtContent>
      </w:sdt>
      <w:r>
        <w:rPr>
          <w:rtl w:val="0"/>
        </w:rPr>
        <w:t xml:space="preserve">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w:t>
      </w:r>
      <w:sdt>
        <w:sdtPr>
          <w:rPr>
            <w:rtl w:val="0"/>
          </w:rPr>
          <w:tag w:val="MENDELEY_CITATION_v3_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"/>
          <w:id w:val="1850340137"/>
        </w:sdtPr>
        <w:sdtContent>
          <w:r>
            <w:rPr>
              <w:rtl w:val="0"/>
            </w:rPr>
            <w:t xml:space="preserve">(Adnan et al., 2021; Kuzilek et al., 2017)</w:t>
          </w:r>
        </w:sdtContent>
      </w:sdt>
      <w:r>
        <w:rPr>
          <w:rtl w:val="0"/>
        </w:rPr>
        <w:t xml:space="preserve">.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1D">
      <w:pPr>
        <w:spacing w:after="160" w:lineRule="auto"/>
        <w:jc w:val="both"/>
        <w:rPr/>
      </w:pPr>
      <w:r>
        <w:rPr>
          <w:rtl w:val="0"/>
        </w:rPr>
        <w:t xml:space="preserve">OULAD is further justified by its scale, completeness, and ethical suitability. Its anonymised structure eliminates concerns relating to personally identifiable information, while its size supports the development of robust and generalisable models. The dataset is therefore selected for its relevance, comparability, and methodological consistency with existing research.</w:t>
      </w:r>
    </w:p>
    <w:p w:rsidR="00000000" w:rsidDel="00000000" w:rsidP="00000000" w:rsidRDefault="00000000" w:rsidRPr="00000000" w14:paraId="0000011E">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mapping Withdrawn and Fail to the positive class and Pass and Distinction to the negative class, following the convention adopted by </w:t>
      </w:r>
      <w:r>
        <w:rPr>
          <w:rtl w:val="0"/>
        </w:rPr>
        <w:t xml:space="preserve">Jin et al. </w:t>
      </w:r>
      <w:sdt>
        <w:sdtPr>
          <w:rPr>
            <w:rtl w:val="0"/>
          </w:rPr>
          <w:tag w:val="MENDELEY_CITATION_v3_eyJjaXRhdGlvbklEIjogIk1FTkRFTEVZX0NJVEFUSU9OX2YyZjQ1MzRiLWI1NDMtNWRmOC05ZmEwLTc0OWE1NWM4MmUzNi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1334658154"/>
        </w:sdtPr>
        <w:sdtContent>
          <w:r>
            <w:rPr>
              <w:rtl w:val="0"/>
            </w:rPr>
            <w:t xml:space="preserve">(2024)</w:t>
          </w:r>
        </w:sdtContent>
      </w:sdt>
      <w:r>
        <w:rPr>
          <w:rtl w:val="0"/>
        </w:rPr>
        <w:t xml:space="preserve"> in their systematic review of OULAD-based studies. The third stage generates cumulative and rolling-window interaction features anchored on assessment deadlines, following the temporal aggregation strategy described by </w:t>
      </w:r>
      <w:r>
        <w:rPr>
          <w:rtl w:val="0"/>
        </w:rPr>
        <w:t xml:space="preserve">Hlosta et al. </w:t>
      </w:r>
      <w:sdt>
        <w:sdtPr>
          <w:rPr>
            <w:rtl w:val="0"/>
          </w:rPr>
          <w:tag w:val="MENDELEY_CITATION_v3_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"/>
          <w:id w:val="-1001561845"/>
        </w:sdtPr>
        <w:sdtContent>
          <w:r>
            <w:rPr>
              <w:rtl w:val="0"/>
            </w:rPr>
            <w:t xml:space="preserve">(2017)</w:t>
          </w:r>
        </w:sdtContent>
      </w:sdt>
      <w:r>
        <w:rPr>
          <w:rtl w:val="0"/>
        </w:rPr>
        <w:t xml:space="preserve">. The fourth stage encodes the categorical attributes, including module, gender, region, highest education, index of multiple deprivation band, age band, and disability, using one-hot representations (Chapter 5, Section 5.2). The fifth stage records the course presentation (code_presentation) for each observation so cross-validation folds can be grouped by presentation, mitigating the risk of optimistic estimates from ignoring the data's panel structure, a concern raised by </w:t>
      </w:r>
      <w:r>
        <w:rPr>
          <w:rtl w:val="0"/>
        </w:rPr>
        <w:t xml:space="preserve">Rebelo Marcolino et al. </w:t>
      </w:r>
      <w:sdt>
        <w:sdtPr>
          <w:rPr>
            <w:rtl w:val="0"/>
          </w:rPr>
          <w:tag w:val="MENDELEY_CITATION_v3_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"/>
          <w:id w:val="-1683216473"/>
        </w:sdtPr>
        <w:sdtContent>
          <w:r>
            <w:rPr>
              <w:rtl w:val="0"/>
            </w:rPr>
            <w:t xml:space="preserve">(2025)</w:t>
          </w:r>
        </w:sdtContent>
      </w:sdt>
      <w:r>
        <w:rPr>
          <w:rtl w:val="0"/>
        </w:rPr>
        <w:t xml:space="preserve"> in their optimisation study of Moodle log data.</w:t>
      </w:r>
    </w:p>
    <w:p w:rsidR="00000000" w:rsidDel="00000000" w:rsidP="00000000" w:rsidRDefault="00000000" w:rsidRPr="00000000" w14:paraId="0000011F">
      <w:pPr>
        <w:spacing w:after="160" w:lineRule="auto"/>
        <w:jc w:val="both"/>
        <w:rPr/>
      </w:pPr>
      <w:r>
        <w:rPr>
          <w:rtl w:val="0"/>
        </w:rPr>
        <w:t xml:space="preserve">Missing values are handled in two ways. Assessment and interaction counts are set to zero where a student has no recorded submissions or activity, because no record means no activity. Any remaining missing values, such as a missing index of multiple deprivation band, are filled inside the model pipeline, with the median for numeric features and the most frequent category for categorical ones, fitted on the training folds only so that no information passes from the validation data. </w:t>
      </w:r>
      <w:r>
        <w:rPr>
          <w:rtl w:val="0"/>
        </w:rPr>
        <w:t xml:space="preserve">Van Buuren </w:t>
      </w:r>
      <w:sdt>
        <w:sdtPr>
          <w:rPr>
            <w:rtl w:val="0"/>
          </w:rPr>
          <w:tag w:val="MENDELEY_CITATION_v3_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"/>
          <w:id w:val="1598444176"/>
        </w:sdtPr>
        <w:sdtContent>
          <w:r>
            <w:rPr>
              <w:rtl w:val="0"/>
            </w:rPr>
            <w:t xml:space="preserve">(2018)</w:t>
          </w:r>
        </w:sdtContent>
      </w:sdt>
      <w:r>
        <w:rPr>
          <w:rtl w:val="0"/>
        </w:rPr>
        <w:t xml:space="preserve"> notes that indicator encoding can be preferable to simple imputation when missingness may itself be informative, a condition that is plausible for administrative educational data, so adding missingness indicators is a possible refinement.</w:t>
      </w:r>
    </w:p>
    <w:p w:rsidR="00000000" w:rsidDel="00000000" w:rsidP="00000000" w:rsidRDefault="00000000" w:rsidRPr="00000000" w14:paraId="00000120">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21">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w:t>
      </w:r>
      <w:sdt>
        <w:sdtPr>
          <w:rPr>
            <w:rtl w:val="0"/>
          </w:rPr>
          <w:tag w:val="MENDELEY_CITATION_v3_eyJjaXRhdGlvbklEIjogIk1FTkRFTEVZX0NJVEFUSU9OXzc1MzhlZDkyLWE2MTktNTU4My1iMWQ5LTllMzIzNzUyODhkMCIsICJwcm9wZXJ0aWVzIjogeyJub3RlSW5kZXgiOiAwfSwgImlzRWRpdGVkIjogZmFsc2UsICJtYW51YWxPdmVycmlkZSI6IHsiaXNNYW51YWxseU92ZXJyaWRkZW4iOiBmYWxzZSwgImNpdGVwcm9jVGV4dCI6ICIoSmluIGV0IGFsLiwg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X1dfQ=="/>
          <w:id w:val="1540146295"/>
        </w:sdtPr>
        <w:sdtContent>
          <w:r>
            <w:rPr>
              <w:rtl w:val="0"/>
            </w:rPr>
            <w:t xml:space="preserve">(Jin et al., 2024)</w:t>
          </w:r>
        </w:sdtContent>
      </w:sdt>
      <w:r>
        <w:rPr>
          <w:rtl w:val="0"/>
        </w:rPr>
        <w:t xml:space="preserve">.</w:t>
      </w:r>
    </w:p>
    <w:p w:rsidR="00000000" w:rsidDel="00000000" w:rsidP="00000000" w:rsidRDefault="00000000" w:rsidRPr="00000000" w14:paraId="00000122">
      <w:pPr>
        <w:spacing w:after="160" w:lineRule="auto"/>
        <w:jc w:val="both"/>
        <w:rPr/>
      </w:pPr>
      <w:r>
        <w:rPr>
          <w:rtl w:val="0"/>
        </w:rPr>
        <w:t xml:space="preserve">The binary formulation is preferred over multi-class or regression alternatives for two principled reasons. First, the classifier supports an immediate screening decision: whether to flag a student for further consideration. </w:t>
      </w:r>
      <w:r>
        <w:rPr>
          <w:rtl w:val="0"/>
        </w:rPr>
        <w:t xml:space="preserve">Albreiki et al. </w:t>
      </w:r>
      <w:sdt>
        <w:sdtPr>
          <w:rPr>
            <w:rtl w:val="0"/>
          </w:rPr>
          <w:tag w:val="MENDELEY_CITATION_v3_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"/>
          <w:id w:val="-1192138111"/>
        </w:sdtPr>
        <w:sdtContent>
          <w:r>
            <w:rPr>
              <w:rtl w:val="0"/>
            </w:rPr>
            <w:t xml:space="preserve">(2021)</w:t>
          </w:r>
        </w:sdtContent>
      </w:sdt>
      <w:r>
        <w:rPr>
          <w:rtl w:val="0"/>
        </w:rPr>
        <w:t xml:space="preserve"> report that most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w:t>
      </w:r>
      <w:sdt>
        <w:sdtPr>
          <w:rPr>
            <w:rtl w:val="0"/>
          </w:rPr>
          <w:tag w:val="MENDELEY_CITATION_v3_eyJjaXRhdGlvbklEIjogIk1FTkRFTEVZX0NJVEFUSU9OXzAzMDRkNjJjLTk1MGMtNTcyMi05YTE2LTJlMzljNGVhMjQ1ZS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170496300"/>
        </w:sdtPr>
        <w:sdtContent>
          <w:r>
            <w:rPr>
              <w:rtl w:val="0"/>
            </w:rPr>
            <w:t xml:space="preserve">(Kuzilek et al., 2017)</w:t>
          </w:r>
        </w:sdtContent>
      </w:sdt>
      <w:r>
        <w:rPr>
          <w:rtl w:val="0"/>
        </w:rPr>
        <w:t xml:space="preserve">.</w:t>
      </w:r>
    </w:p>
    <w:p w:rsidR="00000000" w:rsidDel="00000000" w:rsidP="00000000" w:rsidRDefault="00000000" w:rsidRPr="00000000" w14:paraId="00000123">
      <w:pPr>
        <w:spacing w:after="160" w:lineRule="auto"/>
        <w:jc w:val="both"/>
        <w:rPr/>
      </w:pPr>
      <w:r>
        <w:rPr>
          <w:rtl w:val="0"/>
        </w:rPr>
        <w:t xml:space="preserve">Prior studies identify submission timeliness, VLE interaction frequency, assessment performance trends, and demographic indicators as key predictors of student outcomes </w:t>
      </w:r>
      <w:sdt>
        <w:sdtPr>
          <w:rPr>
            <w:rtl w:val="0"/>
          </w:rPr>
          <w:tag w:val="MENDELEY_CITATION_v3_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"/>
          <w:id w:val="-1169968454"/>
        </w:sdtPr>
        <w:sdtContent>
          <w:r>
            <w:rPr>
              <w:rtl w:val="0"/>
            </w:rPr>
            <w:t xml:space="preserve">(Guevara-Reyes et al., 2025; Wang, 2025)</w:t>
          </w:r>
        </w:sdtContent>
      </w:sdt>
      <w:r>
        <w:rPr>
          <w:rtl w:val="0"/>
        </w:rPr>
        <w:t xml:space="preserve">. Selecting these features aligns with existing empirical findings and supports interpretability.</w:t>
      </w:r>
    </w:p>
    <w:p w:rsidR="00000000" w:rsidDel="00000000" w:rsidP="00000000" w:rsidRDefault="00000000" w:rsidRPr="00000000" w14:paraId="00000124">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w:t>
      </w:r>
      <w:sdt>
        <w:sdtPr>
          <w:rPr>
            <w:rtl w:val="0"/>
          </w:rPr>
          <w:tag w:val="MENDELEY_CITATION_v3_eyJjaXRhdGlvbklEIjogIk1FTkRFTEVZX0NJVEFUSU9OXzY4NWE3NjhlLTM4YmYtNWU5OC1hZDU5LTJjNmExOTZhN2I2MC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1317997513"/>
        </w:sdtPr>
        <w:sdtContent>
          <w:r>
            <w:rPr>
              <w:rtl w:val="0"/>
            </w:rPr>
            <w:t xml:space="preserve">(Kuzilek et al., 2017)</w:t>
          </w:r>
        </w:sdtContent>
      </w:sdt>
      <w:r>
        <w:rPr>
          <w:rtl w:val="0"/>
        </w:rPr>
        <w:t xml:space="preserve">. The assessment family captures scores achieved on tutor-marked and computer-marked assessments, together with submission latency computed as the interval between assessment release and submission, following the timeliness features shown by </w:t>
      </w:r>
      <w:r>
        <w:rPr>
          <w:rtl w:val="0"/>
        </w:rPr>
        <w:t xml:space="preserve">Hussain et al. </w:t>
      </w:r>
      <w:sdt>
        <w:sdtPr>
          <w:rPr>
            <w:rtl w:val="0"/>
          </w:rPr>
          <w:tag w:val="MENDELEY_CITATION_v3_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"/>
          <w:id w:val="-737609300"/>
        </w:sdtPr>
        <w:sdtContent>
          <w:r>
            <w:rPr>
              <w:rtl w:val="0"/>
            </w:rPr>
            <w:t xml:space="preserve">(2018)</w:t>
          </w:r>
        </w:sdtContent>
      </w:sdt>
      <w:r>
        <w:rPr>
          <w:rtl w:val="0"/>
        </w:rPr>
        <w:t xml:space="preserve">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25">
      <w:pPr>
        <w:spacing w:after="160" w:lineRule="auto"/>
        <w:jc w:val="both"/>
        <w:rPr/>
      </w:pPr>
      <w:r>
        <w:rPr>
          <w:rtl w:val="0"/>
        </w:rPr>
        <w:t xml:space="preserve">This study compares three ensemble models: Random Forest, XGBoost, and Gradient Boosting Classifier. Ensemble methods are justified by their demonstrated superiority in predictive performance across multiple studies </w:t>
      </w:r>
      <w:sdt>
        <w:sdtPr>
          <w:rPr>
            <w:rtl w:val="0"/>
          </w:rPr>
          <w:tag w:val="MENDELEY_CITATION_v3_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V9XX0="/>
          <w:id w:val="1564883977"/>
        </w:sdtPr>
        <w:sdtContent>
          <w:r>
            <w:rPr>
              <w:rtl w:val="0"/>
            </w:rPr>
            <w:t xml:space="preserve">(Rebelo Marcolino et al., 2025; Wang, 2025)</w:t>
          </w:r>
        </w:sdtContent>
      </w:sdt>
      <w:r>
        <w:rPr>
          <w:rtl w:val="0"/>
        </w:rPr>
        <w:t xml:space="preserve">. F1-score is used for comparative reporting because it provides a balanced measure of performance in the presence of class imbalance </w:t>
      </w:r>
      <w:sdt>
        <w:sdtPr>
          <w:rPr>
            <w:rtl w:val="0"/>
          </w:rPr>
          <w:tag w:val="MENDELEY_CITATION_v3_eyJjaXRhdGlvbklEIjogIk1FTkRFTEVZX0NJVEFUSU9OXzdkYzc4NjcxLTJlNmYtNTIyNC05ZmE4LTBkOTRhNzc3ZTNhOSIsICJwcm9wZXJ0aWVzIjogeyJub3RlSW5kZXgiOiAwfSwgImlzRWRpdGVkIjogZmFsc2UsICJtYW51YWxPdmVycmlkZSI6IHsiaXNNYW51YWxseU92ZXJyaWRkZW4iOiBmYWxzZSwgImNpdGVwcm9jVGV4dCI6ICIoSmluIGV0IGFsLiwg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X1dfQ=="/>
          <w:id w:val="-948650920"/>
        </w:sdtPr>
        <w:sdtContent>
          <w:r>
            <w:rPr>
              <w:rtl w:val="0"/>
            </w:rPr>
            <w:t xml:space="preserve">(Jin et al., 2024)</w:t>
          </w:r>
        </w:sdtContent>
      </w:sdt>
      <w:r>
        <w:rPr>
          <w:rtl w:val="0"/>
        </w:rPr>
        <w:t xml:space="preserve">.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26">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w:t>
      </w:r>
      <w:r>
        <w:rPr>
          <w:rtl w:val="0"/>
        </w:rPr>
        <w:t xml:space="preserve">Breiman </w:t>
      </w:r>
      <w:sdt>
        <w:sdtPr>
          <w:rPr>
            <w:rtl w:val="0"/>
          </w:rPr>
          <w:tag w:val="MENDELEY_CITATION_v3_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"/>
          <w:id w:val="155545383"/>
        </w:sdtPr>
        <w:sdtContent>
          <w:r>
            <w:rPr>
              <w:rtl w:val="0"/>
            </w:rPr>
            <w:t xml:space="preserve">(2001)</w:t>
          </w:r>
        </w:sdtContent>
      </w:sdt>
      <w:r>
        <w:rPr>
          <w:rtl w:val="0"/>
        </w:rPr>
        <w:t xml:space="preserve">, reduces variance by averaging deep, decorrelated trees and remains a widely regarded strong general-purpose baseline for tabular classification. XGBoost, introduced by </w:t>
      </w:r>
      <w:r>
        <w:rPr>
          <w:rtl w:val="0"/>
        </w:rPr>
        <w:t xml:space="preserve">T. Chen and Guestrin </w:t>
      </w:r>
      <w:sdt>
        <w:sdtPr>
          <w:rPr>
            <w:rtl w:val="0"/>
          </w:rPr>
          <w:tag w:val="MENDELEY_CITATION_v3_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"/>
          <w:id w:val="1886509177"/>
        </w:sdtPr>
        <w:sdtContent>
          <w:r>
            <w:rPr>
              <w:rtl w:val="0"/>
            </w:rPr>
            <w:t xml:space="preserve">(2016)</w:t>
          </w:r>
        </w:sdtContent>
      </w:sdt>
      <w:r>
        <w:rPr>
          <w:rtl w:val="0"/>
        </w:rPr>
        <w:t xml:space="preserve">, applies regularised gradient boosting on decision trees and has become the reference implementation for boosting on structured data, particularly with heterogeneous feature types. The Gradient Boosting Classifier, as implemented in scikit-learn following </w:t>
      </w:r>
      <w:r>
        <w:rPr>
          <w:rtl w:val="0"/>
        </w:rPr>
        <w:t xml:space="preserve">Friedman </w:t>
      </w:r>
      <w:sdt>
        <w:sdtPr>
          <w:rPr>
            <w:rtl w:val="0"/>
          </w:rPr>
          <w:tag w:val="MENDELEY_CITATION_v3_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"/>
          <w:id w:val="2020355234"/>
        </w:sdtPr>
        <w:sdtContent>
          <w:r>
            <w:rPr>
              <w:rtl w:val="0"/>
            </w:rPr>
            <w:t xml:space="preserve">(2001)</w:t>
          </w:r>
        </w:sdtContent>
      </w:sdt>
      <w:r>
        <w:rPr>
          <w:rtl w:val="0"/>
        </w:rPr>
        <w:t xml:space="preserve">, provides a more conservative boosting baseline against which the XGBoost configuration can be compared. This three-way comparison follows the pattern established by </w:t>
      </w:r>
      <w:r>
        <w:rPr>
          <w:rtl w:val="0"/>
        </w:rPr>
        <w:t xml:space="preserve">Rebelo Marcolino et al. </w:t>
      </w:r>
      <w:sdt>
        <w:sdtPr>
          <w:rPr>
            <w:rtl w:val="0"/>
          </w:rPr>
          <w:tag w:val="MENDELEY_CITATION_v3_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"/>
          <w:id w:val="-1007314299"/>
        </w:sdtPr>
        <w:sdtContent>
          <w:r>
            <w:rPr>
              <w:rtl w:val="0"/>
            </w:rPr>
            <w:t xml:space="preserve">(2025)</w:t>
          </w:r>
        </w:sdtContent>
      </w:sdt>
      <w:r>
        <w:rPr>
          <w:rtl w:val="0"/>
        </w:rPr>
        <w:t xml:space="preserve"> and by </w:t>
      </w:r>
      <w:r>
        <w:rPr>
          <w:rtl w:val="0"/>
        </w:rPr>
        <w:t xml:space="preserve">Guevara-Reyes et al. </w:t>
      </w:r>
      <w:sdt>
        <w:sdtPr>
          <w:rPr>
            <w:rtl w:val="0"/>
          </w:rPr>
          <w:tag w:val="MENDELEY_CITATION_v3_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"/>
          <w:id w:val="-281046516"/>
        </w:sdtPr>
        <w:sdtContent>
          <w:r>
            <w:rPr>
              <w:rtl w:val="0"/>
            </w:rPr>
            <w:t xml:space="preserve">(2025)</w:t>
          </w:r>
        </w:sdtContent>
      </w:sdt>
      <w:r>
        <w:rPr>
          <w:rtl w:val="0"/>
        </w:rPr>
        <w:t xml:space="preserve">,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27">
      <w:pPr>
        <w:spacing w:after="160" w:lineRule="auto"/>
        <w:jc w:val="both"/>
        <w:rPr/>
      </w:pPr>
      <w:r>
        <w:rPr>
          <w:rtl w:val="0"/>
        </w:rPr>
        <w:t xml:space="preserve">The final evaluation used four-fold GroupKFold cross-validation grouped by course presentation (code_presentation), so observations from the same presentation never appear in both the training and validation partitions of a fold, avoiding the leakage pattern criticised by </w:t>
      </w:r>
      <w:r>
        <w:rPr>
          <w:rtl w:val="0"/>
        </w:rPr>
        <w:t xml:space="preserve">Krstajic et al. </w:t>
      </w:r>
      <w:sdt>
        <w:sdtPr>
          <w:rPr>
            <w:rtl w:val="0"/>
          </w:rPr>
          <w:tag w:val="MENDELEY_CITATION_v3_eyJjaXRhdGlvbklEIjogIk1FTkRFTEVZX0NJVEFUSU9OX2FhYjQ1MWE2LTNkNWUtNWJiOS04ZmUwLTViYjllNWMzZjFkYS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800249825"/>
        </w:sdtPr>
        <w:sdtContent>
          <w:r>
            <w:rPr>
              <w:rtl w:val="0"/>
            </w:rPr>
            <w:t xml:space="preserve">(2014)</w:t>
          </w:r>
        </w:sdtContent>
      </w:sdt>
      <w:r>
        <w:rPr>
          <w:rtl w:val="0"/>
        </w:rPr>
        <w:t xml:space="preserve">.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the training code also records ROC-AUC.</w:t>
      </w:r>
    </w:p>
    <w:p w:rsidR="00000000" w:rsidDel="00000000" w:rsidP="00000000" w:rsidRDefault="00000000" w:rsidRPr="00000000" w14:paraId="00000128">
      <w:pPr>
        <w:pStyle w:val="Heading3"/>
        <w:keepNext w:val="0"/>
        <w:keepLines w:val="0"/>
        <w:spacing w:after="100" w:before="200" w:lineRule="auto"/>
        <w:rPr/>
      </w:pPr>
      <w:bookmarkStart w:colFirst="0" w:colLast="0" w:name="_heading=h.rev028" w:id="28"/>
      <w:bookmarkEnd w:id="28"/>
      <w:r>
        <w:rPr>
          <w:color w:val="000000"/>
          <w:rtl w:val="0"/>
        </w:rPr>
        <w:t xml:space="preserve">3.4.1 Planned but Not Implemented Methodological Extensions</w:t>
      </w:r>
      <w:r>
        <w:rPr>
          <w:rtl w:val="0"/>
        </w:rPr>
      </w:r>
    </w:p>
    <w:p w:rsidR="00000000" w:rsidDel="00000000" w:rsidP="00000000" w:rsidRDefault="00000000" w:rsidRPr="00000000" w14:paraId="00000129">
      <w:pPr>
        <w:spacing w:after="160" w:lineRule="auto"/>
        <w:jc w:val="both"/>
        <w:rPr/>
      </w:pPr>
      <w:r>
        <w:rPr>
          <w:rtl w:val="0"/>
        </w:rPr>
        <w:t xml:space="preserve">The original study design specified several refinements to the modelling and evaluation pipeline that were not implemented in the final evaluation. They are recorded here so that this chapter describes the final method accurately while remaining transparent about the original plan. Chapter 2, Section 2.2 reviews the literature motivating each refinement.</w:t>
      </w:r>
    </w:p>
    <w:p w:rsidR="00000000" w:rsidDel="00000000" w:rsidP="00000000" w:rsidRDefault="00000000" w:rsidRPr="00000000" w14:paraId="0000012A">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rsidR="00000000" w:rsidDel="00000000" w:rsidP="00000000" w:rsidRDefault="00000000" w:rsidRPr="00000000" w14:paraId="0000012B">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rsidR="00000000" w:rsidDel="00000000" w:rsidP="00000000" w:rsidRDefault="00000000" w:rsidRPr="00000000" w14:paraId="0000012C">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rsidR="00000000" w:rsidDel="00000000" w:rsidP="00000000" w:rsidRDefault="00000000" w:rsidRPr="00000000" w14:paraId="0000012D">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rsidR="00000000" w:rsidDel="00000000" w:rsidP="00000000" w:rsidRDefault="00000000" w:rsidRPr="00000000" w14:paraId="0000012E">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rsidR="00000000" w:rsidDel="00000000" w:rsidP="00000000" w:rsidRDefault="00000000" w:rsidRPr="00000000" w14:paraId="0000012F">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rsidR="00000000" w:rsidDel="00000000" w:rsidP="00000000" w:rsidRDefault="00000000" w:rsidRPr="00000000" w14:paraId="00000130">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31">
      <w:pPr>
        <w:pStyle w:val="Heading2"/>
        <w:keepNext w:val="0"/>
        <w:keepLines w:val="0"/>
        <w:spacing w:before="200" w:lineRule="auto"/>
        <w:rPr/>
      </w:pPr>
      <w:bookmarkStart w:colFirst="0" w:colLast="0" w:name="_heading=h.nv3ty9s1ny2h" w:id="29"/>
      <w:bookmarkEnd w:id="29"/>
      <w:r>
        <w:rPr>
          <w:color w:val="000000"/>
          <w:rtl w:val="0"/>
        </w:rPr>
        <w:t xml:space="preserve">3.5 Explainability Integration</w:t>
      </w:r>
      <w:r>
        <w:rPr>
          <w:rtl w:val="0"/>
        </w:rPr>
      </w:r>
    </w:p>
    <w:p w:rsidR="00000000" w:rsidDel="00000000" w:rsidP="00000000" w:rsidRDefault="00000000" w:rsidRPr="00000000" w14:paraId="00000132">
      <w:pPr>
        <w:spacing w:after="160" w:lineRule="auto"/>
        <w:jc w:val="both"/>
        <w:rPr/>
      </w:pPr>
      <w:r>
        <w:rPr>
          <w:rtl w:val="0"/>
        </w:rPr>
        <w:t xml:space="preserve">Integrating explainable AI techniques is necessary to address the limited interpretability of predictive models in educational contexts. Prior research indicates that risk predictions without explanation provide limited support for decision-making </w:t>
      </w:r>
      <w:sdt>
        <w:sdtPr>
          <w:rPr>
            <w:rtl w:val="0"/>
          </w:rPr>
          <w:tag w:val="MENDELEY_CITATION_v3_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"/>
          <w:id w:val="49061677"/>
        </w:sdtPr>
        <w:sdtContent>
          <w:r>
            <w:rPr>
              <w:rtl w:val="0"/>
            </w:rPr>
            <w:t xml:space="preserve">(Ahmed et al., 2025; Ali et al., 2023)</w:t>
          </w:r>
        </w:sdtContent>
      </w:sdt>
      <w:r>
        <w:rPr>
          <w:rtl w:val="0"/>
        </w:rPr>
        <w:t xml:space="preserve">.</w:t>
      </w:r>
    </w:p>
    <w:p w:rsidR="00000000" w:rsidDel="00000000" w:rsidP="00000000" w:rsidRDefault="00000000" w:rsidRPr="00000000" w14:paraId="00000133">
      <w:pPr>
        <w:spacing w:after="160" w:lineRule="auto"/>
        <w:jc w:val="both"/>
        <w:rPr/>
      </w:pPr>
      <w:r>
        <w:rPr>
          <w:rtl w:val="0"/>
        </w:rPr>
        <w:t xml:space="preserve">The explanation subsystem design is grounded in the distinction </w:t>
      </w:r>
      <w:r>
        <w:rPr>
          <w:rtl w:val="0"/>
        </w:rPr>
        <w:t xml:space="preserve">Doshi-Velez and Kim </w:t>
      </w:r>
      <w:sdt>
        <w:sdtPr>
          <w:rPr>
            <w:rtl w:val="0"/>
          </w:rPr>
          <w:tag w:val="MENDELEY_CITATION_v3_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"/>
          <w:id w:val="328943149"/>
        </w:sdtPr>
        <w:sdtContent>
          <w:r>
            <w:rPr>
              <w:rtl w:val="0"/>
            </w:rPr>
            <w:t xml:space="preserve">(2017)</w:t>
          </w:r>
        </w:sdtContent>
      </w:sdt>
      <w:r>
        <w:rPr>
          <w:rtl w:val="0"/>
        </w:rPr>
        <w:t xml:space="preserve"> draw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w:t>
      </w:r>
      <w:r>
        <w:rPr>
          <w:rtl w:val="0"/>
        </w:rPr>
        <w:t xml:space="preserve">Adadi and Berrada </w:t>
      </w:r>
      <w:sdt>
        <w:sdtPr>
          <w:rPr>
            <w:rtl w:val="0"/>
          </w:rPr>
          <w:tag w:val="MENDELEY_CITATION_v3_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"/>
          <w:id w:val="-1053458804"/>
        </w:sdtPr>
        <w:sdtContent>
          <w:r>
            <w:rPr>
              <w:rtl w:val="0"/>
            </w:rPr>
            <w:t xml:space="preserve">(2018)</w:t>
          </w:r>
        </w:sdtContent>
      </w:sdt>
      <w:r>
        <w:rPr>
          <w:rtl w:val="0"/>
        </w:rPr>
        <w:t xml:space="preserve"> argue that in domains such as education, where the accuracy of the underlying model has direct consequences for the students subject to intervention, the post-hoc route is generally preferable, provided the resulting explanations undergo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34">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w:t>
      </w:r>
      <w:sdt>
        <w:sdtPr>
          <w:rPr>
            <w:rtl w:val="0"/>
          </w:rPr>
          <w:tag w:val="MENDELEY_CITATION_v3_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"/>
          <w:id w:val="896725968"/>
        </w:sdtPr>
        <w:sdtContent>
          <w:r>
            <w:rPr>
              <w:rtl w:val="0"/>
            </w:rPr>
            <w:t xml:space="preserve">(Gunasekara &amp; Saarela, 2025; Nnadi et al., 2024; Salih et al., 2025)</w:t>
          </w:r>
        </w:sdtContent>
      </w:sdt>
      <w:r>
        <w:rPr>
          <w:rtl w:val="0"/>
        </w:rPr>
        <w:t xml:space="preserve">. The use of both techniques ensures that explanations are available at different levels of analysis.</w:t>
      </w:r>
    </w:p>
    <w:p w:rsidR="00000000" w:rsidDel="00000000" w:rsidP="00000000" w:rsidRDefault="00000000" w:rsidRPr="00000000" w14:paraId="00000135">
      <w:pPr>
        <w:spacing w:after="160" w:lineRule="auto"/>
        <w:jc w:val="both"/>
        <w:rPr/>
      </w:pPr>
      <w:r>
        <w:rPr>
          <w:rtl w:val="0"/>
        </w:rPr>
        <w:t xml:space="preserve">SHAP is grounded in the game-theoretic framework of Shapley values and is implemented in this study using the TreeSHAP algorithm proposed by </w:t>
      </w:r>
      <w:r>
        <w:rPr>
          <w:rtl w:val="0"/>
        </w:rPr>
        <w:t xml:space="preserve">Lundberg et al. </w:t>
      </w:r>
      <w:sdt>
        <w:sdtPr>
          <w:rPr>
            <w:rtl w:val="0"/>
          </w:rPr>
          <w:tag w:val="MENDELEY_CITATION_v3_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"/>
          <w:id w:val="732843843"/>
        </w:sdtPr>
        <w:sdtContent>
          <w:r>
            <w:rPr>
              <w:rtl w:val="0"/>
            </w:rPr>
            <w:t xml:space="preserve">(2020)</w:t>
          </w:r>
        </w:sdtContent>
      </w:sdt>
      <w:r>
        <w:rPr>
          <w:rtl w:val="0"/>
        </w:rPr>
        <w:t xml:space="preserve">, which computes exact Shapley values for tree ensembles in polynomial time and thereby renders the method tractable for the OULAD-scale feature space. LIME, introduced by </w:t>
      </w:r>
      <w:r>
        <w:rPr>
          <w:rtl w:val="0"/>
        </w:rPr>
        <w:t xml:space="preserve">Ribeiro et al. </w:t>
      </w:r>
      <w:sdt>
        <w:sdtPr>
          <w:rPr>
            <w:rtl w:val="0"/>
          </w:rPr>
          <w:tag w:val="MENDELEY_CITATION_v3_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"/>
          <w:id w:val="-583164330"/>
        </w:sdtPr>
        <w:sdtContent>
          <w:r>
            <w:rPr>
              <w:rtl w:val="0"/>
            </w:rPr>
            <w:t xml:space="preserve">(2016)</w:t>
          </w:r>
        </w:sdtContent>
      </w:sdt>
      <w:r>
        <w:rPr>
          <w:rtl w:val="0"/>
        </w:rPr>
        <w:t xml:space="preserve">, fits a sparse linear surrogate to the behaviour of the model in the local neighbourhood of a given prediction and returns the surrogate coefficients as feature-level explanations. The two methods are complementary rather than redundant: SHAP is formulated to satisfy properties such as local accuracy and consistency </w:t>
      </w:r>
      <w:sdt>
        <w:sdtPr>
          <w:rPr>
            <w:rtl w:val="0"/>
          </w:rPr>
          <w:tag w:val="MENDELEY_CITATION_v3_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"/>
          <w:id w:val="1494714259"/>
        </w:sdtPr>
        <w:sdtContent>
          <w:r>
            <w:rPr>
              <w:rtl w:val="0"/>
            </w:rPr>
            <w:t xml:space="preserve">(Lundberg &amp; Lee, 2017)</w:t>
          </w:r>
        </w:sdtContent>
      </w:sdt>
      <w:r>
        <w:rPr>
          <w:rtl w:val="0"/>
        </w:rPr>
        <w:t xml:space="preserve">, although these properties depend on the exact SHAP formulation and its assumptions, including the assumption of feature independence discussed by </w:t>
      </w:r>
      <w:r>
        <w:rPr>
          <w:rtl w:val="0"/>
        </w:rPr>
        <w:t xml:space="preserve">Salih et al. </w:t>
      </w:r>
      <w:sdt>
        <w:sdtPr>
          <w:rPr>
            <w:rtl w:val="0"/>
          </w:rPr>
          <w:tag w:val="MENDELEY_CITATION_v3_eyJjaXRhdGlvbklEIjogIk1FTkRFTEVZX0NJVEFUSU9OXzk4NDllMWQxLTVhMTYtNTE3ZS04NjM5LWE0NzZhNzNiZjBlMi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393449451"/>
        </w:sdtPr>
        <w:sdtContent>
          <w:r>
            <w:rPr>
              <w:rtl w:val="0"/>
            </w:rPr>
            <w:t xml:space="preserve">(2025)</w:t>
          </w:r>
        </w:sdtContent>
      </w:sdt>
      <w:r>
        <w:rPr>
          <w:rtl w:val="0"/>
        </w:rPr>
        <w:t xml:space="preserve">, whereas LIME provides a more intuitive linear approximation that many practitioners find easier to reason about in isolation. </w:t>
      </w:r>
      <w:r>
        <w:rPr>
          <w:rtl w:val="0"/>
        </w:rPr>
        <w:t xml:space="preserve">Salih et al. </w:t>
      </w:r>
      <w:sdt>
        <w:sdtPr>
          <w:rPr>
            <w:rtl w:val="0"/>
          </w:rPr>
          <w:tag w:val="MENDELEY_CITATION_v3_eyJjaXRhdGlvbklEIjogIk1FTkRFTEVZX0NJVEFUSU9OXzVmZTQ0NTA0LTU5ZWQtNTU4Ni04ZDU4LWMzZjVlMTJkNTVlOC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1600786698"/>
        </w:sdtPr>
        <w:sdtContent>
          <w:r>
            <w:rPr>
              <w:rtl w:val="0"/>
            </w:rPr>
            <w:t xml:space="preserve">(2025)</w:t>
          </w:r>
        </w:sdtContent>
      </w:sdt>
      <w:r>
        <w:rPr>
          <w:rtl w:val="0"/>
        </w:rPr>
        <w:t xml:space="preserve"> argue explicitly for the joint use of both techniques as a form of methodological triangulation, and this argument is adopted here.</w:t>
      </w:r>
    </w:p>
    <w:p w:rsidR="00000000" w:rsidDel="00000000" w:rsidP="00000000" w:rsidRDefault="00000000" w:rsidRPr="00000000" w14:paraId="00000136">
      <w:pPr>
        <w:spacing w:after="160" w:lineRule="auto"/>
        <w:jc w:val="both"/>
        <w:rPr/>
      </w:pPr>
      <w:r>
        <w:rPr>
          <w:rtl w:val="0"/>
        </w:rPr>
        <w:t xml:space="preserve">The explanation subsystem was also designed to incorporate safeguards against the known failure modes of post-hoc methods. </w:t>
      </w:r>
      <w:r>
        <w:rPr>
          <w:rtl w:val="0"/>
        </w:rPr>
        <w:t xml:space="preserve">Slack et al. </w:t>
      </w:r>
      <w:sdt>
        <w:sdtPr>
          <w:rPr>
            <w:rtl w:val="0"/>
          </w:rPr>
          <w:tag w:val="MENDELEY_CITATION_v3_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"/>
          <w:id w:val="1891347559"/>
        </w:sdtPr>
        <w:sdtContent>
          <w:r>
            <w:rPr>
              <w:rtl w:val="0"/>
            </w:rPr>
            <w:t xml:space="preserve">(2020)</w:t>
          </w:r>
        </w:sdtContent>
      </w:sdt>
      <w:r>
        <w:rPr>
          <w:rtl w:val="0"/>
        </w:rPr>
        <w:t xml:space="preserve"> show that SHAP and LIME can be manipulated by adversarial classifiers to conceal discriminatory behaviour, and although the present study does not confront an adversarial setting, the same underlying sensitivity to perturbation choices motivates reporting stability metrics. The methodology proposed quantifying stability using the Jaccard similarity of the top-k feature sets returned by repeated LIME runs on the same instance with different random seeds, following the protocol of </w:t>
      </w:r>
      <w:r>
        <w:rPr>
          <w:rtl w:val="0"/>
        </w:rPr>
        <w:t xml:space="preserve">Visani et al. </w:t>
      </w:r>
      <w:sdt>
        <w:sdtPr>
          <w:rPr>
            <w:rtl w:val="0"/>
          </w:rPr>
          <w:tag w:val="MENDELEY_CITATION_v3_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"/>
          <w:id w:val="1730036646"/>
        </w:sdtPr>
        <w:sdtContent>
          <w:r>
            <w:rPr>
              <w:rtl w:val="0"/>
            </w:rPr>
            <w:t xml:space="preserve">(2022)</w:t>
          </w:r>
        </w:sdtContent>
      </w:sdt>
      <w:r>
        <w:rPr>
          <w:rtl w:val="0"/>
        </w:rPr>
        <w:t xml:space="preserve">,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37">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38">
      <w:pPr>
        <w:spacing w:after="160" w:lineRule="auto"/>
        <w:jc w:val="both"/>
        <w:rPr/>
      </w:pPr>
      <w:r>
        <w:rPr>
          <w:rtl w:val="0"/>
        </w:rPr>
        <w:t xml:space="preserve">The presentation of explanations is shaped by the pragmatics of explanation set out by </w:t>
      </w:r>
      <w:r>
        <w:rPr>
          <w:rtl w:val="0"/>
        </w:rPr>
        <w:t xml:space="preserve">Miller </w:t>
      </w:r>
      <w:sdt>
        <w:sdtPr>
          <w:rPr>
            <w:rtl w:val="0"/>
          </w:rPr>
          <w:tag w:val="MENDELEY_CITATION_v3_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"/>
          <w:id w:val="-854913766"/>
        </w:sdtPr>
        <w:sdtContent>
          <w:r>
            <w:rPr>
              <w:rtl w:val="0"/>
            </w:rPr>
            <w:t xml:space="preserve">(2019)</w:t>
          </w:r>
        </w:sdtContent>
      </w:sdt>
      <w:r>
        <w:rPr>
          <w:rtl w:val="0"/>
        </w:rPr>
        <w:t xml:space="preserve">, whose synthesis of social science research on how humans give and receive explanations identifies three properties that any effective explanation must satisfy. Explanations should be contrastive, clarifying why a particular outcome was predicted rather than a plausible alternative. Explanations should be selective, surfacing the small number of factors that most strongly account for the outcome rather than the full attribution vector. Explanations should be social, in that they should be phrased in terms accessible to the intended recipient. The presentation layer draws on these selective and social properties by rendering per-instance explanations as signed feature attributions limited to a small set of leading features, with human-readable feature labels, at an aggregation level suited to the associated stakeholder role. The prototype implements feature attributions rather than contrastive or counterfactual explanations, and it does not include natural-language comparative statements; therefore, the contrastive property remains a design aspiration rather than a feature of the current system. This aligns the explanation experience with the empirical evidence of </w:t>
      </w:r>
      <w:r>
        <w:rPr>
          <w:rtl w:val="0"/>
        </w:rPr>
        <w:t xml:space="preserve">Poursabzi-Sangdeh et al. </w:t>
      </w:r>
      <w:sdt>
        <w:sdtPr>
          <w:rPr>
            <w:rtl w:val="0"/>
          </w:rPr>
          <w:tag w:val="MENDELEY_CITATION_v3_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"/>
          <w:id w:val="-2145740149"/>
        </w:sdtPr>
        <w:sdtContent>
          <w:r>
            <w:rPr>
              <w:rtl w:val="0"/>
            </w:rPr>
            <w:t xml:space="preserve">(2021)</w:t>
          </w:r>
        </w:sdtContent>
      </w:sdt>
      <w:r>
        <w:rPr>
          <w:rtl w:val="0"/>
        </w:rPr>
        <w:t xml:space="preserve">, who show that human comprehension of model outputs degrades sharply when unfiltered attribution vectors are displayed in full.</w:t>
      </w:r>
    </w:p>
    <w:p w:rsidR="00000000" w:rsidDel="00000000" w:rsidP="00000000" w:rsidRDefault="00000000" w:rsidRPr="00000000" w14:paraId="00000139">
      <w:pPr>
        <w:pStyle w:val="Heading2"/>
        <w:keepNext w:val="0"/>
        <w:keepLines w:val="0"/>
        <w:spacing w:before="200" w:lineRule="auto"/>
        <w:rPr/>
      </w:pPr>
      <w:bookmarkStart w:colFirst="0" w:colLast="0" w:name="_heading=h.uyasp1b3v9sa" w:id="30"/>
      <w:bookmarkEnd w:id="30"/>
      <w:r>
        <w:rPr>
          <w:color w:val="000000"/>
          <w:rtl w:val="0"/>
        </w:rPr>
        <w:t xml:space="preserve">3.6 Dashboard Design</w:t>
      </w:r>
      <w:r>
        <w:rPr>
          <w:rtl w:val="0"/>
        </w:rPr>
      </w:r>
    </w:p>
    <w:p w:rsidR="00000000" w:rsidDel="00000000" w:rsidP="00000000" w:rsidRDefault="00000000" w:rsidRPr="00000000" w14:paraId="0000013A">
      <w:pPr>
        <w:spacing w:after="160" w:lineRule="auto"/>
        <w:jc w:val="both"/>
        <w:rPr/>
      </w:pPr>
      <w:r>
        <w:rPr>
          <w:rtl w:val="0"/>
        </w:rPr>
        <w:t xml:space="preserve">The dashboard design process was structured by the four-stage checklist of </w:t>
      </w:r>
      <w:r>
        <w:rPr>
          <w:rtl w:val="0"/>
        </w:rPr>
        <w:t xml:space="preserve">Kaliisa et al. </w:t>
      </w:r>
      <w:sdt>
        <w:sdtPr>
          <w:rPr>
            <w:rtl w:val="0"/>
          </w:rPr>
          <w:tag w:val="MENDELEY_CITATION_v3_eyJjaXRhdGlvbklEIjogIk1FTkRFTEVZX0NJVEFUSU9OX2ZhMzMyNWZiLTAzZjQtNTQ5OS1iYzMxLWY1YmJjYTkzMzk3Mi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915198612"/>
        </w:sdtPr>
        <w:sdtContent>
          <w:r>
            <w:rPr>
              <w:rtl w:val="0"/>
            </w:rPr>
            <w:t xml:space="preserve">(2023)</w:t>
          </w:r>
        </w:sdtContent>
      </w:sdt>
      <w:r>
        <w:rPr>
          <w:rtl w:val="0"/>
        </w:rPr>
        <w:t xml:space="preserve">,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w:t>
      </w:r>
      <w:sdt>
        <w:sdtPr>
          <w:rPr>
            <w:rtl w:val="0"/>
          </w:rPr>
          <w:tag w:val="MENDELEY_CITATION_v3_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"/>
          <w:id w:val="664455594"/>
        </w:sdtPr>
        <w:sdtContent>
          <w:r>
            <w:rPr>
              <w:rtl w:val="0"/>
            </w:rPr>
            <w:t xml:space="preserve">(Cabral et al., 2025)</w:t>
          </w:r>
        </w:sdtContent>
      </w:sdt>
      <w:r>
        <w:rPr>
          <w:rtl w:val="0"/>
        </w:rPr>
        <w:t xml:space="preserve">.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p>
    <w:p w:rsidR="00000000" w:rsidDel="00000000" w:rsidP="00000000" w:rsidRDefault="00000000" w:rsidRPr="00000000" w14:paraId="0000013B">
      <w:pPr>
        <w:spacing w:after="160" w:lineRule="auto"/>
        <w:jc w:val="both"/>
        <w:rPr/>
      </w:pPr>
      <w:r>
        <w:rPr>
          <w:rtl w:val="0"/>
        </w:rPr>
        <w:t xml:space="preserve">Each interface was designed around a separate information brief derived from the CommonKADS Agent Model. The instructor interface focuses on class-level engagement during the current teaching period and provides explanations of individual students' risk drivers using assessment and weekly activity data, following the information needs identified by </w:t>
      </w:r>
      <w:r>
        <w:rPr>
          <w:rtl w:val="0"/>
        </w:rPr>
        <w:t xml:space="preserve">Molenaar and Knoop-van Campen </w:t>
      </w:r>
      <w:sdt>
        <w:sdtPr>
          <w:rPr>
            <w:rtl w:val="0"/>
          </w:rPr>
          <w:tag w:val="MENDELEY_CITATION_v3_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"/>
          <w:id w:val="-150374583"/>
        </w:sdtPr>
        <w:sdtContent>
          <w:r>
            <w:rPr>
              <w:rtl w:val="0"/>
            </w:rPr>
            <w:t xml:space="preserve">(2019)</w:t>
          </w:r>
        </w:sdtContent>
      </w:sdt>
      <w:r>
        <w:rPr>
          <w:rtl w:val="0"/>
        </w:rPr>
        <w:t xml:space="preserve"> in their study of teacher-facing dashboards. The advisor interface prioritises longitudinal views across multiple modules for a caseload of students, foregrounding demographic context in a form suitable for one-to-one consultations, in line with the design pattern used by </w:t>
      </w:r>
      <w:r>
        <w:rPr>
          <w:rtl w:val="0"/>
        </w:rPr>
        <w:t xml:space="preserve">Gutiérrez et al. </w:t>
      </w:r>
      <w:sdt>
        <w:sdtPr>
          <w:rPr>
            <w:rtl w:val="0"/>
          </w:rPr>
          <w:tag w:val="MENDELEY_CITATION_v3_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"/>
          <w:id w:val="-1783289592"/>
        </w:sdtPr>
        <w:sdtContent>
          <w:r>
            <w:rPr>
              <w:rtl w:val="0"/>
            </w:rPr>
            <w:t xml:space="preserve">(2020)</w:t>
          </w:r>
        </w:sdtContent>
      </w:sdt>
      <w:r>
        <w:rPr>
          <w:rtl w:val="0"/>
        </w:rPr>
        <w:t xml:space="preserve"> in the LADA advising system. The administrator interface prioritises cohort-level aggregations, module-over-module comparisons, and equity-relevant breakdowns, following the institutional decision-support patterns documented by </w:t>
      </w:r>
      <w:r>
        <w:rPr>
          <w:rtl w:val="0"/>
        </w:rPr>
        <w:t xml:space="preserve">Tsai and Gašević </w:t>
      </w:r>
      <w:sdt>
        <w:sdtPr>
          <w:rPr>
            <w:rtl w:val="0"/>
          </w:rPr>
          <w:tag w:val="MENDELEY_CITATION_v3_eyJjaXRhdGlvbklEIjogIk1FTkRFTEVZX0NJVEFUSU9OXzAwZDYzZDNkLTAyNTAtNTZlZi1hMmJhLTI0NTBjZGJjYTliYyIsICJwcm9wZXJ0aWVzIjogeyJub3RlSW5kZXgiOiAwfSwgImlzRWRpdGVkIjogZmFsc2UsICJtYW51YWxPdmVycmlkZSI6IHsiaXNNYW51YWxseU92ZXJyaWRkZW4iOiBmYWxzZSwgImNpdGVwcm9jVGV4dCI6ICIo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LCAic3VwcHJlc3MtYXV0aG9yIjogdHJ1ZX1dfQ=="/>
          <w:id w:val="-707861029"/>
        </w:sdtPr>
        <w:sdtContent>
          <w:r>
            <w:rPr>
              <w:rtl w:val="0"/>
            </w:rPr>
            <w:t xml:space="preserve">(2017)</w:t>
          </w:r>
        </w:sdtContent>
      </w:sdt>
      <w:r>
        <w:rPr>
          <w:rtl w:val="0"/>
        </w:rPr>
        <w:t xml:space="preserve">. These role-specific briefs prevent the dashboard from using the same view for all users. Table 3.2 summarises the resulting role-based design.</w:t>
      </w:r>
    </w:p>
    <w:p w:rsidR="00000000" w:rsidDel="00000000" w:rsidP="00000000" w:rsidRDefault="00000000" w:rsidRPr="00000000" w14:paraId="0000013C">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r>
        <w:rPr>
          <w:rtl w:val="0"/>
        </w:rPr>
      </w:r>
    </w:p>
    <w:tbl>
      <w:tblPr>
        <w:tblStyle w:val="Table2"/>
        <w:tblW w:w="9360.0" w:type="dxa"/>
        <w:jc w:val="left"/>
        <w:tblLayout w:type="fixed"/>
        <w:tblLook w:val="0600"/>
      </w:tblPr>
      <w:tblGrid>
        <w:gridCol w:w="1300"/>
        <w:gridCol w:w="1900"/>
        <w:gridCol w:w="2560"/>
        <w:gridCol w:w="2300"/>
        <w:gridCol w:w="1300"/>
        <w:tblGridChange w:id="0">
          <w:tblGrid>
            <w:gridCol w:w="1300"/>
            <w:gridCol w:w="1900"/>
            <w:gridCol w:w="2560"/>
            <w:gridCol w:w="2300"/>
            <w:gridCol w:w="1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3D">
            <w:pPr>
              <w:spacing w:after="60" w:before="60" w:line="240" w:lineRule="auto"/>
              <w:jc w:val="center"/>
              <w:rPr/>
            </w:pPr>
            <w:r>
              <w:rPr>
                <w:b w:val="1"/>
                <w:bCs w:val="1"/>
                <w:sz w:val="20"/>
                <w:szCs w:val="20"/>
                <w:rtl w:val="0"/>
              </w:rPr>
              <w:t xml:space="preserve">Role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3E">
            <w:pPr>
              <w:spacing w:after="60" w:before="60" w:line="240" w:lineRule="auto"/>
              <w:jc w:val="center"/>
              <w:rPr/>
            </w:pPr>
            <w:r>
              <w:rPr>
                <w:b w:val="1"/>
                <w:bCs w:val="1"/>
                <w:sz w:val="20"/>
                <w:szCs w:val="20"/>
                <w:rtl w:val="0"/>
              </w:rPr>
              <w:t xml:space="preserve">Decision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3F">
            <w:pPr>
              <w:spacing w:after="60" w:before="60" w:line="240" w:lineRule="auto"/>
              <w:jc w:val="center"/>
              <w:rPr/>
            </w:pPr>
            <w:r>
              <w:rPr>
                <w:b w:val="1"/>
                <w:bCs w:val="1"/>
                <w:sz w:val="20"/>
                <w:szCs w:val="20"/>
                <w:rtl w:val="0"/>
              </w:rPr>
              <w:t xml:space="preserve">Information needed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0">
            <w:pPr>
              <w:spacing w:after="60" w:before="60" w:line="240" w:lineRule="auto"/>
              <w:jc w:val="center"/>
              <w:rPr/>
            </w:pPr>
            <w:r>
              <w:rPr>
                <w:b w:val="1"/>
                <w:bCs w:val="1"/>
                <w:sz w:val="20"/>
                <w:szCs w:val="20"/>
                <w:rtl w:val="0"/>
              </w:rPr>
              <w:t xml:space="preserve">Dashboard component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1">
            <w:pPr>
              <w:spacing w:after="60" w:before="60" w:line="240" w:lineRule="auto"/>
              <w:jc w:val="center"/>
              <w:rPr/>
            </w:pPr>
            <w:r>
              <w:rPr>
                <w:b w:val="1"/>
                <w:bCs w:val="1"/>
                <w:sz w:val="20"/>
                <w:szCs w:val="20"/>
                <w:rtl w:val="0"/>
              </w:rPr>
              <w:t xml:space="preserve">Explanation granularity</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2">
            <w:pPr>
              <w:spacing w:after="60" w:before="60" w:line="240" w:lineRule="auto"/>
              <w:jc w:val="left"/>
              <w:rPr/>
            </w:pPr>
            <w:r>
              <w:rPr>
                <w:sz w:val="20"/>
                <w:szCs w:val="20"/>
                <w:rtl w:val="0"/>
              </w:rPr>
              <w:t xml:space="preserve">Instructor</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3">
            <w:pPr>
              <w:spacing w:after="60" w:before="60" w:line="240" w:lineRule="auto"/>
              <w:jc w:val="left"/>
              <w:rPr/>
            </w:pPr>
            <w:r>
              <w:rPr>
                <w:sz w:val="20"/>
                <w:szCs w:val="20"/>
                <w:rtl w:val="0"/>
              </w:rPr>
              <w:t xml:space="preserve">Whether to act within a course that is currently running.</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4">
            <w:pPr>
              <w:spacing w:after="60" w:before="60" w:line="240" w:lineRule="auto"/>
              <w:jc w:val="left"/>
              <w:rPr/>
            </w:pPr>
            <w:r>
              <w:rPr>
                <w:sz w:val="20"/>
                <w:szCs w:val="20"/>
                <w:rtl w:val="0"/>
              </w:rPr>
              <w:t xml:space="preserve">Class-level engagement over the current teaching period and per-student risk drivers at the granularity of assessments and weekly activity.</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5">
            <w:pPr>
              <w:spacing w:after="60" w:before="60" w:line="240" w:lineRule="auto"/>
              <w:jc w:val="left"/>
              <w:rPr/>
            </w:pPr>
            <w:r>
              <w:rPr>
                <w:sz w:val="20"/>
                <w:szCs w:val="20"/>
                <w:rtl w:val="0"/>
              </w:rPr>
              <w:t xml:space="preserve">Per-student reasoning trail with SHAP and LIME shown side by side.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6">
            <w:pPr>
              <w:spacing w:after="60" w:before="60" w:line="240" w:lineRule="auto"/>
              <w:jc w:val="left"/>
              <w:rPr/>
            </w:pPr>
            <w:r>
              <w:rPr>
                <w:sz w:val="20"/>
                <w:szCs w:val="20"/>
                <w:rtl w:val="0"/>
              </w:rPr>
              <w:t xml:space="preserve">Individual</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7">
            <w:pPr>
              <w:spacing w:after="60" w:before="60" w:line="240" w:lineRule="auto"/>
              <w:jc w:val="left"/>
              <w:rPr/>
            </w:pPr>
            <w:r>
              <w:rPr>
                <w:sz w:val="20"/>
                <w:szCs w:val="20"/>
                <w:rtl w:val="0"/>
              </w:rPr>
              <w:t xml:space="preserve">Advisor</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8">
            <w:pPr>
              <w:spacing w:after="60" w:before="60" w:line="240" w:lineRule="auto"/>
              <w:jc w:val="left"/>
              <w:rPr/>
            </w:pPr>
            <w:r>
              <w:rPr>
                <w:sz w:val="20"/>
                <w:szCs w:val="20"/>
                <w:rtl w:val="0"/>
              </w:rPr>
              <w:t xml:space="preserve">How to conduct a conversation with a particular student and prioritise a caseload.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9">
            <w:pPr>
              <w:spacing w:after="60" w:before="60" w:line="240" w:lineRule="auto"/>
              <w:jc w:val="left"/>
              <w:rPr/>
            </w:pPr>
            <w:r>
              <w:rPr>
                <w:sz w:val="20"/>
                <w:szCs w:val="20"/>
                <w:rtl w:val="0"/>
              </w:rPr>
              <w:t xml:space="preserve">Views across multiple modules for a caseload of students, with demographic context, suitable for one-to-one consultations.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A">
            <w:pPr>
              <w:spacing w:after="60" w:before="60" w:line="240" w:lineRule="auto"/>
              <w:jc w:val="left"/>
              <w:rPr/>
            </w:pPr>
            <w:r>
              <w:rPr>
                <w:sz w:val="20"/>
                <w:szCs w:val="20"/>
                <w:rtl w:val="0"/>
              </w:rPr>
              <w:t xml:space="preserve">Cohort-averaged reasoning trail for students at or above the watch threshold.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B">
            <w:pPr>
              <w:spacing w:after="60" w:before="60" w:line="240" w:lineRule="auto"/>
              <w:jc w:val="left"/>
              <w:rPr/>
            </w:pPr>
            <w:r>
              <w:rPr>
                <w:sz w:val="20"/>
                <w:szCs w:val="20"/>
                <w:rtl w:val="0"/>
              </w:rPr>
              <w:t xml:space="preserve">Caseload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C">
            <w:pPr>
              <w:spacing w:after="60" w:before="60" w:line="240" w:lineRule="auto"/>
              <w:jc w:val="left"/>
              <w:rPr/>
            </w:pPr>
            <w:r>
              <w:rPr>
                <w:sz w:val="20"/>
                <w:szCs w:val="20"/>
                <w:rtl w:val="0"/>
              </w:rPr>
              <w:t xml:space="preserve">Administrator</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D">
            <w:pPr>
              <w:spacing w:after="60" w:before="60" w:line="240" w:lineRule="auto"/>
              <w:jc w:val="left"/>
              <w:rPr/>
            </w:pPr>
            <w:r>
              <w:rPr>
                <w:sz w:val="20"/>
                <w:szCs w:val="20"/>
                <w:rtl w:val="0"/>
              </w:rPr>
              <w:t xml:space="preserve">Where to direct institutional attention and resource.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E">
            <w:pPr>
              <w:spacing w:after="60" w:before="60" w:line="240" w:lineRule="auto"/>
              <w:jc w:val="left"/>
              <w:rPr/>
            </w:pPr>
            <w:r>
              <w:rPr>
                <w:sz w:val="20"/>
                <w:szCs w:val="20"/>
                <w:rtl w:val="0"/>
              </w:rPr>
              <w:t xml:space="preserve">Cohort-level aggregations and module-over-module comparisons.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F">
            <w:pPr>
              <w:spacing w:after="60" w:before="60" w:line="240" w:lineRule="auto"/>
              <w:jc w:val="left"/>
              <w:rPr/>
            </w:pPr>
            <w:r>
              <w:rPr>
                <w:sz w:val="20"/>
                <w:szCs w:val="20"/>
                <w:rtl w:val="0"/>
              </w:rPr>
              <w:t xml:space="preserve">Institution-wide model performance summary and full-population reasoning trail.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50">
            <w:pPr>
              <w:spacing w:after="60" w:before="60" w:line="240" w:lineRule="auto"/>
              <w:jc w:val="left"/>
              <w:rPr/>
            </w:pPr>
            <w:r>
              <w:rPr>
                <w:sz w:val="20"/>
                <w:szCs w:val="20"/>
                <w:rtl w:val="0"/>
              </w:rPr>
              <w:t xml:space="preserve">Cohort</w:t>
            </w:r>
            <w:r>
              <w:rPr>
                <w:rtl w:val="0"/>
              </w:rPr>
            </w:r>
          </w:p>
        </w:tc>
      </w:tr>
    </w:tbl>
    <w:p w:rsidR="00000000" w:rsidDel="00000000" w:rsidP="00000000" w:rsidRDefault="00000000" w:rsidRPr="00000000" w14:paraId="00000151">
      <w:pPr>
        <w:spacing w:after="160" w:lineRule="auto"/>
        <w:jc w:val="both"/>
        <w:rPr/>
      </w:pPr>
      <w:r>
        <w:rPr>
          <w:rtl w:val="0"/>
        </w:rPr>
        <w:t xml:space="preserve">The interface follows </w:t>
      </w:r>
      <w:r>
        <w:rPr>
          <w:rtl w:val="0"/>
        </w:rPr>
        <w:t xml:space="preserve">Nielsen's </w:t>
      </w:r>
      <w:sdt>
        <w:sdtPr>
          <w:rPr>
            <w:rtl w:val="0"/>
          </w:rPr>
          <w:tag w:val="MENDELEY_CITATION_v3_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"/>
          <w:id w:val="1078630084"/>
        </w:sdtPr>
        <w:sdtContent>
          <w:r>
            <w:rPr>
              <w:rtl w:val="0"/>
            </w:rPr>
            <w:t xml:space="preserve">(1994)</w:t>
          </w:r>
        </w:sdtContent>
      </w:sdt>
      <w:r>
        <w:rPr>
          <w:rtl w:val="0"/>
        </w:rPr>
        <w:t xml:space="preserve"> human-computer interaction heuristics, particularly visibility of system status, match between the system and the real world, recognition rather than recall, and consistency and standards. Colour usage is designed to remain informative for practitioners with common forms of colour vision deficiency by using colour-blind-safe palettes and encoding critical categorical distinctions redundantly through shape and label, following the accessible visualisation guidance synthesised by </w:t>
      </w:r>
      <w:r>
        <w:rPr>
          <w:rtl w:val="0"/>
        </w:rPr>
        <w:t xml:space="preserve">Munzner </w:t>
      </w:r>
      <w:sdt>
        <w:sdtPr>
          <w:rPr>
            <w:rtl w:val="0"/>
          </w:rPr>
          <w:tag w:val="MENDELEY_CITATION_v3_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"/>
          <w:id w:val="742151744"/>
        </w:sdtPr>
        <w:sdtContent>
          <w:r>
            <w:rPr>
              <w:rtl w:val="0"/>
            </w:rPr>
            <w:t xml:space="preserve">(2014)</w:t>
          </w:r>
        </w:sdtContent>
      </w:sdt>
      <w:r>
        <w:rPr>
          <w:rtl w:val="0"/>
        </w:rPr>
        <w:t xml:space="preserve">.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52">
      <w:pPr>
        <w:spacing w:after="160" w:lineRule="auto"/>
        <w:jc w:val="both"/>
        <w:rPr/>
      </w:pPr>
      <w:r>
        <w:rPr>
          <w:rtl w:val="0"/>
        </w:rPr>
        <w:t xml:space="preserve">The study did not conduct a formal iterative heuristic review with documented iterations, reviewers, or severity ratings. Instead, the </w:t>
      </w:r>
      <w:r>
        <w:rPr>
          <w:rtl w:val="0"/>
        </w:rPr>
        <w:t xml:space="preserve">Nielsen </w:t>
      </w:r>
      <w:sdt>
        <w:sdtPr>
          <w:rPr>
            <w:rtl w:val="0"/>
          </w:rPr>
          <w:tag w:val="MENDELEY_CITATION_v3_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"/>
          <w:id w:val="-1292227096"/>
        </w:sdtPr>
        <w:sdtContent>
          <w:r>
            <w:rPr>
              <w:rtl w:val="0"/>
            </w:rPr>
            <w:t xml:space="preserve">(1994)</w:t>
          </w:r>
        </w:sdtContent>
      </w:sdt>
      <w:r>
        <w:rPr>
          <w:rtl w:val="0"/>
        </w:rPr>
        <w:t xml:space="preserve"> criteria were applied as design guidance during implementation. A formal heuristic evaluation, together with a formative think-aloud study with representative practitioners of the kind recommended by </w:t>
      </w:r>
      <w:r>
        <w:rPr>
          <w:rtl w:val="0"/>
        </w:rPr>
        <w:t xml:space="preserve">Verbert et al. </w:t>
      </w:r>
      <w:sdt>
        <w:sdtPr>
          <w:rPr>
            <w:rtl w:val="0"/>
          </w:rPr>
          <w:tag w:val="MENDELEY_CITATION_v3_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"/>
          <w:id w:val="-2042577393"/>
        </w:sdtPr>
        <w:sdtContent>
          <w:r>
            <w:rPr>
              <w:rtl w:val="0"/>
            </w:rPr>
            <w:t xml:space="preserve">(2020)</w:t>
          </w:r>
        </w:sdtContent>
      </w:sdt>
      <w:r>
        <w:rPr>
          <w:rtl w:val="0"/>
        </w:rPr>
        <w:t xml:space="preserve">, is identified in Chapter 7 as future work once the dashboard is evaluated with an institutional partner.</w:t>
      </w:r>
    </w:p>
    <w:p w:rsidR="00000000" w:rsidDel="00000000" w:rsidP="00000000" w:rsidRDefault="00000000" w:rsidRPr="00000000" w14:paraId="00000153">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54">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w:t>
      </w:r>
      <w:r>
        <w:rPr>
          <w:rtl w:val="0"/>
        </w:rPr>
        <w:t xml:space="preserve">Booch et al. </w:t>
      </w:r>
      <w:sdt>
        <w:sdtPr>
          <w:rPr>
            <w:rtl w:val="0"/>
          </w:rPr>
          <w:tag w:val="MENDELEY_CITATION_v3_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"/>
          <w:id w:val="-1834688784"/>
        </w:sdtPr>
        <w:sdtContent>
          <w:r>
            <w:rPr>
              <w:rtl w:val="0"/>
            </w:rPr>
            <w:t xml:space="preserve">(2005)</w:t>
          </w:r>
        </w:sdtContent>
      </w:sdt>
      <w:r>
        <w:rPr>
          <w:rtl w:val="0"/>
        </w:rPr>
        <w:t xml:space="preserve">;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included in the thesis. Figures 3.3 and 4.1 therefore provide the main architectural documentation presented in the study.</w:t>
      </w:r>
    </w:p>
    <w:p w:rsidR="00000000" w:rsidDel="00000000" w:rsidP="00000000" w:rsidRDefault="00000000" w:rsidRPr="00000000" w14:paraId="00000155">
      <w:pPr>
        <w:pStyle w:val="Heading2"/>
        <w:keepNext w:val="0"/>
        <w:keepLines w:val="0"/>
        <w:spacing w:before="200" w:lineRule="auto"/>
        <w:rPr/>
      </w:pPr>
      <w:bookmarkStart w:colFirst="0" w:colLast="0" w:name="_heading=h.82mzz5c17853" w:id="31"/>
      <w:bookmarkEnd w:id="31"/>
      <w:r>
        <w:rPr>
          <w:color w:val="000000"/>
          <w:rtl w:val="0"/>
        </w:rPr>
        <w:t xml:space="preserve">3.7 Implementation Plan</w:t>
      </w:r>
      <w:r>
        <w:rPr>
          <w:rtl w:val="0"/>
        </w:rPr>
      </w:r>
    </w:p>
    <w:p w:rsidR="00000000" w:rsidDel="00000000" w:rsidP="00000000" w:rsidRDefault="00000000" w:rsidRPr="00000000" w14:paraId="00000156">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57">
      <w:pPr>
        <w:spacing w:after="160" w:lineRule="auto"/>
        <w:jc w:val="both"/>
        <w:rPr/>
      </w:pPr>
      <w:r>
        <w:rPr>
          <w:rtl w:val="0"/>
        </w:rPr>
        <w:t xml:space="preserve">These libraries were selected based on their suitability for the required tasks. Scikit-learn is adopted for its consistent estimator interface and its well-tested implementations of cross-validation, preprocessing, and model evaluation utilities, as documented by </w:t>
      </w:r>
      <w:r>
        <w:rPr>
          <w:rtl w:val="0"/>
        </w:rPr>
        <w:t xml:space="preserve">Pedregosa et al. </w:t>
      </w:r>
      <w:sdt>
        <w:sdtPr>
          <w:rPr>
            <w:rtl w:val="0"/>
          </w:rPr>
          <w:tag w:val="MENDELEY_CITATION_v3_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"/>
          <w:id w:val="843335079"/>
        </w:sdtPr>
        <w:sdtContent>
          <w:r>
            <w:rPr>
              <w:rtl w:val="0"/>
            </w:rPr>
            <w:t xml:space="preserve">(2011)</w:t>
          </w:r>
        </w:sdtContent>
      </w:sdt>
      <w:r>
        <w:rPr>
          <w:rtl w:val="0"/>
        </w:rPr>
        <w:t xml:space="preserve">. XGBoost was selected because of its regularised objective, sparsity-aware split finding, and out-of-core training capabilities </w:t>
      </w:r>
      <w:sdt>
        <w:sdtPr>
          <w:rPr>
            <w:rtl w:val="0"/>
          </w:rPr>
          <w:tag w:val="MENDELEY_CITATION_v3_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"/>
          <w:id w:val="-24149867"/>
        </w:sdtPr>
        <w:sdtContent>
          <w:r>
            <w:rPr>
              <w:rtl w:val="0"/>
            </w:rPr>
            <w:t xml:space="preserve">(T. Chen &amp; Guestrin, 2016)</w:t>
          </w:r>
        </w:sdtContent>
      </w:sdt>
      <w:r>
        <w:rPr>
          <w:rtl w:val="0"/>
        </w:rPr>
        <w:t xml:space="preserve">. SHAP is adopted through its official reference implementation to guarantee alignment with the theoretical guarantees of TreeSHAP established by </w:t>
      </w:r>
      <w:r>
        <w:rPr>
          <w:rtl w:val="0"/>
        </w:rPr>
        <w:t xml:space="preserve">Lundberg et al. </w:t>
      </w:r>
      <w:sdt>
        <w:sdtPr>
          <w:rPr>
            <w:rtl w:val="0"/>
          </w:rPr>
          <w:tag w:val="MENDELEY_CITATION_v3_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"/>
          <w:id w:val="-1099578444"/>
        </w:sdtPr>
        <w:sdtContent>
          <w:r>
            <w:rPr>
              <w:rtl w:val="0"/>
            </w:rPr>
            <w:t xml:space="preserve">(2020)</w:t>
          </w:r>
        </w:sdtContent>
      </w:sdt>
      <w:r>
        <w:rPr>
          <w:rtl w:val="0"/>
        </w:rPr>
        <w:t xml:space="preserve">. LIME is adopted through the reference implementation of </w:t>
      </w:r>
      <w:r>
        <w:rPr>
          <w:rtl w:val="0"/>
        </w:rPr>
        <w:t xml:space="preserve">Ribeiro et al. </w:t>
      </w:r>
      <w:sdt>
        <w:sdtPr>
          <w:rPr>
            <w:rtl w:val="0"/>
          </w:rPr>
          <w:tag w:val="MENDELEY_CITATION_v3_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"/>
          <w:id w:val="-321494637"/>
        </w:sdtPr>
        <w:sdtContent>
          <w:r>
            <w:rPr>
              <w:rtl w:val="0"/>
            </w:rPr>
            <w:t xml:space="preserve">(2016)</w:t>
          </w:r>
        </w:sdtContent>
      </w:sdt>
      <w:r>
        <w:rPr>
          <w:rtl w:val="0"/>
        </w:rPr>
        <w:t xml:space="preserve">. The library versions used in the evaluation are reported in Chapter 5, Section 5.7 and in Appendix A, in line with the reproducibility recommendations of </w:t>
      </w:r>
      <w:r>
        <w:rPr>
          <w:rtl w:val="0"/>
        </w:rPr>
        <w:t xml:space="preserve">Gundersen and Kjensmo </w:t>
      </w:r>
      <w:sdt>
        <w:sdtPr>
          <w:rPr>
            <w:rtl w:val="0"/>
          </w:rPr>
          <w:tag w:val="MENDELEY_CITATION_v3_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"/>
          <w:id w:val="77127955"/>
        </w:sdtPr>
        <w:sdtContent>
          <w:r>
            <w:rPr>
              <w:rtl w:val="0"/>
            </w:rPr>
            <w:t xml:space="preserve">(2018)</w:t>
          </w:r>
        </w:sdtContent>
      </w:sdt>
      <w:r>
        <w:rPr>
          <w:rtl w:val="0"/>
        </w:rPr>
        <w:t xml:space="preserve">.</w:t>
      </w:r>
    </w:p>
    <w:p w:rsidR="00000000" w:rsidDel="00000000" w:rsidP="00000000" w:rsidRDefault="00000000" w:rsidRPr="00000000" w14:paraId="00000158">
      <w:pPr>
        <w:spacing w:after="160" w:lineRule="auto"/>
        <w:jc w:val="both"/>
        <w:rPr/>
      </w:pPr>
      <w:r>
        <w:rPr>
          <w:rtl w:val="0"/>
        </w:rPr>
        <w:t xml:space="preserve">The web application was built using React.js for the frontend and Python Flask for the API layer, a combination selected because it enables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59">
      <w:pPr>
        <w:spacing w:after="160" w:lineRule="auto"/>
        <w:jc w:val="both"/>
        <w:rPr/>
      </w:pPr>
      <w:r>
        <w:rPr>
          <w:rtl w:val="0"/>
        </w:rPr>
        <w:t xml:space="preserve">The frontend is organised as a component-based application using the composition principles articulated in the React documentation of </w:t>
      </w:r>
      <w:r>
        <w:rPr>
          <w:rtl w:val="0"/>
        </w:rPr>
        <w:t xml:space="preserve">Meta Open Source </w:t>
      </w:r>
      <w:sdt>
        <w:sdtPr>
          <w:rPr>
            <w:rtl w:val="0"/>
          </w:rPr>
          <w:tag w:val="MENDELEY_CITATION_v3_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"/>
          <w:id w:val="1496093223"/>
        </w:sdtPr>
        <w:sdtContent>
          <w:r>
            <w:rPr>
              <w:rtl w:val="0"/>
            </w:rPr>
            <w:t xml:space="preserve">(2024)</w:t>
          </w:r>
        </w:sdtContent>
      </w:sdt>
      <w:r>
        <w:rPr>
          <w:rtl w:val="0"/>
        </w:rPr>
        <w:t xml:space="preserve"> and the maintainability guidance of </w:t>
      </w:r>
      <w:r>
        <w:rPr>
          <w:rtl w:val="0"/>
        </w:rPr>
        <w:t xml:space="preserve">Martin </w:t>
      </w:r>
      <w:sdt>
        <w:sdtPr>
          <w:rPr>
            <w:rtl w:val="0"/>
          </w:rPr>
          <w:tag w:val="MENDELEY_CITATION_v3_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"/>
          <w:id w:val="-186995009"/>
        </w:sdtPr>
        <w:sdtContent>
          <w:r>
            <w:rPr>
              <w:rtl w:val="0"/>
            </w:rPr>
            <w:t xml:space="preserve">(2017)</w:t>
          </w:r>
        </w:sdtContent>
      </w:sdt>
      <w:r>
        <w:rPr>
          <w:rtl w:val="0"/>
        </w:rPr>
        <w:t xml:space="preserve">. Visualisation components are implemented using the D3-based ecosystem, drawing on the grammar of interactive graphics described by </w:t>
      </w:r>
      <w:r>
        <w:rPr>
          <w:rtl w:val="0"/>
        </w:rPr>
        <w:t xml:space="preserve">Satyanarayan et al. </w:t>
      </w:r>
      <w:sdt>
        <w:sdtPr>
          <w:rPr>
            <w:rtl w:val="0"/>
          </w:rPr>
          <w:tag w:val="MENDELEY_CITATION_v3_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"/>
          <w:id w:val="1294574447"/>
        </w:sdtPr>
        <w:sdtContent>
          <w:r>
            <w:rPr>
              <w:rtl w:val="0"/>
            </w:rPr>
            <w:t xml:space="preserve">(2017)</w:t>
          </w:r>
        </w:sdtContent>
      </w:sdt>
      <w:r>
        <w:rPr>
          <w:rtl w:val="0"/>
        </w:rPr>
        <w:t xml:space="preserve">, which supports the declarative construction of coordinated views necessary for exploratory dashboards. The Flask backend exposes REST endpoints for prediction, global explanation retrieval, and local explanation generation, and implements authentication using JSON Web Tokens following the specification of </w:t>
      </w:r>
      <w:r>
        <w:rPr>
          <w:rtl w:val="0"/>
        </w:rPr>
        <w:t xml:space="preserve">Jones et al. </w:t>
      </w:r>
      <w:sdt>
        <w:sdtPr>
          <w:rPr>
            <w:rtl w:val="0"/>
          </w:rPr>
          <w:tag w:val="MENDELEY_CITATION_v3_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"/>
          <w:id w:val="409964581"/>
        </w:sdtPr>
        <w:sdtContent>
          <w:r>
            <w:rPr>
              <w:rtl w:val="0"/>
            </w:rPr>
            <w:t xml:space="preserve">(2015)</w:t>
          </w:r>
        </w:sdtContent>
      </w:sdt>
      <w:r>
        <w:rPr>
          <w:rtl w:val="0"/>
        </w:rPr>
        <w:t xml:space="preserve">. Role-based access control is enforced at the API layer and the interface layer, consistent with the defence-in-depth principle articulated by </w:t>
      </w:r>
      <w:r>
        <w:rPr>
          <w:rtl w:val="0"/>
        </w:rPr>
        <w:t xml:space="preserve">Saltzer and Schroeder </w:t>
      </w:r>
      <w:sdt>
        <w:sdtPr>
          <w:rPr>
            <w:rtl w:val="0"/>
          </w:rPr>
          <w:tag w:val="MENDELEY_CITATION_v3_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"/>
          <w:id w:val="1681161553"/>
        </w:sdtPr>
        <w:sdtContent>
          <w:r>
            <w:rPr>
              <w:rtl w:val="0"/>
            </w:rPr>
            <w:t xml:space="preserve">(1975)</w:t>
          </w:r>
        </w:sdtContent>
      </w:sdt>
      <w:r>
        <w:rPr>
          <w:rtl w:val="0"/>
        </w:rPr>
        <w:t xml:space="preserve">, so the interface layer is not the sole enforcement point for role separation.</w:t>
      </w:r>
    </w:p>
    <w:p w:rsidR="00000000" w:rsidDel="00000000" w:rsidP="00000000" w:rsidRDefault="00000000" w:rsidRPr="00000000" w14:paraId="0000015A">
      <w:pPr>
        <w:spacing w:after="160" w:lineRule="auto"/>
        <w:jc w:val="both"/>
        <w:rPr/>
      </w:pPr>
      <w:r>
        <w:rPr>
          <w:rtl w:val="0"/>
        </w:rPr>
        <w:t xml:space="preserve">The planned testing strategy included several levels of testing: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w:t>
      </w:r>
      <w:r>
        <w:rPr>
          <w:rtl w:val="0"/>
        </w:rPr>
        <w:t xml:space="preserve">Slack et al. </w:t>
      </w:r>
      <w:sdt>
        <w:sdtPr>
          <w:rPr>
            <w:rtl w:val="0"/>
          </w:rPr>
          <w:tag w:val="MENDELEY_CITATION_v3_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"/>
          <w:id w:val="20522051"/>
        </w:sdtPr>
        <w:sdtContent>
          <w:r>
            <w:rPr>
              <w:rtl w:val="0"/>
            </w:rPr>
            <w:t xml:space="preserve">(2020)</w:t>
          </w:r>
        </w:sdtContent>
      </w:sdt>
      <w:r>
        <w:rPr>
          <w:rtl w:val="0"/>
        </w:rPr>
        <w:t xml:space="preserve"> demonstrate that explanation methods are sensitive to implementation details that may change silently across versions. Continuous integration was also planned, following the software delivery practices described by </w:t>
      </w:r>
      <w:r>
        <w:rPr>
          <w:rtl w:val="0"/>
        </w:rPr>
        <w:t xml:space="preserve">Humble and Farley </w:t>
      </w:r>
      <w:sdt>
        <w:sdtPr>
          <w:rPr>
            <w:rtl w:val="0"/>
          </w:rPr>
          <w:tag w:val="MENDELEY_CITATION_v3_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"/>
          <w:id w:val="205608475"/>
        </w:sdtPr>
        <w:sdtContent>
          <w:r>
            <w:rPr>
              <w:rtl w:val="0"/>
            </w:rPr>
            <w:t xml:space="preserve">(2010)</w:t>
          </w:r>
        </w:sdtContent>
      </w:sdt>
      <w:r>
        <w:rPr>
          <w:rtl w:val="0"/>
        </w:rPr>
        <w:t xml:space="preserve">. This testing and continuous integration pipeline is not demonstrated in this thesis and is therefore described as planned practice rather than completed infrastructure. The prototype source code is held in a version-controlled Git repository (https://github.com/daniel-larry/role-aware-xai-dashboard), including the data preparation, model training and explanation code, the Flask API, the React dashboard, the Moodle plugin, the Docker Compose configuration, the feature dictionary, and the model manifest. The trained model and the SHAP cache are not stored in the repository; they are rebuilt from the OULAD files when the prototype is first started (Chapter 4, Section 4.11). The repository also contains an environment configuration file with test-only credentials for the local Docker services, included so that other reviewers can run the prototype without further setup; these credentials are not used in any institutional system. A formal archive of the code, trained model artefacts, and derived data with a persistent identifier, in accordance with the FAIR data principles articulated by </w:t>
      </w:r>
      <w:r>
        <w:rPr>
          <w:rtl w:val="0"/>
        </w:rPr>
        <w:t xml:space="preserve">Wilkinson et al. </w:t>
      </w:r>
      <w:sdt>
        <w:sdtPr>
          <w:rPr>
            <w:rtl w:val="0"/>
          </w:rPr>
          <w:tag w:val="MENDELEY_CITATION_v3_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"/>
          <w:id w:val="1705995833"/>
        </w:sdtPr>
        <w:sdtContent>
          <w:r>
            <w:rPr>
              <w:rtl w:val="0"/>
            </w:rPr>
            <w:t xml:space="preserve">(2016)</w:t>
          </w:r>
        </w:sdtContent>
      </w:sdt>
      <w:r>
        <w:rPr>
          <w:rtl w:val="0"/>
        </w:rPr>
        <w:t xml:space="preserve">, has not been made.</w:t>
      </w:r>
    </w:p>
    <w:p w:rsidR="00000000" w:rsidDel="00000000" w:rsidP="00000000" w:rsidRDefault="00000000" w:rsidRPr="00000000" w14:paraId="0000015B">
      <w:pPr>
        <w:pStyle w:val="Heading2"/>
        <w:keepNext w:val="0"/>
        <w:keepLines w:val="0"/>
        <w:spacing w:before="200" w:lineRule="auto"/>
        <w:rPr/>
      </w:pPr>
      <w:bookmarkStart w:colFirst="0" w:colLast="0" w:name="_heading=h.gkpbjmmono1o" w:id="32"/>
      <w:bookmarkEnd w:id="32"/>
      <w:r>
        <w:rPr>
          <w:color w:val="000000"/>
          <w:rtl w:val="0"/>
        </w:rPr>
        <w:t xml:space="preserve">3.8 Evaluation Plan</w:t>
      </w:r>
      <w:r>
        <w:rPr>
          <w:rtl w:val="0"/>
        </w:rPr>
      </w:r>
    </w:p>
    <w:p w:rsidR="00000000" w:rsidDel="00000000" w:rsidP="00000000" w:rsidRDefault="00000000" w:rsidRPr="00000000" w14:paraId="0000015C">
      <w:pPr>
        <w:spacing w:after="160" w:lineRule="auto"/>
        <w:jc w:val="both"/>
        <w:rPr/>
      </w:pPr>
      <w:r>
        <w:rPr>
          <w:rtl w:val="0"/>
        </w:rPr>
        <w:t xml:space="preserve">Consistent with the scope of this study (Section 1.6), evaluation is a technical evaluation of the predictive and explanatory components against the OULAD dataset, rather than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5D">
      <w:pPr>
        <w:spacing w:after="160" w:lineRule="auto"/>
        <w:jc w:val="both"/>
        <w:rPr/>
      </w:pPr>
      <w:r>
        <w:rPr>
          <w:rtl w:val="0"/>
        </w:rPr>
        <w:t xml:space="preserve">Predictive performance is evaluated using GroupKFold cross-validation grouped by course presentation (code_presentation). This ensures that the model does not train on the same presentation used for evaluation.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Random Forest, XGBoost, and Gradient Boosting are compared using the same pipeline and evaluation protocol. F1-score is used for model comparison, while recall is the primary criterion for selecting the model used in the prototype. Performance is additionally reported separately for each held-out course presentation, giving a direct empirical indication of how much variability to expect across cohorts. Because the features use data from the full course presentation, the evaluation is retrospective. It does not establish model performance at a specific early-warning point, which would require features to be restricted to the information available at each point in a presentation.</w:t>
      </w:r>
    </w:p>
    <w:p w:rsidR="00000000" w:rsidDel="00000000" w:rsidP="00000000" w:rsidRDefault="00000000" w:rsidRPr="00000000" w14:paraId="0000015E">
      <w:pPr>
        <w:spacing w:after="160" w:lineRule="auto"/>
        <w:jc w:val="both"/>
        <w:rPr/>
      </w:pPr>
      <w:r>
        <w:rPr>
          <w:rtl w:val="0"/>
        </w:rPr>
        <w:t xml:space="preserve">Explainability is evaluated in two complementary ways. Global feature importance is computed using TreeSHAP </w:t>
      </w:r>
      <w:sdt>
        <w:sdtPr>
          <w:rPr>
            <w:rtl w:val="0"/>
          </w:rPr>
          <w:tag w:val="MENDELEY_CITATION_v3_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"/>
          <w:id w:val="-108772472"/>
        </w:sdtPr>
        <w:sdtContent>
          <w:r>
            <w:rPr>
              <w:rtl w:val="0"/>
            </w:rPr>
            <w:t xml:space="preserve">(Lundberg et al., 2020)</w:t>
          </w:r>
        </w:sdtContent>
      </w:sdt>
      <w:r>
        <w:rPr>
          <w:rtl w:val="0"/>
        </w:rPr>
        <w:t xml:space="preserve"> once, for the final fitted model, across all 32,593 observations, ranking features by mean absolute SHAP value; this explains the final fitted model rather than providing a fold-specific explanation evaluation. Local, instance-level explanations are computed using LIME </w:t>
      </w:r>
      <w:sdt>
        <w:sdtPr>
          <w:rPr>
            <w:rtl w:val="0"/>
          </w:rPr>
          <w:tag w:val="MENDELEY_CITATION_v3_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"/>
          <w:id w:val="591251375"/>
        </w:sdtPr>
        <w:sdtContent>
          <w:r>
            <w:rPr>
              <w:rtl w:val="0"/>
            </w:rPr>
            <w:t xml:space="preserve">(Ribeiro et al., 2016)</w:t>
          </w:r>
        </w:sdtContent>
      </w:sdt>
      <w:r>
        <w:rPr>
          <w:rtl w:val="0"/>
        </w:rPr>
        <w:t xml:space="preserve"> on a representative sample of instances. The two methods are compared directly. Their aggregate rankings are compared for overlap in leading features, while instance-level agreement is measured by comparing the top-ranked SHAP and LIME features for each sampled prediction. This comparison follows the recommendation of </w:t>
      </w:r>
      <w:r>
        <w:rPr>
          <w:rtl w:val="0"/>
        </w:rPr>
        <w:t xml:space="preserve">Lundberg and Lee </w:t>
      </w:r>
      <w:sdt>
        <w:sdtPr>
          <w:rPr>
            <w:rtl w:val="0"/>
          </w:rPr>
          <w:tag w:val="MENDELEY_CITATION_v3_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"/>
          <w:id w:val="91482003"/>
        </w:sdtPr>
        <w:sdtContent>
          <w:r>
            <w:rPr>
              <w:rtl w:val="0"/>
            </w:rPr>
            <w:t xml:space="preserve">(2017)</w:t>
          </w:r>
        </w:sdtContent>
      </w:sdt>
      <w:r>
        <w:rPr>
          <w:rtl w:val="0"/>
        </w:rPr>
        <w:t xml:space="preserve"> that global and local attribution methods be validated against one another rather than relied upon in isolation.</w:t>
      </w:r>
    </w:p>
    <w:p w:rsidR="00000000" w:rsidDel="00000000" w:rsidP="00000000" w:rsidRDefault="00000000" w:rsidRPr="00000000" w14:paraId="0000015F">
      <w:pPr>
        <w:spacing w:after="160" w:lineRule="auto"/>
        <w:jc w:val="both"/>
        <w:rPr/>
      </w:pPr>
      <w:r>
        <w:rPr>
          <w:rtl w:val="0"/>
        </w:rPr>
        <w:t xml:space="preserve">The evaluation also includes a verification step, in which the metrics and figures reported in Chapter 4 are reproduced from the trained model artefact. The implemented system is also compared with the methodology specified in this chapter, and any differences between the planned and implemented methods are documented.</w:t>
      </w:r>
    </w:p>
    <w:p w:rsidR="00000000" w:rsidDel="00000000" w:rsidP="00000000" w:rsidRDefault="00000000" w:rsidRPr="00000000" w14:paraId="00000160">
      <w:pPr>
        <w:spacing w:after="160" w:lineRule="auto"/>
        <w:jc w:val="both"/>
        <w:rPr/>
      </w:pPr>
      <w:r>
        <w:rPr>
          <w:rtl w:val="0"/>
        </w:rPr>
        <w:t xml:space="preserve">The technical evaluation determines whether the predictive and explanatory components function correctly and produce consistent results. These results provide the technical basis for future practitioner evaluation. Direct evaluation of practitioner trust, understanding, and decision quality would require primary data from instructors, advisors, and administrators and is outside the scope of this thesis; it is identified in Chapter 7 as the recommended next phase of this research programme, building directly on the CommonKADS Agent Model, the TAM-based design lens (Section 3.1), and the technical foundation established here.</w:t>
      </w:r>
    </w:p>
    <w:p w:rsidR="00000000" w:rsidDel="00000000" w:rsidP="00000000" w:rsidRDefault="00000000" w:rsidRPr="00000000" w14:paraId="00000161">
      <w:pPr>
        <w:spacing w:after="160" w:lineRule="auto"/>
        <w:jc w:val="both"/>
        <w:rPr/>
      </w:pPr>
      <w:r>
        <w:rPr>
          <w:rtl w:val="0"/>
        </w:rPr>
        <w:t xml:space="preserve">This evaluation reports findings against a three-level evidence model used throughout the remainder of the thesis. Findings that were demonstrated are those measured directly in the technical evaluation, such as predictive performance and cross-method agreement. Findings supported by design are dashboard properties that are implemented and traceable to stated requirements and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62">
      <w:pPr>
        <w:pStyle w:val="Heading2"/>
        <w:keepNext w:val="0"/>
        <w:keepLines w:val="0"/>
        <w:spacing w:before="200" w:lineRule="auto"/>
        <w:rPr/>
      </w:pPr>
      <w:bookmarkStart w:colFirst="0" w:colLast="0" w:name="_heading=h.ojz4bw7o3d6" w:id="33"/>
      <w:bookmarkEnd w:id="33"/>
      <w:r>
        <w:rPr>
          <w:color w:val="000000"/>
          <w:rtl w:val="0"/>
        </w:rPr>
        <w:t xml:space="preserve">3.9 Ethical Considerations</w:t>
      </w:r>
      <w:r>
        <w:rPr>
          <w:rtl w:val="0"/>
        </w:rPr>
      </w:r>
    </w:p>
    <w:p w:rsidR="00000000" w:rsidDel="00000000" w:rsidP="00000000" w:rsidRDefault="00000000" w:rsidRPr="00000000" w14:paraId="00000163">
      <w:pPr>
        <w:spacing w:after="160" w:lineRule="auto"/>
        <w:jc w:val="both"/>
        <w:rPr/>
      </w:pPr>
      <w:r>
        <w:rPr>
          <w:rtl w:val="0"/>
        </w:rPr>
        <w:t xml:space="preserve">Because the study uses only the secondary OULAD dataset (Section 3.3) and collects no primary data from students, instructors, advisors, or administrators, its main ethical considerations concern data handling and algorithmic fairness rather than participant recruitment or informed consent. No personally identifiable student data is used at any stage, as OULAD is fully anonymised by design </w:t>
      </w:r>
      <w:sdt>
        <w:sdtPr>
          <w:rPr>
            <w:rtl w:val="0"/>
          </w:rPr>
          <w:tag w:val="MENDELEY_CITATION_v3_eyJjaXRhdGlvbklEIjogIk1FTkRFTEVZX0NJVEFUSU9OX2ViYjkxZmYwLWZiM2QtNThlYS05NzMxLTQ0NWEyZDRkNTJiYS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544380393"/>
        </w:sdtPr>
        <w:sdtContent>
          <w:r>
            <w:rPr>
              <w:rtl w:val="0"/>
            </w:rPr>
            <w:t xml:space="preserve">(Kuzilek et al., 2017)</w:t>
          </w:r>
        </w:sdtContent>
      </w:sdt>
      <w:r>
        <w:rPr>
          <w:rtl w:val="0"/>
        </w:rPr>
        <w:t xml:space="preserve">, and all data processing is limited to the anonymised identifiers already present in the published dataset.</w:t>
      </w:r>
    </w:p>
    <w:p w:rsidR="00000000" w:rsidDel="00000000" w:rsidP="00000000" w:rsidRDefault="00000000" w:rsidRPr="00000000" w14:paraId="00000164">
      <w:pPr>
        <w:spacing w:after="160" w:lineRule="auto"/>
        <w:jc w:val="both"/>
        <w:rPr/>
      </w:pPr>
      <w:r>
        <w:rPr>
          <w:rtl w:val="0"/>
        </w:rPr>
        <w:t xml:space="preserve">Algorithmic fairness is considered as part of the study's ethical assessment.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w:t>
      </w:r>
      <w:r>
        <w:rPr>
          <w:rtl w:val="0"/>
        </w:rPr>
        <w:t xml:space="preserve">Hardt et al. </w:t>
      </w:r>
      <w:sdt>
        <w:sdtPr>
          <w:rPr>
            <w:rtl w:val="0"/>
          </w:rPr>
          <w:tag w:val="MENDELEY_CITATION_v3_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"/>
          <w:id w:val="-968096593"/>
        </w:sdtPr>
        <w:sdtContent>
          <w:r>
            <w:rPr>
              <w:rtl w:val="0"/>
            </w:rPr>
            <w:t xml:space="preserve">(2016)</w:t>
          </w:r>
        </w:sdtContent>
      </w:sdt>
      <w:r>
        <w:rPr>
          <w:rtl w:val="0"/>
        </w:rPr>
        <w:t xml:space="preserve">. These analyses were not completed within the final evaluation. The plan required any subgroup performance differences to be reported openly. This follows the transparency principle advocated by </w:t>
      </w:r>
      <w:r>
        <w:rPr>
          <w:rtl w:val="0"/>
        </w:rPr>
        <w:t xml:space="preserve">Mitchell et al. </w:t>
      </w:r>
      <w:sdt>
        <w:sdtPr>
          <w:rPr>
            <w:rtl w:val="0"/>
          </w:rPr>
          <w:tag w:val="MENDELEY_CITATION_v3_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"/>
          <w:id w:val="-920290575"/>
        </w:sdtPr>
        <w:sdtContent>
          <w:r>
            <w:rPr>
              <w:rtl w:val="0"/>
            </w:rPr>
            <w:t xml:space="preserve">(2019)</w:t>
          </w:r>
        </w:sdtContent>
      </w:sdt>
      <w:r>
        <w:rPr>
          <w:rtl w:val="0"/>
        </w:rPr>
        <w:t xml:space="preserve"> in their model card proposal and the evidence from </w:t>
      </w:r>
      <w:r>
        <w:rPr>
          <w:rtl w:val="0"/>
        </w:rPr>
        <w:t xml:space="preserve">Yu et al. </w:t>
      </w:r>
      <w:sdt>
        <w:sdtPr>
          <w:rPr>
            <w:rtl w:val="0"/>
          </w:rPr>
          <w:tag w:val="MENDELEY_CITATION_v3_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"/>
          <w:id w:val="-980476135"/>
        </w:sdtPr>
        <w:sdtContent>
          <w:r>
            <w:rPr>
              <w:rtl w:val="0"/>
            </w:rPr>
            <w:t xml:space="preserve">(2020)</w:t>
          </w:r>
        </w:sdtContent>
      </w:sdt>
      <w:r>
        <w:rPr>
          <w:rtl w:val="0"/>
        </w:rPr>
        <w:t xml:space="preserve"> that predictive models in higher education can produce different error rates across student groups even when overall accuracy is high. Completing this assessment is identified as a first-tier item of future work in Chapter 7.</w:t>
      </w:r>
    </w:p>
    <w:p w:rsidR="00000000" w:rsidDel="00000000" w:rsidP="00000000" w:rsidRDefault="00000000" w:rsidRPr="00000000" w14:paraId="00000165">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w:t>
      </w:r>
      <w:r>
        <w:rPr>
          <w:rtl w:val="0"/>
        </w:rPr>
        <w:t xml:space="preserve">Prinsloo and Slade </w:t>
      </w:r>
      <w:sdt>
        <w:sdtPr>
          <w:rPr>
            <w:rtl w:val="0"/>
          </w:rPr>
          <w:tag w:val="MENDELEY_CITATION_v3_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"/>
          <w:id w:val="172452487"/>
        </w:sdtPr>
        <w:sdtContent>
          <w:r>
            <w:rPr>
              <w:rtl w:val="0"/>
            </w:rPr>
            <w:t xml:space="preserve">(2017)</w:t>
          </w:r>
        </w:sdtContent>
      </w:sdt>
      <w:r>
        <w:rPr>
          <w:rtl w:val="0"/>
        </w:rPr>
        <w:t xml:space="preserve"> argue that learning analytics systems should be evaluated against the principles of student agency, transparency, and avoiding harm. In line with this argument, the dashboard design deliberately avoids features that would automate high-stakes decisions about students, keeping the practitioner as the final decision-maker in any intervention. </w:t>
      </w:r>
      <w:r>
        <w:rPr>
          <w:rtl w:val="0"/>
        </w:rPr>
        <w:t xml:space="preserve">Slade and Prinsloo </w:t>
      </w:r>
      <w:sdt>
        <w:sdtPr>
          <w:rPr>
            <w:rtl w:val="0"/>
          </w:rPr>
          <w:tag w:val="MENDELEY_CITATION_v3_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"/>
          <w:id w:val="-1553171577"/>
        </w:sdtPr>
        <w:sdtContent>
          <w:r>
            <w:rPr>
              <w:rtl w:val="0"/>
            </w:rPr>
            <w:t xml:space="preserve">(2013)</w:t>
          </w:r>
        </w:sdtContent>
      </w:sdt>
      <w:r>
        <w:rPr>
          <w:rtl w:val="0"/>
        </w:rPr>
        <w:t xml:space="preserve"> further note that learning analytics interventions risk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66">
      <w:pPr>
        <w:pStyle w:val="Heading2"/>
        <w:keepNext w:val="0"/>
        <w:keepLines w:val="0"/>
        <w:spacing w:before="200" w:lineRule="auto"/>
        <w:rPr/>
      </w:pPr>
      <w:bookmarkStart w:colFirst="0" w:colLast="0" w:name="_heading=h.js7f4x1i8x1t" w:id="34"/>
      <w:bookmarkEnd w:id="34"/>
      <w:r>
        <w:rPr>
          <w:color w:val="000000"/>
          <w:rtl w:val="0"/>
        </w:rPr>
        <w:t xml:space="preserve">3.10 Chapter Summary</w:t>
      </w:r>
      <w:r>
        <w:rPr>
          <w:rtl w:val="0"/>
        </w:rPr>
      </w:r>
    </w:p>
    <w:p w:rsidR="00000000" w:rsidDel="00000000" w:rsidP="00000000" w:rsidRDefault="00000000" w:rsidRPr="00000000" w14:paraId="00000167">
      <w:pPr>
        <w:spacing w:after="160" w:lineRule="auto"/>
        <w:jc w:val="both"/>
        <w:rPr/>
      </w:pPr>
      <w:r>
        <w:rPr>
          <w:rtl w:val="0"/>
        </w:rPr>
        <w:t xml:space="preserve">This chapter presented the methodology used to design, implement, and technically evaluate the role-aware XAI dashboard for student at-risk prediction using the OULAD dataset. The study follows the Design Science Research Methodology of </w:t>
      </w:r>
      <w:r>
        <w:rPr>
          <w:rtl w:val="0"/>
        </w:rPr>
        <w:t xml:space="preserve">Peffers et al. </w:t>
      </w:r>
      <w:sdt>
        <w:sdtPr>
          <w:rPr>
            <w:rtl w:val="0"/>
          </w:rPr>
          <w:tag w:val="MENDELEY_CITATION_v3_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"/>
          <w:id w:val="-1154223144"/>
        </w:sdtPr>
        <w:sdtContent>
          <w:r>
            <w:rPr>
              <w:rtl w:val="0"/>
            </w:rPr>
            <w:t xml:space="preserve">(2007)</w:t>
          </w:r>
        </w:sdtContent>
      </w:sdt>
      <w:r>
        <w:rPr>
          <w:rtl w:val="0"/>
        </w:rPr>
        <w:t xml:space="preserve">. CommonKADS provides the knowledge engineering and design framework, while TAM is used only as a design lens and the </w:t>
      </w:r>
      <w:r>
        <w:rPr>
          <w:rtl w:val="0"/>
        </w:rPr>
        <w:t xml:space="preserve">Kaliisa et al. </w:t>
      </w:r>
      <w:sdt>
        <w:sdtPr>
          <w:rPr>
            <w:rtl w:val="0"/>
          </w:rPr>
          <w:tag w:val="MENDELEY_CITATION_v3_eyJjaXRhdGlvbklEIjogIk1FTkRFTEVZX0NJVEFUSU9OXzY3MzgyNWFlLTA1YmQtNTNjNC1iZmVkLWJiMDZmMDJlZjkzMy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833008113"/>
        </w:sdtPr>
        <w:sdtContent>
          <w:r>
            <w:rPr>
              <w:rtl w:val="0"/>
            </w:rPr>
            <w:t xml:space="preserve">(2023)</w:t>
          </w:r>
        </w:sdtContent>
      </w:sdt>
      <w:r>
        <w:rPr>
          <w:rtl w:val="0"/>
        </w:rPr>
        <w:t xml:space="preserve"> checklist guides dashboard design.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w:t>
      </w:r>
      <w:r>
        <w:rPr>
          <w:rtl w:val="0"/>
        </w:rPr>
        <w:t xml:space="preserve">Kaliisa et al. </w:t>
      </w:r>
      <w:sdt>
        <w:sdtPr>
          <w:rPr>
            <w:rtl w:val="0"/>
          </w:rPr>
          <w:tag w:val="MENDELEY_CITATION_v3_eyJjaXRhdGlvbklEIjogIk1FTkRFTEVZX0NJVEFUSU9OX2I5MGExODY0LWQ5MjAtNWVhZC1iZWYyLTQ1ZDgzMGRkY2NmNi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886563470"/>
        </w:sdtPr>
        <w:sdtContent>
          <w:r>
            <w:rPr>
              <w:rtl w:val="0"/>
            </w:rPr>
            <w:t xml:space="preserve">(2023)</w:t>
          </w:r>
        </w:sdtContent>
      </w:sdt>
      <w:r>
        <w:rPr>
          <w:rtl w:val="0"/>
        </w:rPr>
        <w:t xml:space="preserve">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Together, these methods provide the basis for answering the research questions presented in Chapter 1.</w:t>
      </w:r>
    </w:p>
    <w:p w:rsidR="00000000" w:rsidDel="00000000" w:rsidP="00000000" w:rsidRDefault="00000000" w:rsidRPr="00000000" w14:paraId="00000168">
      <w:pPr>
        <w:pStyle w:val="Heading1"/>
        <w:keepNext w:val="0"/>
        <w:keepLines w:val="0"/>
        <w:pageBreakBefore w:val="1"/>
        <w:jc w:val="center"/>
        <w:rPr/>
      </w:pPr>
      <w:bookmarkStart w:colFirst="0" w:colLast="0" w:name="_heading=h.ctputjmc0ttn" w:id="35"/>
      <w:bookmarkEnd w:id="35"/>
      <w:r>
        <w:rPr>
          <w:color w:val="000000"/>
          <w:rtl w:val="0"/>
        </w:rPr>
        <w:t xml:space="preserve">CHAPTER 4</w:t>
      </w:r>
      <w:r>
        <w:rPr>
          <w:rtl w:val="0"/>
        </w:rPr>
      </w:r>
    </w:p>
    <w:p w:rsidR="00000000" w:rsidDel="00000000" w:rsidP="00000000" w:rsidRDefault="00000000" w:rsidRPr="00000000" w14:paraId="00000169">
      <w:pPr>
        <w:pStyle w:val="Heading1"/>
        <w:keepNext w:val="0"/>
        <w:keepLines w:val="0"/>
        <w:jc w:val="center"/>
        <w:rPr/>
      </w:pPr>
      <w:bookmarkStart w:colFirst="0" w:colLast="0" w:name="_heading=h.m8j4geo55bbc" w:id="36"/>
      <w:bookmarkEnd w:id="36"/>
      <w:r>
        <w:rPr>
          <w:color w:val="000000"/>
          <w:rtl w:val="0"/>
        </w:rPr>
        <w:t xml:space="preserve">SYSTEM ARCHITECTURE AND IMPLEMENTATION</w:t>
      </w:r>
      <w:r>
        <w:rPr>
          <w:rtl w:val="0"/>
        </w:rPr>
      </w:r>
    </w:p>
    <w:p w:rsidR="00000000" w:rsidDel="00000000" w:rsidP="00000000" w:rsidRDefault="00000000" w:rsidRPr="00000000" w14:paraId="0000016A">
      <w:pPr>
        <w:pStyle w:val="Heading2"/>
        <w:keepNext w:val="0"/>
        <w:keepLines w:val="0"/>
        <w:spacing w:after="150" w:before="300" w:lineRule="auto"/>
        <w:rPr/>
      </w:pPr>
      <w:bookmarkStart w:colFirst="0" w:colLast="0" w:name="_heading=h.jycgc1jzmgxk" w:id="37"/>
      <w:bookmarkEnd w:id="37"/>
      <w:r>
        <w:rPr>
          <w:color w:val="000000"/>
          <w:rtl w:val="0"/>
        </w:rPr>
        <w:t xml:space="preserve">4.1 Introduction</w:t>
      </w:r>
      <w:r>
        <w:rPr>
          <w:rtl w:val="0"/>
        </w:rPr>
      </w:r>
    </w:p>
    <w:p w:rsidR="00000000" w:rsidDel="00000000" w:rsidP="00000000" w:rsidRDefault="00000000" w:rsidRPr="00000000" w14:paraId="0000016B">
      <w:pPr>
        <w:spacing w:after="200" w:lineRule="auto"/>
        <w:jc w:val="both"/>
        <w:rPr/>
      </w:pPr>
      <w:r>
        <w:rPr>
          <w:rtl w:val="0"/>
        </w:rPr>
        <w:t xml:space="preserve">This chapter presents the technical architecture and implementation of the role-aware explainable at-risk prediction dashboard described conceptually in Chapter 3. Chapter 3 set out the design rationale derived from the six CommonKADS models. This chapter describes how that design was built as a working prototype: the frameworks and libraries used at each layer, the model development environment, the Learning Management System (LMS) integrations built and tested, and the containerised deployment.</w:t>
      </w:r>
    </w:p>
    <w:p w:rsidR="00000000" w:rsidDel="00000000" w:rsidP="00000000" w:rsidRDefault="00000000" w:rsidRPr="00000000" w14:paraId="0000016C">
      <w:pPr>
        <w:spacing w:after="200" w:lineRule="auto"/>
        <w:jc w:val="both"/>
        <w:rPr/>
      </w:pPr>
      <w:r>
        <w:rPr>
          <w:rtl w:val="0"/>
        </w:rPr>
        <w:t xml:space="preserve">The system was built and tested end to end on the full Open University Learning Analytics Dataset (OULAD) described in Chapter 3, not on synthetic or placeholder data. The architectural decisions reported here therefore reflect a system tested at real data volume (32,593 student-module-presentation observations) rather than a purely theoretical design.</w:t>
      </w:r>
    </w:p>
    <w:p w:rsidR="00000000" w:rsidDel="00000000" w:rsidP="00000000" w:rsidRDefault="00000000" w:rsidRPr="00000000" w14:paraId="0000016D">
      <w:pPr>
        <w:spacing w:after="200" w:lineRule="auto"/>
        <w:jc w:val="both"/>
        <w:rPr/>
      </w:pPr>
      <w:r>
        <w:rPr>
          <w:rtl w:val="0"/>
        </w:rPr>
        <w:t xml:space="preserve">This chapter corresponds directly to the second and third specific objectives from Chapter 1, Section 1.3: developing an ensemble predictive model with integrated SHAP and LIME explanations and implementing a role-aware dashboard that delivers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w:t>
      </w:r>
      <w:r>
        <w:rPr>
          <w:rtl w:val="0"/>
        </w:rPr>
        <w:t xml:space="preserve">Schreiber et al. </w:t>
      </w:r>
      <w:sdt>
        <w:sdtPr>
          <w:rPr>
            <w:rtl w:val="0"/>
          </w:rPr>
          <w:tag w:val="MENDELEY_CITATION_v3_eyJjaXRhdGlvbklEIjogIk1FTkRFTEVZX0NJVEFUSU9OXzE5ZTVkMDdlLTBiNWEtNThiOS1hOGMwLTgyZTg4Yzg4OTUzZiIsICJwcm9wZXJ0aWVzIjogeyJub3RlSW5kZXgiOiAwfSwgImlzRWRpdGVkIjogZmFsc2UsICJtYW51YWxPdmVycmlkZSI6IHsiaXNNYW51YWxseU92ZXJyaWRkZW4iOiBmYWxzZSwgImNpdGVwcm9jVGV4dCI6ICIo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UsICJzdXBwcmVzcy1hdXRob3IiOiB0cnVlfV19"/>
          <w:id w:val="-1871622831"/>
        </w:sdtPr>
        <w:sdtContent>
          <w:r>
            <w:rPr>
              <w:rtl w:val="0"/>
            </w:rPr>
            <w:t xml:space="preserve">(2000)</w:t>
          </w:r>
        </w:sdtContent>
      </w:sdt>
      <w:r>
        <w:rPr>
          <w:rtl w:val="0"/>
        </w:rPr>
        <w:t xml:space="preserve"> argue that a knowledge engineering contribution of this kind is supported by the traceability of the modelling process from conceptual model to operational system, not by the novelty of any individual component. </w:t>
      </w:r>
      <w:r>
        <w:rPr>
          <w:rtl w:val="0"/>
        </w:rPr>
        <w:t xml:space="preserve">Studer et al. </w:t>
      </w:r>
      <w:sdt>
        <w:sdtPr>
          <w:rPr>
            <w:rtl w:val="0"/>
          </w:rPr>
          <w:tag w:val="MENDELEY_CITATION_v3_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"/>
          <w:id w:val="-396857670"/>
        </w:sdtPr>
        <w:sdtContent>
          <w:r>
            <w:rPr>
              <w:rtl w:val="0"/>
            </w:rPr>
            <w:t xml:space="preserve">(1998)</w:t>
          </w:r>
        </w:sdtContent>
      </w:sdt>
      <w:r>
        <w:rPr>
          <w:rtl w:val="0"/>
        </w:rPr>
        <w:t xml:space="preserve">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6E">
      <w:pPr>
        <w:spacing w:after="200" w:lineRule="auto"/>
        <w:jc w:val="both"/>
        <w:rPr/>
      </w:pPr>
      <w:r>
        <w:rPr>
          <w:rtl w:val="0"/>
        </w:rPr>
        <w:t xml:space="preserve">The chapter also establishes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w:t>
      </w:r>
      <w:r>
        <w:rPr>
          <w:rtl w:val="0"/>
        </w:rPr>
        <w:t xml:space="preserve">Kim et al. </w:t>
      </w:r>
      <w:sdt>
        <w:sdtPr>
          <w:rPr>
            <w:rtl w:val="0"/>
          </w:rPr>
          <w:tag w:val="MENDELEY_CITATION_v3_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"/>
          <w:id w:val="183013467"/>
        </w:sdtPr>
        <w:sdtContent>
          <w:r>
            <w:rPr>
              <w:rtl w:val="0"/>
            </w:rPr>
            <w:t xml:space="preserve">(2024)</w:t>
          </w:r>
        </w:sdtContent>
      </w:sdt>
      <w:r>
        <w:rPr>
          <w:rtl w:val="0"/>
        </w:rPr>
        <w:t xml:space="preserve"> note that human-centred XAI evaluations are often difficult to interpret because the systems under study are described only in general terms, leaving it unclear which interface property drives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6F">
      <w:pPr>
        <w:pStyle w:val="Heading2"/>
        <w:keepNext w:val="0"/>
        <w:keepLines w:val="0"/>
        <w:spacing w:after="150" w:before="300" w:lineRule="auto"/>
        <w:rPr/>
      </w:pPr>
      <w:bookmarkStart w:colFirst="0" w:colLast="0" w:name="_heading=h.ie1378ikr88a" w:id="38"/>
      <w:bookmarkEnd w:id="38"/>
      <w:r>
        <w:rPr>
          <w:color w:val="000000"/>
          <w:rtl w:val="0"/>
        </w:rPr>
        <w:t xml:space="preserve">4.2 Architectural Overview</w:t>
      </w:r>
      <w:r>
        <w:rPr>
          <w:rtl w:val="0"/>
        </w:rPr>
      </w:r>
    </w:p>
    <w:p w:rsidR="00000000" w:rsidDel="00000000" w:rsidP="00000000" w:rsidRDefault="00000000" w:rsidRPr="00000000" w14:paraId="00000170">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71">
      <w:pPr>
        <w:spacing w:after="200" w:lineRule="auto"/>
        <w:jc w:val="both"/>
        <w:rPr/>
      </w:pPr>
      <w:r>
        <w:rPr>
          <w:rtl w:val="0"/>
        </w:rPr>
        <w:t xml:space="preserve">The retention of a layered structure in the implemented system reflects the architectural reasoning behind Chapter 3, Section 3.2, not simply development convenience. </w:t>
      </w:r>
      <w:r>
        <w:rPr>
          <w:rtl w:val="0"/>
        </w:rPr>
        <w:t xml:space="preserve">Bass et al. </w:t>
      </w:r>
      <w:sdt>
        <w:sdtPr>
          <w:rPr>
            <w:rtl w:val="0"/>
          </w:rPr>
          <w:tag w:val="MENDELEY_CITATION_v3_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"/>
          <w:id w:val="-361746897"/>
        </w:sdtPr>
        <w:sdtContent>
          <w:r>
            <w:rPr>
              <w:rtl w:val="0"/>
            </w:rPr>
            <w:t xml:space="preserve">(2021)</w:t>
          </w:r>
        </w:sdtContent>
      </w:sdt>
      <w:r>
        <w:rPr>
          <w:rtl w:val="0"/>
        </w:rPr>
        <w:t xml:space="preserve"> argue that layering is justified when layers change at different rates. This holds here: the feature engineering logic, the trained model, the explanation services, and the interface components are each expected to be revised on different schedules. </w:t>
      </w:r>
      <w:r>
        <w:rPr>
          <w:rtl w:val="0"/>
        </w:rPr>
        <w:t xml:space="preserve">Mohseni et al. </w:t>
      </w:r>
      <w:sdt>
        <w:sdtPr>
          <w:rPr>
            <w:rtl w:val="0"/>
          </w:rPr>
          <w:tag w:val="MENDELEY_CITATION_v3_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"/>
          <w:id w:val="-342980961"/>
        </w:sdtPr>
        <w:sdtContent>
          <w:r>
            <w:rPr>
              <w:rtl w:val="0"/>
            </w:rPr>
            <w:t xml:space="preserve">(2021)</w:t>
          </w:r>
        </w:sdtContent>
      </w:sdt>
      <w:r>
        <w:rPr>
          <w:rtl w:val="0"/>
        </w:rPr>
        <w:t xml:space="preserve"> make the related point for explainable systems, observing that architectures that treat explanation as a separate architectural component rather than an appendage to the model are substantially easier to evaluate against user-facing criteria.</w:t>
      </w:r>
    </w:p>
    <w:p w:rsidR="00000000" w:rsidDel="00000000" w:rsidP="00000000" w:rsidRDefault="00000000" w:rsidRPr="00000000" w14:paraId="00000172">
      <w:pPr>
        <w:spacing w:after="120" w:before="120" w:lineRule="auto"/>
        <w:rPr/>
      </w:pPr>
      <w:r>
        <w:rPr>
          <w:rtl w:val="0"/>
        </w:rPr>
      </w:r>
    </w:p>
    <w:p w:rsidR="00000000" w:rsidDel="00000000" w:rsidP="00000000" w:rsidRDefault="00000000" w:rsidRPr="00000000" w14:paraId="00000173">
      <w:pPr>
        <w:keepNext w:val="1"/>
        <w:spacing w:after="120" w:before="120" w:lineRule="auto"/>
        <w:rPr/>
      </w:pPr>
      <w:r>
        <w:rPr>
          <w:rtl w:val="0"/>
        </w:rPr>
      </w:r>
    </w:p>
    <w:p w:rsidR="00000000" w:rsidDel="00000000" w:rsidP="00000000" w:rsidRDefault="00000000" w:rsidRPr="00000000" w14:paraId="00000174">
      <w:pPr>
        <w:keepNext w:val="1"/>
        <w:spacing w:after="100" w:before="150" w:lineRule="auto"/>
        <w:jc w:val="center"/>
        <w:rPr/>
      </w:pPr>
      <w:r>
        <w:rPr/>
        <w:drawing>
          <wp:inline distB="0" distT="0" distL="0" distR="0">
            <wp:extent cx="5400675" cy="6636974"/>
            <wp:effectExtent b="0" l="0" r="0" t="0"/>
            <wp:docPr id="9009"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75">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76">
      <w:pPr>
        <w:pStyle w:val="Heading2"/>
        <w:keepNext w:val="0"/>
        <w:keepLines w:val="0"/>
        <w:spacing w:after="150" w:before="300" w:lineRule="auto"/>
        <w:rPr/>
      </w:pPr>
      <w:bookmarkStart w:colFirst="0" w:colLast="0" w:name="_heading=h.bdrjjvca4pjv" w:id="39"/>
      <w:bookmarkEnd w:id="39"/>
      <w:r>
        <w:rPr>
          <w:color w:val="000000"/>
          <w:rtl w:val="0"/>
        </w:rPr>
        <w:t xml:space="preserve">4.3 Model Development Environment</w:t>
      </w:r>
      <w:r>
        <w:rPr>
          <w:rtl w:val="0"/>
        </w:rPr>
      </w:r>
    </w:p>
    <w:p w:rsidR="00000000" w:rsidDel="00000000" w:rsidP="00000000" w:rsidRDefault="00000000" w:rsidRPr="00000000" w14:paraId="00000177">
      <w:pPr>
        <w:spacing w:after="200" w:lineRule="auto"/>
        <w:jc w:val="both"/>
        <w:rPr/>
      </w:pPr>
      <w:r>
        <w:rPr>
          <w:rtl w:val="0"/>
        </w:rPr>
        <w:t xml:space="preserve">Before the prototype pipeline was built,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prototype codebase.</w:t>
      </w:r>
    </w:p>
    <w:p w:rsidR="00000000" w:rsidDel="00000000" w:rsidP="00000000" w:rsidRDefault="00000000" w:rsidRPr="00000000" w14:paraId="00000178">
      <w:pPr>
        <w:spacing w:after="200" w:lineRule="auto"/>
        <w:jc w:val="both"/>
        <w:rPr/>
      </w:pPr>
      <w:r>
        <w:rPr>
          <w:rtl w:val="0"/>
        </w:rPr>
        <w:t xml:space="preserve">This separation between an exploratory notebook and a prototype codebase follows standard applied machine learning practice. Colab was used for short-lived experiments, while the code that runs in the prototype was rewritten as versioned, testable Python modules (data_layer, prediction_engine, explainability). The prototype therefore does not depend on Colab's session-based execution or its GPU availability.</w:t>
      </w:r>
    </w:p>
    <w:p w:rsidR="00000000" w:rsidDel="00000000" w:rsidP="00000000" w:rsidRDefault="00000000" w:rsidRPr="00000000" w14:paraId="00000179">
      <w:pPr>
        <w:spacing w:after="200" w:lineRule="auto"/>
        <w:jc w:val="both"/>
        <w:rPr/>
      </w:pPr>
      <w:r>
        <w:rPr>
          <w:rtl w:val="0"/>
        </w:rPr>
        <w:t xml:space="preserve">This arrangement also serves the reproducibility requirement from Chapter 3, Section 3.7. </w:t>
      </w:r>
      <w:r>
        <w:rPr>
          <w:rtl w:val="0"/>
        </w:rPr>
        <w:t xml:space="preserve">Gundersen and Kjensmo </w:t>
      </w:r>
      <w:sdt>
        <w:sdtPr>
          <w:rPr>
            <w:rtl w:val="0"/>
          </w:rPr>
          <w:tag w:val="MENDELEY_CITATION_v3_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"/>
          <w:id w:val="839764846"/>
        </w:sdtPr>
        <w:sdtContent>
          <w:r>
            <w:rPr>
              <w:rtl w:val="0"/>
            </w:rPr>
            <w:t xml:space="preserve">(2018)</w:t>
          </w:r>
        </w:sdtContent>
      </w:sdt>
      <w:r>
        <w:rPr>
          <w:rtl w:val="0"/>
        </w:rPr>
        <w:t xml:space="preserve">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prototype pipeline can be executed end to end from raw OULAD tables to a scored prediction without reference to any notebook state. </w:t>
      </w:r>
      <w:r>
        <w:rPr>
          <w:rtl w:val="0"/>
        </w:rPr>
        <w:t xml:space="preserve">Sculley et al. </w:t>
      </w:r>
      <w:sdt>
        <w:sdtPr>
          <w:rPr>
            <w:rtl w:val="0"/>
          </w:rPr>
          <w:tag w:val="MENDELEY_CITATION_v3_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"/>
          <w:id w:val="-513759564"/>
        </w:sdtPr>
        <w:sdtContent>
          <w:r>
            <w:rPr>
              <w:rtl w:val="0"/>
            </w:rPr>
            <w:t xml:space="preserve">(2015)</w:t>
          </w:r>
        </w:sdtContent>
      </w:sdt>
      <w:r>
        <w:rPr>
          <w:rtl w:val="0"/>
        </w:rPr>
        <w:t xml:space="preserve">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Change w:id="0">
          <w:tblGrid>
            <w:gridCol w:w="9070"/>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spacing w:before="700" w:lineRule="auto"/>
              <w:jc w:val="center"/>
              <w:rPr>
                <w:color w:val="000000"/>
              </w:rPr>
            </w:pPr>
            <w:r>
              <w:rPr>
                <w:rtl w:val="0"/>
              </w:rPr>
            </w:r>
          </w:p>
          <w:p w:rsidR="00000000" w:rsidDel="00000000" w:rsidP="00000000" w:rsidRDefault="00000000" w:rsidRPr="00000000" w14:paraId="0000017B">
            <w:pPr>
              <w:spacing w:before="700" w:lineRule="auto"/>
              <w:jc w:val="center"/>
              <w:rPr/>
            </w:pPr>
            <w:r>
              <w:rPr>
                <w:b w:val="1"/>
                <w:bCs w:val="1"/>
                <w:color w:val="6a737b"/>
                <w:sz w:val="22"/>
                <w:szCs w:val="22"/>
              </w:rPr>
              <w:drawing>
                <wp:inline distB="0" distT="0" distL="0" distR="0">
                  <wp:extent cx="5731510" cy="3415030"/>
                  <wp:effectExtent b="0" l="0" r="0" t="0"/>
                  <wp:docPr id="9013"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p>
        </w:tc>
      </w:tr>
    </w:tbl>
    <w:p w:rsidR="00000000" w:rsidDel="00000000" w:rsidP="00000000" w:rsidRDefault="00000000" w:rsidRPr="00000000" w14:paraId="0000017C">
      <w:pPr>
        <w:pStyle w:val="Heading2"/>
        <w:keepNext w:val="0"/>
        <w:keepLines w:val="0"/>
        <w:spacing w:after="150" w:before="300" w:lineRule="auto"/>
        <w:rPr/>
      </w:pPr>
      <w:bookmarkStart w:colFirst="0" w:colLast="0" w:name="_heading=h.4d0hbpkgzgu4" w:id="40"/>
      <w:bookmarkEnd w:id="40"/>
      <w:r>
        <w:rPr>
          <w:color w:val="000000"/>
          <w:rtl w:val="0"/>
        </w:rPr>
        <w:t xml:space="preserve">4.4 Technology Stack</w:t>
      </w:r>
      <w:r>
        <w:rPr>
          <w:rtl w:val="0"/>
        </w:rPr>
      </w:r>
    </w:p>
    <w:p w:rsidR="00000000" w:rsidDel="00000000" w:rsidP="00000000" w:rsidRDefault="00000000" w:rsidRPr="00000000" w14:paraId="0000017D">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7E">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w:t>
      </w:r>
      <w:sdt>
        <w:sdtPr>
          <w:rPr>
            <w:rtl w:val="0"/>
          </w:rPr>
          <w:tag w:val="MENDELEY_CITATION_v3_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"/>
          <w:id w:val="-636691076"/>
        </w:sdtPr>
        <w:sdtContent>
          <w:r>
            <w:rPr>
              <w:rtl w:val="0"/>
            </w:rPr>
            <w:t xml:space="preserve">(Pedregosa et al., 2011)</w:t>
          </w:r>
        </w:sdtContent>
      </w:sdt>
      <w:r>
        <w:rPr>
          <w:rtl w:val="0"/>
        </w:rPr>
        <w:t xml:space="preserve">. XGBoost is used for the prototype classifier for the reasons given by </w:t>
      </w:r>
      <w:r>
        <w:rPr>
          <w:rtl w:val="0"/>
        </w:rPr>
        <w:t xml:space="preserve">T. Chen and Guestrin </w:t>
      </w:r>
      <w:sdt>
        <w:sdtPr>
          <w:rPr>
            <w:rtl w:val="0"/>
          </w:rPr>
          <w:tag w:val="MENDELEY_CITATION_v3_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"/>
          <w:id w:val="1088667389"/>
        </w:sdtPr>
        <w:sdtContent>
          <w:r>
            <w:rPr>
              <w:rtl w:val="0"/>
            </w:rPr>
            <w:t xml:space="preserve">(2016)</w:t>
          </w:r>
        </w:sdtContent>
      </w:sdt>
      <w:r>
        <w:rPr>
          <w:rtl w:val="0"/>
        </w:rPr>
        <w:t xml:space="preserve">,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w:t>
      </w:r>
      <w:r>
        <w:rPr>
          <w:rtl w:val="0"/>
        </w:rPr>
        <w:t xml:space="preserve">Lundberg et al. </w:t>
      </w:r>
      <w:sdt>
        <w:sdtPr>
          <w:rPr>
            <w:rtl w:val="0"/>
          </w:rPr>
          <w:tag w:val="MENDELEY_CITATION_v3_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"/>
          <w:id w:val="-1200277172"/>
        </w:sdtPr>
        <w:sdtContent>
          <w:r>
            <w:rPr>
              <w:rtl w:val="0"/>
            </w:rPr>
            <w:t xml:space="preserve">(2020)</w:t>
          </w:r>
        </w:sdtContent>
      </w:sdt>
      <w:r>
        <w:rPr>
          <w:rtl w:val="0"/>
        </w:rPr>
        <w:t xml:space="preserve">, and the LIME reference implementation of </w:t>
      </w:r>
      <w:r>
        <w:rPr>
          <w:rtl w:val="0"/>
        </w:rPr>
        <w:t xml:space="preserve">Ribeiro et al. </w:t>
      </w:r>
      <w:sdt>
        <w:sdtPr>
          <w:rPr>
            <w:rtl w:val="0"/>
          </w:rPr>
          <w:tag w:val="MENDELEY_CITATION_v3_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"/>
          <w:id w:val="-1205074881"/>
        </w:sdtPr>
        <w:sdtContent>
          <w:r>
            <w:rPr>
              <w:rtl w:val="0"/>
            </w:rPr>
            <w:t xml:space="preserve">(2016)</w:t>
          </w:r>
        </w:sdtContent>
      </w:sdt>
      <w:r>
        <w:rPr>
          <w:rtl w:val="0"/>
        </w:rPr>
        <w:t xml:space="preserve"> is used for the same reason on the local explanation path. Retaining the reference implementations rather than reimplementing either method is important because </w:t>
      </w:r>
      <w:r>
        <w:rPr>
          <w:rtl w:val="0"/>
        </w:rPr>
        <w:t xml:space="preserve">Slack et al. </w:t>
      </w:r>
      <w:sdt>
        <w:sdtPr>
          <w:rPr>
            <w:rtl w:val="0"/>
          </w:rPr>
          <w:tag w:val="MENDELEY_CITATION_v3_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"/>
          <w:id w:val="-275582370"/>
        </w:sdtPr>
        <w:sdtContent>
          <w:r>
            <w:rPr>
              <w:rtl w:val="0"/>
            </w:rPr>
            <w:t xml:space="preserve">(2020)</w:t>
          </w:r>
        </w:sdtContent>
      </w:sdt>
      <w:r>
        <w:rPr>
          <w:rtl w:val="0"/>
        </w:rPr>
        <w:t xml:space="preserve"> show that post-hoc explanation outputs are sensitive to implementation details that may otherwise change without notice.</w:t>
      </w:r>
    </w:p>
    <w:p w:rsidR="00000000" w:rsidDel="00000000" w:rsidP="00000000" w:rsidRDefault="00000000" w:rsidRPr="00000000" w14:paraId="0000017F">
      <w:pPr>
        <w:spacing w:after="120" w:before="120" w:lineRule="auto"/>
        <w:rPr/>
      </w:pPr>
      <w:r>
        <w:rPr>
          <w:rtl w:val="0"/>
        </w:rPr>
      </w:r>
    </w:p>
    <w:p w:rsidR="00000000" w:rsidDel="00000000" w:rsidP="00000000" w:rsidRDefault="00000000" w:rsidRPr="00000000" w14:paraId="00000180">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Change w:id="0">
          <w:tblGrid>
            <w:gridCol w:w="1830"/>
            <w:gridCol w:w="1947"/>
            <w:gridCol w:w="5567"/>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1">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2">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3">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4">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5">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6">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7">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9">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A">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B">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C">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D">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E">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F">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0">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1">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2">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3">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4">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5">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6">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7">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8">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9">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A">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B">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C">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D">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E">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F">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0">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1">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2">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4">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5">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6">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7">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A8">
      <w:pPr>
        <w:pStyle w:val="Heading2"/>
        <w:keepNext w:val="0"/>
        <w:keepLines w:val="0"/>
        <w:spacing w:after="150" w:before="300" w:lineRule="auto"/>
        <w:rPr/>
      </w:pPr>
      <w:bookmarkStart w:colFirst="0" w:colLast="0" w:name="_heading=h.ytest84mwwqy" w:id="41"/>
      <w:bookmarkEnd w:id="41"/>
      <w:r>
        <w:rPr>
          <w:color w:val="000000"/>
          <w:rtl w:val="0"/>
        </w:rPr>
        <w:t xml:space="preserve">4.5 Data Layer Implementation</w:t>
      </w:r>
      <w:r>
        <w:rPr>
          <w:rtl w:val="0"/>
        </w:rPr>
      </w:r>
    </w:p>
    <w:p w:rsidR="00000000" w:rsidDel="00000000" w:rsidP="00000000" w:rsidRDefault="00000000" w:rsidRPr="00000000" w14:paraId="000001A9">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w:t>
      </w:r>
      <w:sdt>
        <w:sdtPr>
          <w:rPr>
            <w:rtl w:val="0"/>
          </w:rPr>
          <w:tag w:val="MENDELEY_CITATION_v3_eyJjaXRhdGlvbklEIjogIk1FTkRFTEVZX0NJVEFUSU9OXzdlNTQzZDVmLWU3YmUtNTMwMy1iYTFmLTZmNmQ2YWU1NDg3Ni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2022822982"/>
        </w:sdtPr>
        <w:sdtContent>
          <w:r>
            <w:rPr>
              <w:rtl w:val="0"/>
            </w:rPr>
            <w:t xml:space="preserve">(Kuzilek et al., 2017)</w:t>
          </w:r>
        </w:sdtContent>
      </w:sdt>
      <w:r>
        <w:rPr>
          <w:rtl w:val="0"/>
        </w:rPr>
        <w:t xml:space="preserve">, as reported in Chapter 1.</w:t>
      </w:r>
    </w:p>
    <w:p w:rsidR="00000000" w:rsidDel="00000000" w:rsidP="00000000" w:rsidRDefault="00000000" w:rsidRPr="00000000" w14:paraId="000001AA">
      <w:pPr>
        <w:spacing w:after="200" w:lineRule="auto"/>
        <w:jc w:val="both"/>
        <w:rPr/>
      </w:pPr>
      <w:r>
        <w:rPr>
          <w:rtl w:val="0"/>
        </w:rPr>
        <w:t xml:space="preserve">As set out in Chapter 3, Section 3.3, VLE engagement features are calculated using 7-, 14-, and 28-day windows before each assessment deadline rather than fixed calendar weeks. A programmatic leakage check stops any window that would include activity recorded on or after its deadline, raising an assertion error rather than silently including that activity.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AB">
      <w:pPr>
        <w:spacing w:after="200" w:lineRule="auto"/>
        <w:jc w:val="both"/>
        <w:rPr/>
      </w:pPr>
      <w:r>
        <w:rPr>
          <w:rtl w:val="0"/>
        </w:rPr>
        <w:t xml:space="preserve">The leakage guard implements, as an executable check, the methodological requirement from Chapter 3, Section 3.3. </w:t>
      </w:r>
      <w:r>
        <w:rPr>
          <w:rtl w:val="0"/>
        </w:rPr>
        <w:t xml:space="preserve">Krstajic et al. </w:t>
      </w:r>
      <w:sdt>
        <w:sdtPr>
          <w:rPr>
            <w:rtl w:val="0"/>
          </w:rPr>
          <w:tag w:val="MENDELEY_CITATION_v3_eyJjaXRhdGlvbklEIjogIk1FTkRFTEVZX0NJVEFUSU9OXzM0MGZlNjc5LTZkMDAtNThkZC04MDI5LTI0NjY3NGY1ODFjYS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2031081217"/>
        </w:sdtPr>
        <w:sdtContent>
          <w:r>
            <w:rPr>
              <w:rtl w:val="0"/>
            </w:rPr>
            <w:t xml:space="preserve">(2014)</w:t>
          </w:r>
        </w:sdtContent>
      </w:sdt>
      <w:r>
        <w:rPr>
          <w:rtl w:val="0"/>
        </w:rPr>
        <w:t xml:space="preserve">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w:t>
      </w:r>
      <w:r>
        <w:rPr>
          <w:rtl w:val="0"/>
        </w:rPr>
        <w:t xml:space="preserve">Hlosta et al. </w:t>
      </w:r>
      <w:sdt>
        <w:sdtPr>
          <w:rPr>
            <w:rtl w:val="0"/>
          </w:rPr>
          <w:tag w:val="MENDELEY_CITATION_v3_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"/>
          <w:id w:val="613105086"/>
        </w:sdtPr>
        <w:sdtContent>
          <w:r>
            <w:rPr>
              <w:rtl w:val="0"/>
            </w:rPr>
            <w:t xml:space="preserve">(2017)</w:t>
          </w:r>
        </w:sdtContent>
      </w:sdt>
      <w:r>
        <w:rPr>
          <w:rtl w:val="0"/>
        </w:rPr>
        <w:t xml:space="preserve">,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AC">
      <w:pPr>
        <w:spacing w:after="200" w:lineRule="auto"/>
        <w:jc w:val="both"/>
        <w:rPr/>
      </w:pPr>
      <w:r>
        <w:rPr>
          <w:rtl w:val="0"/>
        </w:rPr>
        <w:t xml:space="preserve">The versioned feature dictionary serves the schema contract function described by </w:t>
      </w:r>
      <w:r>
        <w:rPr>
          <w:rtl w:val="0"/>
        </w:rPr>
        <w:t xml:space="preserve">Hernández-Leo et al. </w:t>
      </w:r>
      <w:sdt>
        <w:sdtPr>
          <w:rPr>
            <w:rtl w:val="0"/>
          </w:rPr>
          <w:tag w:val="MENDELEY_CITATION_v3_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"/>
          <w:id w:val="-164503907"/>
        </w:sdtPr>
        <w:sdtContent>
          <w:r>
            <w:rPr>
              <w:rtl w:val="0"/>
            </w:rPr>
            <w:t xml:space="preserve">(2019)</w:t>
          </w:r>
        </w:sdtContent>
      </w:sdt>
      <w:r>
        <w:rPr>
          <w:rtl w:val="0"/>
        </w:rPr>
        <w:t xml:space="preserve">,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w:t>
      </w:r>
      <w:r>
        <w:rPr>
          <w:rtl w:val="0"/>
        </w:rPr>
        <w:t xml:space="preserve">Miller </w:t>
      </w:r>
      <w:sdt>
        <w:sdtPr>
          <w:rPr>
            <w:rtl w:val="0"/>
          </w:rPr>
          <w:tag w:val="MENDELEY_CITATION_v3_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"/>
          <w:id w:val="-1931512789"/>
        </w:sdtPr>
        <w:sdtContent>
          <w:r>
            <w:rPr>
              <w:rtl w:val="0"/>
            </w:rPr>
            <w:t xml:space="preserve">(2019)</w:t>
          </w:r>
        </w:sdtContent>
      </w:sdt>
      <w:r>
        <w:rPr>
          <w:rtl w:val="0"/>
        </w:rPr>
        <w:t xml:space="preserve"> observes that explanations are social and should be phrased in terms the recipient can follow, and an attribution expressed against an unlabelled column name does not meet that condition for any of the three stakeholder roles. Missing values are handled as described earlier in Chapter 3, Section 3.3, with structural zeros distinguished from informative missingness through indicator encoding, following </w:t>
      </w:r>
      <w:r>
        <w:rPr>
          <w:rtl w:val="0"/>
        </w:rPr>
        <w:t xml:space="preserve">van Buuren </w:t>
      </w:r>
      <w:sdt>
        <w:sdtPr>
          <w:rPr>
            <w:rtl w:val="0"/>
          </w:rPr>
          <w:tag w:val="MENDELEY_CITATION_v3_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"/>
          <w:id w:val="-519244941"/>
        </w:sdtPr>
        <w:sdtContent>
          <w:r>
            <w:rPr>
              <w:rtl w:val="0"/>
            </w:rPr>
            <w:t xml:space="preserve">(2018)</w:t>
          </w:r>
        </w:sdtContent>
      </w:sdt>
      <w:r>
        <w:rPr>
          <w:rtl w:val="0"/>
        </w:rPr>
        <w:t xml:space="preserve">.</w:t>
      </w:r>
    </w:p>
    <w:p w:rsidR="00000000" w:rsidDel="00000000" w:rsidP="00000000" w:rsidRDefault="00000000" w:rsidRPr="00000000" w14:paraId="000001AD">
      <w:pPr>
        <w:pStyle w:val="Heading2"/>
        <w:keepNext w:val="0"/>
        <w:keepLines w:val="0"/>
        <w:spacing w:after="150" w:before="300" w:lineRule="auto"/>
        <w:rPr/>
      </w:pPr>
      <w:bookmarkStart w:colFirst="0" w:colLast="0" w:name="_heading=h.z0crhtpplyay" w:id="42"/>
      <w:bookmarkEnd w:id="42"/>
      <w:r>
        <w:rPr>
          <w:color w:val="000000"/>
          <w:rtl w:val="0"/>
        </w:rPr>
        <w:t xml:space="preserve">4.6 Prediction Engine Implementation</w:t>
      </w:r>
      <w:r>
        <w:rPr>
          <w:rtl w:val="0"/>
        </w:rPr>
      </w:r>
    </w:p>
    <w:p w:rsidR="00000000" w:rsidDel="00000000" w:rsidP="00000000" w:rsidRDefault="00000000" w:rsidRPr="00000000" w14:paraId="000001AE">
      <w:pPr>
        <w:spacing w:after="200" w:lineRule="auto"/>
        <w:jc w:val="both"/>
        <w:rPr/>
      </w:pPr>
      <w:r>
        <w:rPr>
          <w:rtl w:val="0"/>
        </w:rPr>
        <w:t xml:space="preserve">The prototype classifier is a gradient-boosted ensemble (XGBoost), selected with recall as the primary criterion (Chapter 3, Section 3.4). It was evaluated using GroupKFold cross-validation grouped by course presentation, of which OULAD contains four (2013B, 2013J, 2014B, and 2014J), so no fold is evaluated on a presentation the model was trained on. Held-out, out-of-fold performance across the full dataset was 87.7% accuracy, 0.887 F1-score, and 0.962 AUC. The fitted preprocessing pipeline and model are saved as a single versioned artefact with a manifest recording the training date, the feature dictionary version, and the evaluation metrics. Any prediction returned by the API can therefore be traced to the exact model version and feature contract that produced it.</w:t>
      </w:r>
    </w:p>
    <w:p w:rsidR="00000000" w:rsidDel="00000000" w:rsidP="00000000" w:rsidRDefault="00000000" w:rsidRPr="00000000" w14:paraId="000001AF">
      <w:pPr>
        <w:spacing w:after="200" w:lineRule="auto"/>
        <w:jc w:val="both"/>
        <w:rPr/>
      </w:pPr>
      <w:r>
        <w:rPr>
          <w:rtl w:val="0"/>
        </w:rPr>
        <w:t xml:space="preserve">Grouping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t>
      </w:r>
      <w:r>
        <w:rPr>
          <w:rtl w:val="0"/>
        </w:rPr>
        <w:t xml:space="preserve">Wang </w:t>
      </w:r>
      <w:sdt>
        <w:sdtPr>
          <w:rPr>
            <w:rtl w:val="0"/>
          </w:rPr>
          <w:tag w:val="MENDELEY_CITATION_v3_eyJjaXRhdGlvbklEIjogIk1FTkRFTEVZX0NJVEFUSU9OXzNkMGY1Yzc4LWY3NjAtNTU4YS04ZWI0LTE2NDExYTEwOGU2NiIsICJwcm9wZXJ0aWVzIjogeyJub3RlSW5kZXgiOiAwfSwgImlzRWRpdGVkIjogZmFsc2UsICJtYW51YWxPdmVycmlkZSI6IHsiaXNNYW51YWxseU92ZXJyaWRkZW4iOiBmYWxzZSwgImNpdGVwcm9jVGV4dCI6ICIoMjAyNSkiLCAibWFudWFsT3ZlcnJpZGVUZXh0IjogIiJ9LCAiY2l0YXRpb25JdGVtcyI6IFt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UsICJzdXBwcmVzcy1hdXRob3IiOiB0cnVlfV19"/>
          <w:id w:val="-1238409636"/>
        </w:sdtPr>
        <w:sdtContent>
          <w:r>
            <w:rPr>
              <w:rtl w:val="0"/>
            </w:rPr>
            <w:t xml:space="preserve">(2025)</w:t>
          </w:r>
        </w:sdtContent>
      </w:sdt>
      <w:r>
        <w:rPr>
          <w:rtl w:val="0"/>
        </w:rPr>
        <w:t xml:space="preserve"> for a hybrid ensemble, since those studies do not, in general, isolate presentations across folds. </w:t>
      </w:r>
      <w:r>
        <w:rPr>
          <w:rtl w:val="0"/>
        </w:rPr>
        <w:t xml:space="preserve">Jin et al. </w:t>
      </w:r>
      <w:sdt>
        <w:sdtPr>
          <w:rPr>
            <w:rtl w:val="0"/>
          </w:rPr>
          <w:tag w:val="MENDELEY_CITATION_v3_eyJjaXRhdGlvbklEIjogIk1FTkRFTEVZX0NJVEFUSU9OXzgyNWNiYTQxLWRjN2YtNTJjYS04OTYyLTJhOTk2NzE2Mzg1MS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743691591"/>
        </w:sdtPr>
        <w:sdtContent>
          <w:r>
            <w:rPr>
              <w:rtl w:val="0"/>
            </w:rPr>
            <w:t xml:space="preserve">(2024)</w:t>
          </w:r>
        </w:sdtContent>
      </w:sdt>
      <w:r>
        <w:rPr>
          <w:rtl w:val="0"/>
        </w:rPr>
        <w:t xml:space="preserve"> note in their systematic review that evaluation protocols vary considerably across OULAD studies, and reported accuracies are therefore not straightforwardly comparable across the literature. </w:t>
      </w:r>
      <w:r>
        <w:rPr>
          <w:rtl w:val="0"/>
        </w:rPr>
        <w:t xml:space="preserve">Krstajic et al. </w:t>
      </w:r>
      <w:sdt>
        <w:sdtPr>
          <w:rPr>
            <w:rtl w:val="0"/>
          </w:rPr>
          <w:tag w:val="MENDELEY_CITATION_v3_eyJjaXRhdGlvbklEIjogIk1FTkRFTEVZX0NJVEFUSU9OXzY3ODJkNmI3LTk3NmUtNTg2YS1hMWZkLWE5M2MyM2Q4MjhlNC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519148956"/>
        </w:sdtPr>
        <w:sdtContent>
          <w:r>
            <w:rPr>
              <w:rtl w:val="0"/>
            </w:rPr>
            <w:t xml:space="preserve">(2014)</w:t>
          </w:r>
        </w:sdtContent>
      </w:sdt>
      <w:r>
        <w:rPr>
          <w:rtl w:val="0"/>
        </w:rPr>
        <w:t xml:space="preserve"> make a similar argument, showing that ignoring the higher-level unit structure of a dataset produces optimistic estimates.</w:t>
      </w:r>
    </w:p>
    <w:p w:rsidR="00000000" w:rsidDel="00000000" w:rsidP="00000000" w:rsidRDefault="00000000" w:rsidRPr="00000000" w14:paraId="000001B0">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because accuracy is uninformative under class imbalance, and recall as the primary criterion for selecting the prototype model; </w:t>
      </w:r>
      <w:r>
        <w:rPr>
          <w:rtl w:val="0"/>
        </w:rPr>
        <w:t xml:space="preserve">Chicco and Jurman </w:t>
      </w:r>
      <w:sdt>
        <w:sdtPr>
          <w:rPr>
            <w:rtl w:val="0"/>
          </w:rPr>
          <w:tag w:val="MENDELEY_CITATION_v3_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"/>
          <w:id w:val="1425603954"/>
        </w:sdtPr>
        <w:sdtContent>
          <w:r>
            <w:rPr>
              <w:rtl w:val="0"/>
            </w:rPr>
            <w:t xml:space="preserve">(2020)</w:t>
          </w:r>
        </w:sdtContent>
      </w:sdt>
      <w:r>
        <w:rPr>
          <w:rtl w:val="0"/>
        </w:rPr>
        <w:t xml:space="preserve"> also argue that summary metrics should be interpreted alongside the full confusion matrix rather than in place of it. Reporting recall and specificity separately, as above, shows the trade-off a single threshold imposes, and the dashboard exposes this trade-off to practitioners rather than resolving it on their behalf. The probabilities surfaced in the interface are treated with corresponding caution, since </w:t>
      </w:r>
      <w:r>
        <w:rPr>
          <w:rtl w:val="0"/>
        </w:rPr>
        <w:t xml:space="preserve">Niculescu-Mizil and Caruana </w:t>
      </w:r>
      <w:sdt>
        <w:sdtPr>
          <w:rPr>
            <w:rtl w:val="0"/>
          </w:rPr>
          <w:tag w:val="MENDELEY_CITATION_v3_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"/>
          <w:id w:val="-1795699059"/>
        </w:sdtPr>
        <w:sdtContent>
          <w:r>
            <w:rPr>
              <w:rtl w:val="0"/>
            </w:rPr>
            <w:t xml:space="preserve">(2005)</w:t>
          </w:r>
        </w:sdtContent>
      </w:sdt>
      <w:r>
        <w:rPr>
          <w:rtl w:val="0"/>
        </w:rPr>
        <w:t xml:space="preserve"> and </w:t>
      </w:r>
      <w:r>
        <w:rPr>
          <w:rtl w:val="0"/>
        </w:rPr>
        <w:t xml:space="preserve">Guo et al. </w:t>
      </w:r>
      <w:sdt>
        <w:sdtPr>
          <w:rPr>
            <w:rtl w:val="0"/>
          </w:rPr>
          <w:tag w:val="MENDELEY_CITATION_v3_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"/>
          <w:id w:val="169303550"/>
        </w:sdtPr>
        <w:sdtContent>
          <w:r>
            <w:rPr>
              <w:rtl w:val="0"/>
            </w:rPr>
            <w:t xml:space="preserve">(2017)</w:t>
          </w:r>
        </w:sdtContent>
      </w:sdt>
      <w:r>
        <w:rPr>
          <w:rtl w:val="0"/>
        </w:rPr>
        <w:t xml:space="preserve"> both demonstrate that discrimination and calibration are distinct properties, and </w:t>
      </w:r>
      <w:r>
        <w:rPr>
          <w:rtl w:val="0"/>
        </w:rPr>
        <w:t xml:space="preserve">Kim et al. </w:t>
      </w:r>
      <w:sdt>
        <w:sdtPr>
          <w:rPr>
            <w:rtl w:val="0"/>
          </w:rPr>
          <w:tag w:val="MENDELEY_CITATION_v3_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"/>
          <w:id w:val="-644415421"/>
        </w:sdtPr>
        <w:sdtContent>
          <w:r>
            <w:rPr>
              <w:rtl w:val="0"/>
            </w:rPr>
            <w:t xml:space="preserve">(2024)</w:t>
          </w:r>
        </w:sdtContent>
      </w:sdt>
      <w:r>
        <w:rPr>
          <w:rtl w:val="0"/>
        </w:rPr>
        <w:t xml:space="preserve"> observe that practitioner trust responds to the perceived reliability of displayed confidence values and not only to aggregate accuracy.</w:t>
      </w:r>
    </w:p>
    <w:p w:rsidR="00000000" w:rsidDel="00000000" w:rsidP="00000000" w:rsidRDefault="00000000" w:rsidRPr="00000000" w14:paraId="000001B1">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w:t>
      </w:r>
      <w:r>
        <w:rPr>
          <w:rtl w:val="0"/>
        </w:rPr>
        <w:t xml:space="preserve">Baker and Hawn </w:t>
      </w:r>
      <w:sdt>
        <w:sdtPr>
          <w:rPr>
            <w:rtl w:val="0"/>
          </w:rPr>
          <w:tag w:val="MENDELEY_CITATION_v3_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"/>
          <w:id w:val="644863991"/>
        </w:sdtPr>
        <w:sdtContent>
          <w:r>
            <w:rPr>
              <w:rtl w:val="0"/>
            </w:rPr>
            <w:t xml:space="preserve">(2022)</w:t>
          </w:r>
        </w:sdtContent>
      </w:sdt>
      <w:r>
        <w:rPr>
          <w:rtl w:val="0"/>
        </w:rPr>
        <w:t xml:space="preserve"> document systematic disparities in educational model performance across demographic subgroups, and </w:t>
      </w:r>
      <w:r>
        <w:rPr>
          <w:rtl w:val="0"/>
        </w:rPr>
        <w:t xml:space="preserve">Yu et al. </w:t>
      </w:r>
      <w:sdt>
        <w:sdtPr>
          <w:rPr>
            <w:rtl w:val="0"/>
          </w:rPr>
          <w:tag w:val="MENDELEY_CITATION_v3_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"/>
          <w:id w:val="651781283"/>
        </w:sdtPr>
        <w:sdtContent>
          <w:r>
            <w:rPr>
              <w:rtl w:val="0"/>
            </w:rPr>
            <w:t xml:space="preserve">(2020)</w:t>
          </w:r>
        </w:sdtContent>
      </w:sdt>
      <w:r>
        <w:rPr>
          <w:rtl w:val="0"/>
        </w:rPr>
        <w:t xml:space="preserve"> show that error rates can differ substantially across gender, ethnic, and first-generation groups even where overall accuracy is high. Saving the model manifest with the fitted artefact makes this kind of disaggregated reporting practical, because a later audit can reconstruct the exact feature contract and model version used to compute subgroup performance, in line with the model card proposal of </w:t>
      </w:r>
      <w:r>
        <w:rPr>
          <w:rtl w:val="0"/>
        </w:rPr>
        <w:t xml:space="preserve">Mitchell et al. </w:t>
      </w:r>
      <w:sdt>
        <w:sdtPr>
          <w:rPr>
            <w:rtl w:val="0"/>
          </w:rPr>
          <w:tag w:val="MENDELEY_CITATION_v3_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"/>
          <w:id w:val="1091923309"/>
        </w:sdtPr>
        <w:sdtContent>
          <w:r>
            <w:rPr>
              <w:rtl w:val="0"/>
            </w:rPr>
            <w:t xml:space="preserve">(2019)</w:t>
          </w:r>
        </w:sdtContent>
      </w:sdt>
      <w:r>
        <w:rPr>
          <w:rtl w:val="0"/>
        </w:rPr>
        <w:t xml:space="preserve">.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Change w:id="0">
          <w:tblGrid>
            <w:gridCol w:w="8547"/>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B2">
            <w:pPr>
              <w:spacing w:after="120" w:before="120" w:lineRule="auto"/>
              <w:rPr>
                <w:color w:val="000000"/>
              </w:rPr>
            </w:pPr>
            <w:r>
              <w:rPr>
                <w:rtl w:val="0"/>
              </w:rPr>
            </w:r>
          </w:p>
          <w:p w:rsidR="00000000" w:rsidDel="00000000" w:rsidP="00000000" w:rsidRDefault="00000000" w:rsidRPr="00000000" w14:paraId="000001B3">
            <w:pPr>
              <w:jc w:val="center"/>
              <w:rPr/>
            </w:pPr>
            <w:r>
              <w:rPr/>
              <w:drawing>
                <wp:inline distB="0" distT="0" distL="0" distR="0">
                  <wp:extent cx="5400000" cy="2340000"/>
                  <wp:effectExtent b="0" l="0" r="0" t="0"/>
                  <wp:docPr id="9011"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B4">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B5">
            <w:pPr>
              <w:jc w:val="center"/>
              <w:rPr>
                <w:color w:val="000000"/>
                <w:sz w:val="18"/>
                <w:szCs w:val="18"/>
              </w:rPr>
            </w:pPr>
            <w:r>
              <w:rPr>
                <w:rtl w:val="0"/>
              </w:rPr>
            </w:r>
          </w:p>
          <w:p w:rsidR="00000000" w:rsidDel="00000000" w:rsidP="00000000" w:rsidRDefault="00000000" w:rsidRPr="00000000" w14:paraId="000001B6">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B7">
      <w:pPr>
        <w:pStyle w:val="Heading2"/>
        <w:keepNext w:val="0"/>
        <w:keepLines w:val="0"/>
        <w:spacing w:after="150" w:before="300" w:lineRule="auto"/>
        <w:rPr/>
      </w:pPr>
      <w:bookmarkStart w:colFirst="0" w:colLast="0" w:name="_heading=h.4gadq716ly6g" w:id="43"/>
      <w:bookmarkEnd w:id="43"/>
      <w:r>
        <w:rPr>
          <w:color w:val="000000"/>
          <w:rtl w:val="0"/>
        </w:rPr>
        <w:t xml:space="preserve">4.7 Explainability Module Implementation</w:t>
      </w:r>
      <w:r>
        <w:rPr>
          <w:rtl w:val="0"/>
        </w:rPr>
      </w:r>
    </w:p>
    <w:p w:rsidR="00000000" w:rsidDel="00000000" w:rsidP="00000000" w:rsidRDefault="00000000" w:rsidRPr="00000000" w14:paraId="000001B8">
      <w:pPr>
        <w:spacing w:after="200" w:lineRule="auto"/>
        <w:jc w:val="both"/>
        <w:rPr/>
      </w:pPr>
      <w:r>
        <w:rPr>
          <w:rtl w:val="0"/>
        </w:rPr>
        <w:t xml:space="preserve">Following the computational asymmetry argument from Chapter 3, Section 3.5, the explainability module is split into two independently 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 this cache serves the coarser, cohort-level views required by the advisor and administrator roles without recomputation on every request. A local service computes a local SHAP explanation and an independent LIME explanation on demand for a single prediction, using the exact feature vector the model originally scored. The two explanations are shown side by side in the instructor view, so the user can see directly where they agree and where they differ.</w:t>
      </w:r>
    </w:p>
    <w:p w:rsidR="00000000" w:rsidDel="00000000" w:rsidP="00000000" w:rsidRDefault="00000000" w:rsidRPr="00000000" w14:paraId="000001B9">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w:t>
      </w:r>
      <w:r>
        <w:rPr>
          <w:rtl w:val="0"/>
        </w:rPr>
        <w:t xml:space="preserve">Gunasekara and Saarela </w:t>
      </w:r>
      <w:sdt>
        <w:sdtPr>
          <w:rPr>
            <w:rtl w:val="0"/>
          </w:rPr>
          <w:tag w:val="MENDELEY_CITATION_v3_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"/>
          <w:id w:val="1931067685"/>
        </w:sdtPr>
        <w:sdtContent>
          <w:r>
            <w:rPr>
              <w:rtl w:val="0"/>
            </w:rPr>
            <w:t xml:space="preserve">(2025)</w:t>
          </w:r>
        </w:sdtContent>
      </w:sdt>
      <w:r>
        <w:rPr>
          <w:rtl w:val="0"/>
        </w:rPr>
        <w:t xml:space="preserve"> apply both to models trained on OULAD, while </w:t>
      </w:r>
      <w:r>
        <w:rPr>
          <w:rtl w:val="0"/>
        </w:rPr>
        <w:t xml:space="preserve">Salih et al. </w:t>
      </w:r>
      <w:sdt>
        <w:sdtPr>
          <w:rPr>
            <w:rtl w:val="0"/>
          </w:rPr>
          <w:tag w:val="MENDELEY_CITATION_v3_eyJjaXRhdGlvbklEIjogIk1FTkRFTEVZX0NJVEFUSU9OX2QxNzY3Mzc5LWIwMTItNTRmMS05ODBhLTgwNjUyM2E5YTQ2MC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1493006453"/>
        </w:sdtPr>
        <w:sdtContent>
          <w:r>
            <w:rPr>
              <w:rtl w:val="0"/>
            </w:rPr>
            <w:t xml:space="preserve">(2025)</w:t>
          </w:r>
        </w:sdtContent>
      </w:sdt>
      <w:r>
        <w:rPr>
          <w:rtl w:val="0"/>
        </w:rPr>
        <w:t xml:space="preserve"> report a higher computing time for SHAP than for LIME, which motivates the caching strategy adopted here. LIME is relatively lightweight in some contexts, but it involves perturbation and repeated model evaluations and must be regenerated for each instance. Presenting both attributions simultaneously also makes any divergence visible, providing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BA">
      <w:pPr>
        <w:spacing w:after="200" w:lineRule="auto"/>
        <w:jc w:val="both"/>
        <w:rPr/>
      </w:pPr>
      <w:r>
        <w:rPr>
          <w:rtl w:val="0"/>
        </w:rPr>
        <w:t xml:space="preserve">This design decision also responds to the known limitations of post-hoc explanation discussed in Chapter 2 (Section 2.3). </w:t>
      </w:r>
      <w:r>
        <w:rPr>
          <w:rtl w:val="0"/>
        </w:rPr>
        <w:t xml:space="preserve">Rudin </w:t>
      </w:r>
      <w:sdt>
        <w:sdtPr>
          <w:rPr>
            <w:rtl w:val="0"/>
          </w:rPr>
          <w:tag w:val="MENDELEY_CITATION_v3_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"/>
          <w:id w:val="-1605368684"/>
        </w:sdtPr>
        <w:sdtContent>
          <w:r>
            <w:rPr>
              <w:rtl w:val="0"/>
            </w:rPr>
            <w:t xml:space="preserve">(2019)</w:t>
          </w:r>
        </w:sdtContent>
      </w:sdt>
      <w:r>
        <w:rPr>
          <w:rtl w:val="0"/>
        </w:rPr>
        <w:t xml:space="preserve"> argues that high-stakes decisions should rest on intrinsically interpretable models rather than on post-hoc accounts of opaque ones, and </w:t>
      </w:r>
      <w:r>
        <w:rPr>
          <w:rtl w:val="0"/>
        </w:rPr>
        <w:t xml:space="preserve">Slack et al. </w:t>
      </w:r>
      <w:sdt>
        <w:sdtPr>
          <w:rPr>
            <w:rtl w:val="0"/>
          </w:rPr>
          <w:tag w:val="MENDELEY_CITATION_v3_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"/>
          <w:id w:val="727820209"/>
        </w:sdtPr>
        <w:sdtContent>
          <w:r>
            <w:rPr>
              <w:rtl w:val="0"/>
            </w:rPr>
            <w:t xml:space="preserve">(2020)</w:t>
          </w:r>
        </w:sdtContent>
      </w:sdt>
      <w:r>
        <w:rPr>
          <w:rtl w:val="0"/>
        </w:rPr>
        <w:t xml:space="preserve"> demonstrate that both SHAP and LIME are sensitive to perturbation choices in ways that can be exploited. The present study retains the post-hoc route for consistency with the prior OULAD literature, but the side-by-side presentation makes that choice transparent to the practitioner. The stability and fidelity checks specified earlier (Chapter 3, Section 3.5), including the Jaccard similarity of top-k feature sets across repeated LIME runs proposed by </w:t>
      </w:r>
      <w:r>
        <w:rPr>
          <w:rtl w:val="0"/>
        </w:rPr>
        <w:t xml:space="preserve">Visani et al. </w:t>
      </w:r>
      <w:sdt>
        <w:sdtPr>
          <w:rPr>
            <w:rtl w:val="0"/>
          </w:rPr>
          <w:tag w:val="MENDELEY_CITATION_v3_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"/>
          <w:id w:val="-1211333061"/>
        </w:sdtPr>
        <w:sdtContent>
          <w:r>
            <w:rPr>
              <w:rtl w:val="0"/>
            </w:rPr>
            <w:t xml:space="preserve">(2022)</w:t>
          </w:r>
        </w:sdtContent>
      </w:sdt>
      <w:r>
        <w:rPr>
          <w:rtl w:val="0"/>
        </w:rPr>
        <w:t xml:space="preserve">, were not completed in the final evaluation. In keeping with the selectivity property identified by </w:t>
      </w:r>
      <w:r>
        <w:rPr>
          <w:rtl w:val="0"/>
        </w:rPr>
        <w:t xml:space="preserve">Miller </w:t>
      </w:r>
      <w:sdt>
        <w:sdtPr>
          <w:rPr>
            <w:rtl w:val="0"/>
          </w:rPr>
          <w:tag w:val="MENDELEY_CITATION_v3_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"/>
          <w:id w:val="856695536"/>
        </w:sdtPr>
        <w:sdtContent>
          <w:r>
            <w:rPr>
              <w:rtl w:val="0"/>
            </w:rPr>
            <w:t xml:space="preserve">(2019)</w:t>
          </w:r>
        </w:sdtContent>
      </w:sdt>
      <w:r>
        <w:rPr>
          <w:rtl w:val="0"/>
        </w:rPr>
        <w:t xml:space="preserve">, and with the evidence of </w:t>
      </w:r>
      <w:r>
        <w:rPr>
          <w:rtl w:val="0"/>
        </w:rPr>
        <w:t xml:space="preserve">Poursabzi-Sangdeh et al. </w:t>
      </w:r>
      <w:sdt>
        <w:sdtPr>
          <w:rPr>
            <w:rtl w:val="0"/>
          </w:rPr>
          <w:tag w:val="MENDELEY_CITATION_v3_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"/>
          <w:id w:val="1146318621"/>
        </w:sdtPr>
        <w:sdtContent>
          <w:r>
            <w:rPr>
              <w:rtl w:val="0"/>
            </w:rPr>
            <w:t xml:space="preserve">(2021)</w:t>
          </w:r>
        </w:sdtContent>
      </w:sdt>
      <w:r>
        <w:rPr>
          <w:rtl w:val="0"/>
        </w:rPr>
        <w:t xml:space="preserve">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BB">
      <w:pPr>
        <w:pStyle w:val="Heading2"/>
        <w:keepNext w:val="0"/>
        <w:keepLines w:val="0"/>
        <w:spacing w:after="150" w:before="300" w:lineRule="auto"/>
        <w:rPr/>
      </w:pPr>
      <w:bookmarkStart w:colFirst="0" w:colLast="0" w:name="_heading=h.io1a1t65dhoh" w:id="44"/>
      <w:bookmarkEnd w:id="44"/>
      <w:r>
        <w:rPr>
          <w:color w:val="000000"/>
          <w:rtl w:val="0"/>
        </w:rPr>
        <w:t xml:space="preserve">4.8 API and Security Architecture</w:t>
      </w:r>
      <w:r>
        <w:rPr>
          <w:rtl w:val="0"/>
        </w:rPr>
      </w:r>
    </w:p>
    <w:p w:rsidR="00000000" w:rsidDel="00000000" w:rsidP="00000000" w:rsidRDefault="00000000" w:rsidRPr="00000000" w14:paraId="000001BC">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role separation does not depend on a single check inside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BD">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BE">
      <w:pPr>
        <w:spacing w:after="200" w:lineRule="auto"/>
        <w:jc w:val="both"/>
        <w:rPr/>
      </w:pPr>
      <w:r>
        <w:rPr>
          <w:rtl w:val="0"/>
        </w:rPr>
        <w:t xml:space="preserve">The decision to enforce role separation at both the Learning Management System and the API reflects the defence-in-depth principle of </w:t>
      </w:r>
      <w:r>
        <w:rPr>
          <w:rtl w:val="0"/>
        </w:rPr>
        <w:t xml:space="preserve">Saltzer and Schroeder </w:t>
      </w:r>
      <w:sdt>
        <w:sdtPr>
          <w:rPr>
            <w:rtl w:val="0"/>
          </w:rPr>
          <w:tag w:val="MENDELEY_CITATION_v3_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"/>
          <w:id w:val="1371388096"/>
        </w:sdtPr>
        <w:sdtContent>
          <w:r>
            <w:rPr>
              <w:rtl w:val="0"/>
            </w:rPr>
            <w:t xml:space="preserve">(1975)</w:t>
          </w:r>
        </w:sdtContent>
      </w:sdt>
      <w:r>
        <w:rPr>
          <w:rtl w:val="0"/>
        </w:rPr>
        <w:t xml:space="preserve">, cited earlier in Chapter 3, Section 3.7, under which no single component should constitute the sole enforcement point for an access control decision. In this system, a forwarded role header is therefore treated as a claim to be checked, not as an established fact. This is appropriate because the dashboard is designed to be embedded in a Learning Management System and so receives requests that originate outside its own trust boundary. Token issuance and verification follow the JSON Web Token specification of </w:t>
      </w:r>
      <w:r>
        <w:rPr>
          <w:rtl w:val="0"/>
        </w:rPr>
        <w:t xml:space="preserve">Jones et al. </w:t>
      </w:r>
      <w:sdt>
        <w:sdtPr>
          <w:rPr>
            <w:rtl w:val="0"/>
          </w:rPr>
          <w:tag w:val="MENDELEY_CITATION_v3_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"/>
          <w:id w:val="1995960524"/>
        </w:sdtPr>
        <w:sdtContent>
          <w:r>
            <w:rPr>
              <w:rtl w:val="0"/>
            </w:rPr>
            <w:t xml:space="preserve">(2015)</w:t>
          </w:r>
        </w:sdtContent>
      </w:sdt>
      <w:r>
        <w:rPr>
          <w:rtl w:val="0"/>
        </w:rPr>
        <w:t xml:space="preserve">,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BF">
      <w:pPr>
        <w:spacing w:after="200" w:lineRule="auto"/>
        <w:jc w:val="both"/>
        <w:rPr/>
      </w:pPr>
      <w:r>
        <w:rPr>
          <w:rtl w:val="0"/>
        </w:rPr>
        <w:t xml:space="preserve">Role separation is also a requirement of the study design, not only a technical measure. The Agent Model, summarised earlier in Chapter 3, Section 3.6, treats each stakeholder role as a distinct decision-making agent with its own knowledge requirements, and </w:t>
      </w:r>
      <w:r>
        <w:rPr>
          <w:rtl w:val="0"/>
        </w:rPr>
        <w:t xml:space="preserve">Kostopoulos et al. </w:t>
      </w:r>
      <w:sdt>
        <w:sdtPr>
          <w:rPr>
            <w:rtl w:val="0"/>
          </w:rPr>
          <w:tag w:val="MENDELEY_CITATION_v3_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"/>
          <w:id w:val="1967837346"/>
        </w:sdtPr>
        <w:sdtContent>
          <w:r>
            <w:rPr>
              <w:rtl w:val="0"/>
            </w:rPr>
            <w:t xml:space="preserve">(2024)</w:t>
          </w:r>
        </w:sdtContent>
      </w:sdt>
      <w:r>
        <w:rPr>
          <w:rtl w:val="0"/>
        </w:rPr>
        <w:t xml:space="preserve">,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C0">
      <w:pPr>
        <w:pStyle w:val="Heading2"/>
        <w:keepNext w:val="0"/>
        <w:keepLines w:val="0"/>
        <w:spacing w:after="150" w:before="300" w:lineRule="auto"/>
        <w:rPr/>
      </w:pPr>
      <w:bookmarkStart w:colFirst="0" w:colLast="0" w:name="_heading=h.w24xjzdruxjv" w:id="45"/>
      <w:bookmarkEnd w:id="45"/>
      <w:r>
        <w:rPr>
          <w:color w:val="000000"/>
          <w:rtl w:val="0"/>
        </w:rPr>
        <w:t xml:space="preserve">4.9 Frontend Implementation</w:t>
      </w:r>
      <w:r>
        <w:rPr>
          <w:rtl w:val="0"/>
        </w:rPr>
      </w:r>
    </w:p>
    <w:p w:rsidR="00000000" w:rsidDel="00000000" w:rsidP="00000000" w:rsidRDefault="00000000" w:rsidRPr="00000000" w14:paraId="000001C1">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a visualisation of signed SHAP and LIME contributions, at three levels of aggregation: individual-student detail for the instructor view, cohort-averaged detail for the advisor view, and full-population detail for the administrator view. The same visual format is therefore used for all three roles in the Agent Model instead of three unrelated visualisations.</w:t>
      </w:r>
    </w:p>
    <w:p w:rsidR="00000000" w:rsidDel="00000000" w:rsidP="00000000" w:rsidRDefault="00000000" w:rsidRPr="00000000" w14:paraId="000001C2">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roles by the granularity and framing of the knowledge each requires, not by the visual vocabulary used to express that knowledge, and </w:t>
      </w:r>
      <w:r>
        <w:rPr>
          <w:rtl w:val="0"/>
        </w:rPr>
        <w:t xml:space="preserve">Sokol and Flach </w:t>
      </w:r>
      <w:sdt>
        <w:sdtPr>
          <w:rPr>
            <w:rtl w:val="0"/>
          </w:rPr>
          <w:tag w:val="MENDELEY_CITATION_v3_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"/>
          <w:id w:val="923481120"/>
        </w:sdtPr>
        <w:sdtContent>
          <w:r>
            <w:rPr>
              <w:rtl w:val="0"/>
            </w:rPr>
            <w:t xml:space="preserve">(2020)</w:t>
          </w:r>
        </w:sdtContent>
      </w:sdt>
      <w:r>
        <w:rPr>
          <w:rtl w:val="0"/>
        </w:rPr>
        <w:t xml:space="preserve"> argue on similar grounds that explanation type, granularity, and format should be treated as separable configuration parameters. Reusing the reasoning trail also makes the information easier to read for practitioners who hold more than one role, which is common in smaller institutions, and it follows the recognition-rather-than-recall and consistency heuristics of </w:t>
      </w:r>
      <w:r>
        <w:rPr>
          <w:rtl w:val="0"/>
        </w:rPr>
        <w:t xml:space="preserve">Nielsen </w:t>
      </w:r>
      <w:sdt>
        <w:sdtPr>
          <w:rPr>
            <w:rtl w:val="0"/>
          </w:rPr>
          <w:tag w:val="MENDELEY_CITATION_v3_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"/>
          <w:id w:val="546501930"/>
        </w:sdtPr>
        <w:sdtContent>
          <w:r>
            <w:rPr>
              <w:rtl w:val="0"/>
            </w:rPr>
            <w:t xml:space="preserve">(1994)</w:t>
          </w:r>
        </w:sdtContent>
      </w:sdt>
      <w:r>
        <w:rPr>
          <w:rtl w:val="0"/>
        </w:rPr>
        <w:t xml:space="preserve"> referred to in Chapter 3, Section 3.6.</w:t>
      </w:r>
    </w:p>
    <w:p w:rsidR="00000000" w:rsidDel="00000000" w:rsidP="00000000" w:rsidRDefault="00000000" w:rsidRPr="00000000" w14:paraId="000001C3">
      <w:pPr>
        <w:spacing w:after="200" w:lineRule="auto"/>
        <w:jc w:val="both"/>
        <w:rPr/>
      </w:pPr>
      <w:r>
        <w:rPr>
          <w:rtl w:val="0"/>
        </w:rPr>
        <w:t xml:space="preserve">The content of each view comes from the role-specific information briefs set out earlier in Chapter 3, Section 3.6. The instructor view emphasises per-student detail because </w:t>
      </w:r>
      <w:r>
        <w:rPr>
          <w:rtl w:val="0"/>
        </w:rPr>
        <w:t xml:space="preserve">Molenaar and Knoop-van Campen </w:t>
      </w:r>
      <w:sdt>
        <w:sdtPr>
          <w:rPr>
            <w:rtl w:val="0"/>
          </w:rPr>
          <w:tag w:val="MENDELEY_CITATION_v3_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"/>
          <w:id w:val="1170296500"/>
        </w:sdtPr>
        <w:sdtContent>
          <w:r>
            <w:rPr>
              <w:rtl w:val="0"/>
            </w:rPr>
            <w:t xml:space="preserve">(2019)</w:t>
          </w:r>
        </w:sdtContent>
      </w:sdt>
      <w:r>
        <w:rPr>
          <w:rtl w:val="0"/>
        </w:rPr>
        <w:t xml:space="preserve"> show that teachers act on dashboard information at the level of the individual learner. </w:t>
      </w:r>
      <w:r>
        <w:rPr>
          <w:rtl w:val="0"/>
        </w:rPr>
        <w:t xml:space="preserve">Kaliisa and Dolonen </w:t>
      </w:r>
      <w:sdt>
        <w:sdtPr>
          <w:rPr>
            <w:rtl w:val="0"/>
          </w:rPr>
          <w:tag w:val="MENDELEY_CITATION_v3_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"/>
          <w:id w:val="1213909574"/>
        </w:sdtPr>
        <w:sdtContent>
          <w:r>
            <w:rPr>
              <w:rtl w:val="0"/>
            </w:rPr>
            <w:t xml:space="preserve">(2023)</w:t>
          </w:r>
        </w:sdtContent>
      </w:sdt>
      <w:r>
        <w:rPr>
          <w:rtl w:val="0"/>
        </w:rPr>
        <w:t xml:space="preserve"> also find that instructors prioritise summary-level alerts over granular statistical breakdowns, which is why the full attribution is reached through the reasoning trail rather than shown by default. The advisor view is cohort-averaged over students at or above the watch threshold, following the caseload orientation of the LADA advising dashboard reported by </w:t>
      </w:r>
      <w:r>
        <w:rPr>
          <w:rtl w:val="0"/>
        </w:rPr>
        <w:t xml:space="preserve">Gutiérrez et al. </w:t>
      </w:r>
      <w:sdt>
        <w:sdtPr>
          <w:rPr>
            <w:rtl w:val="0"/>
          </w:rPr>
          <w:tag w:val="MENDELEY_CITATION_v3_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"/>
          <w:id w:val="-555893825"/>
        </w:sdtPr>
        <w:sdtContent>
          <w:r>
            <w:rPr>
              <w:rtl w:val="0"/>
            </w:rPr>
            <w:t xml:space="preserve">(2020)</w:t>
          </w:r>
        </w:sdtContent>
      </w:sdt>
      <w:r>
        <w:rPr>
          <w:rtl w:val="0"/>
        </w:rPr>
        <w:t xml:space="preserve">. The administrator view is full-population because institutional decision support focuses on distributions rather than individual behaviour, in line with patterns documented by </w:t>
      </w:r>
      <w:r>
        <w:rPr>
          <w:rtl w:val="0"/>
        </w:rPr>
        <w:t xml:space="preserve">Tsai and Gašević </w:t>
      </w:r>
      <w:sdt>
        <w:sdtPr>
          <w:rPr>
            <w:rtl w:val="0"/>
          </w:rPr>
          <w:tag w:val="MENDELEY_CITATION_v3_eyJjaXRhdGlvbklEIjogIk1FTkRFTEVZX0NJVEFUSU9OXzAzMjY0NTg1LTEwMTMtNTE0NC1iNmViLWMxNGFmOTczNDg4OCIsICJwcm9wZXJ0aWVzIjogeyJub3RlSW5kZXgiOiAwfSwgImlzRWRpdGVkIjogZmFsc2UsICJtYW51YWxPdmVycmlkZSI6IHsiaXNNYW51YWxseU92ZXJyaWRkZW4iOiBmYWxzZSwgImNpdGVwcm9jVGV4dCI6ICIo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LCAic3VwcHJlc3MtYXV0aG9yIjogdHJ1ZX1dfQ=="/>
          <w:id w:val="-681906900"/>
        </w:sdtPr>
        <w:sdtContent>
          <w:r>
            <w:rPr>
              <w:rtl w:val="0"/>
            </w:rPr>
            <w:t xml:space="preserve">(2017)</w:t>
          </w:r>
        </w:sdtContent>
      </w:sdt>
      <w:r>
        <w:rPr>
          <w:rtl w:val="0"/>
        </w:rPr>
        <w:t xml:space="preserve">. Progressive disclosure is applied uniformly across the three views, with compact risk summaries rendered by default and the attribution detail exposed on request, following the layered disclosure pattern described by </w:t>
      </w:r>
      <w:r>
        <w:rPr>
          <w:rtl w:val="0"/>
        </w:rPr>
        <w:t xml:space="preserve">Springer and Whittaker </w:t>
      </w:r>
      <w:sdt>
        <w:sdtPr>
          <w:rPr>
            <w:rtl w:val="0"/>
          </w:rPr>
          <w:tag w:val="MENDELEY_CITATION_v3_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"/>
          <w:id w:val="1501415885"/>
        </w:sdtPr>
        <w:sdtContent>
          <w:r>
            <w:rPr>
              <w:rtl w:val="0"/>
            </w:rPr>
            <w:t xml:space="preserve">(2020)</w:t>
          </w:r>
        </w:sdtContent>
      </w:sdt>
      <w:r>
        <w:rPr>
          <w:rtl w:val="0"/>
        </w:rPr>
        <w:t xml:space="preserve"> and adopted earlier, in Chapter 3, Section 3.2.</w:t>
      </w:r>
    </w:p>
    <w:p w:rsidR="00000000" w:rsidDel="00000000" w:rsidP="00000000" w:rsidRDefault="00000000" w:rsidRPr="00000000" w14:paraId="000001C4">
      <w:pPr>
        <w:keepNext w:val="1"/>
        <w:spacing w:after="120" w:before="120" w:lineRule="auto"/>
        <w:rPr/>
      </w:pPr>
      <w:r>
        <w:rPr>
          <w:rtl w:val="0"/>
        </w:rPr>
      </w:r>
    </w:p>
    <w:p w:rsidR="00000000" w:rsidDel="00000000" w:rsidP="00000000" w:rsidRDefault="00000000" w:rsidRPr="00000000" w14:paraId="000001C5">
      <w:pPr>
        <w:keepNext w:val="1"/>
        <w:spacing w:after="100" w:before="150" w:lineRule="auto"/>
        <w:jc w:val="center"/>
        <w:rPr/>
      </w:pPr>
      <w:r>
        <w:rPr/>
        <w:drawing>
          <wp:inline distB="0" distT="0" distL="0" distR="0">
            <wp:extent cx="5400675" cy="3028235"/>
            <wp:effectExtent b="0" l="0" r="0" t="0"/>
            <wp:docPr id="9017"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C6">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C7">
      <w:pPr>
        <w:keepNext w:val="1"/>
        <w:spacing w:after="120" w:before="120" w:lineRule="auto"/>
        <w:rPr/>
      </w:pPr>
      <w:r>
        <w:rPr>
          <w:rtl w:val="0"/>
        </w:rPr>
      </w:r>
    </w:p>
    <w:p w:rsidR="00000000" w:rsidDel="00000000" w:rsidP="00000000" w:rsidRDefault="00000000" w:rsidRPr="00000000" w14:paraId="000001C8">
      <w:pPr>
        <w:keepNext w:val="1"/>
        <w:spacing w:after="100" w:before="150" w:lineRule="auto"/>
        <w:jc w:val="center"/>
        <w:rPr/>
      </w:pPr>
      <w:r>
        <w:rPr/>
        <w:drawing>
          <wp:inline distB="0" distT="0" distL="0" distR="0">
            <wp:extent cx="5400675" cy="2931795"/>
            <wp:effectExtent b="0" l="0" r="0" t="0"/>
            <wp:docPr id="9014"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C9">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CA">
      <w:pPr>
        <w:keepNext w:val="1"/>
        <w:spacing w:after="120" w:before="120" w:lineRule="auto"/>
        <w:rPr/>
      </w:pPr>
      <w:r>
        <w:rPr>
          <w:rtl w:val="0"/>
        </w:rPr>
      </w:r>
    </w:p>
    <w:p w:rsidR="00000000" w:rsidDel="00000000" w:rsidP="00000000" w:rsidRDefault="00000000" w:rsidRPr="00000000" w14:paraId="000001CB">
      <w:pPr>
        <w:keepNext w:val="1"/>
        <w:spacing w:after="100" w:before="150" w:lineRule="auto"/>
        <w:jc w:val="center"/>
        <w:rPr/>
      </w:pPr>
      <w:r>
        <w:rPr/>
        <w:drawing>
          <wp:inline distB="0" distT="0" distL="0" distR="0">
            <wp:extent cx="5400675" cy="3259693"/>
            <wp:effectExtent b="0" l="0" r="0" t="0"/>
            <wp:docPr id="9016"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CC">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Change w:id="0">
          <w:tblGrid>
            <w:gridCol w:w="8264"/>
          </w:tblGrid>
        </w:tblGridChange>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spacing w:after="120" w:before="120" w:lineRule="auto"/>
              <w:rPr>
                <w:color w:val="000000"/>
              </w:rPr>
            </w:pPr>
            <w:r>
              <w:rPr>
                <w:rtl w:val="0"/>
              </w:rPr>
            </w:r>
          </w:p>
          <w:p w:rsidR="00000000" w:rsidDel="00000000" w:rsidP="00000000" w:rsidRDefault="00000000" w:rsidRPr="00000000" w14:paraId="000001CE">
            <w:pPr>
              <w:keepNext w:val="1"/>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CF">
            <w:pPr>
              <w:keepNext w:val="1"/>
              <w:spacing w:after="120" w:before="120" w:lineRule="auto"/>
              <w:rPr>
                <w:color w:val="000000"/>
              </w:rPr>
            </w:pPr>
            <w:r>
              <w:rPr>
                <w:rtl w:val="0"/>
              </w:rPr>
            </w:r>
          </w:p>
          <w:p w:rsidR="00000000" w:rsidDel="00000000" w:rsidP="00000000" w:rsidRDefault="00000000" w:rsidRPr="00000000" w14:paraId="000001D0">
            <w:pPr>
              <w:keepNext w:val="1"/>
              <w:jc w:val="center"/>
              <w:rPr/>
            </w:pPr>
            <w:r>
              <w:rPr/>
              <w:drawing>
                <wp:inline distB="0" distT="0" distL="0" distR="0">
                  <wp:extent cx="3600000" cy="2400000"/>
                  <wp:effectExtent b="0" l="0" r="0" t="0"/>
                  <wp:docPr id="9018"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D1">
            <w:pPr>
              <w:keepNext w:val="1"/>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D2">
            <w:pPr>
              <w:keepNext w:val="1"/>
              <w:jc w:val="center"/>
              <w:rPr/>
            </w:pPr>
            <w:r>
              <w:rPr/>
              <w:drawing>
                <wp:inline distB="0" distT="0" distL="0" distR="0">
                  <wp:extent cx="5220000" cy="2755000"/>
                  <wp:effectExtent b="0" l="0" r="0" t="0"/>
                  <wp:docPr id="9019" name="image16.png"/>
                  <a:graphic>
                    <a:graphicData uri="http://schemas.openxmlformats.org/drawingml/2006/picture">
                      <pic:pic>
                        <pic:nvPicPr>
                          <pic:cNvPr id="0" name="image16.png"/>
                          <pic:cNvPicPr preferRelativeResize="0"/>
                        </pic:nvPicPr>
                        <pic:blipFill>
                          <a:blip r:embed="rId23"/>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D3">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D4">
      <w:pPr>
        <w:pStyle w:val="Heading2"/>
        <w:keepNext w:val="0"/>
        <w:keepLines w:val="0"/>
        <w:spacing w:after="150" w:before="300" w:lineRule="auto"/>
        <w:rPr/>
      </w:pPr>
      <w:bookmarkStart w:colFirst="0" w:colLast="0" w:name="_heading=h.jgt2wmul2wud" w:id="46"/>
      <w:bookmarkEnd w:id="46"/>
      <w:r>
        <w:rPr>
          <w:color w:val="000000"/>
          <w:rtl w:val="0"/>
        </w:rPr>
        <w:t xml:space="preserve">4.10 Containerisation and LMS Integration Testing</w:t>
      </w:r>
      <w:r>
        <w:rPr>
          <w:rtl w:val="0"/>
        </w:rPr>
      </w:r>
    </w:p>
    <w:p w:rsidR="00000000" w:rsidDel="00000000" w:rsidP="00000000" w:rsidRDefault="00000000" w:rsidRPr="00000000" w14:paraId="000001D5">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D6">
      <w:pPr>
        <w:spacing w:after="200" w:lineRule="auto"/>
        <w:jc w:val="both"/>
        <w:rPr/>
      </w:pPr>
      <w:r>
        <w:rPr>
          <w:rtl w:val="0"/>
        </w:rPr>
        <w:t xml:space="preserve">Testing these integration paths was treated as part of the implementation, not as a deployment detail. The literature reviewed in Chapter 2 (Section 2.1) identifies institutional uptake, rather than predictive capability, as the main constraint on learning analytics. </w:t>
      </w:r>
      <w:r>
        <w:rPr>
          <w:rtl w:val="0"/>
        </w:rPr>
        <w:t xml:space="preserve">Tsai and Gašević </w:t>
      </w:r>
      <w:sdt>
        <w:sdtPr>
          <w:rPr>
            <w:rtl w:val="0"/>
          </w:rPr>
          <w:tag w:val="MENDELEY_CITATION_v3_eyJjaXRhdGlvbklEIjogIk1FTkRFTEVZX0NJVEFUSU9OXzEzMWU3Y2YyLTJlM2EtNTVjNS05Y2UwLTlmNDMwZDZkZTkxYSIsICJwcm9wZXJ0aWVzIjogeyJub3RlSW5kZXgiOiAwfSwgImlzRWRpdGVkIjogZmFsc2UsICJtYW51YWxPdmVycmlkZSI6IHsiaXNNYW51YWxseU92ZXJyaWRkZW4iOiBmYWxzZSwgImNpdGVwcm9jVGV4dCI6ICIo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LCAic3VwcHJlc3MtYXV0aG9yIjogdHJ1ZX1dfQ=="/>
          <w:id w:val="1384400748"/>
        </w:sdtPr>
        <w:sdtContent>
          <w:r>
            <w:rPr>
              <w:rtl w:val="0"/>
            </w:rPr>
            <w:t xml:space="preserve">(2017)</w:t>
          </w:r>
        </w:sdtContent>
      </w:sdt>
      <w:r>
        <w:rPr>
          <w:rtl w:val="0"/>
        </w:rPr>
        <w:t xml:space="preserve"> attribute limited adoption partly to the shortage of practitioner-facing decision support, and </w:t>
      </w:r>
      <w:r>
        <w:rPr>
          <w:rtl w:val="0"/>
        </w:rPr>
        <w:t xml:space="preserve">Leitner et al. </w:t>
      </w:r>
      <w:sdt>
        <w:sdtPr>
          <w:rPr>
            <w:rtl w:val="0"/>
          </w:rPr>
          <w:tag w:val="MENDELEY_CITATION_v3_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"/>
          <w:id w:val="-1694197661"/>
        </w:sdtPr>
        <w:sdtContent>
          <w:r>
            <w:rPr>
              <w:rtl w:val="0"/>
            </w:rPr>
            <w:t xml:space="preserve">(2019)</w:t>
          </w:r>
        </w:sdtContent>
      </w:sdt>
      <w:r>
        <w:rPr>
          <w:rtl w:val="0"/>
        </w:rPr>
        <w:t xml:space="preserve"> document a persistent disconnect between sophisticated predictive models and their use in institutional decision-making. A dashboard that cannot be reached from the environment where instructors and advisors already work is unlikely to overcome that constraint. Showing that the system launches from a Learning Management System with the user's role and course context intact is therefore evidence of technical integration feasibility, supporting the contribution stated in Chapter 1, Section 1.5.</w:t>
      </w:r>
    </w:p>
    <w:p w:rsidR="00000000" w:rsidDel="00000000" w:rsidP="00000000" w:rsidRDefault="00000000" w:rsidRPr="00000000" w14:paraId="000001D7">
      <w:pPr>
        <w:pStyle w:val="Heading3"/>
        <w:keepNext w:val="0"/>
        <w:keepLines w:val="0"/>
        <w:spacing w:after="100" w:before="200" w:lineRule="auto"/>
        <w:rPr/>
      </w:pPr>
      <w:bookmarkStart w:colFirst="0" w:colLast="0" w:name="_heading=h.bse703crptbn" w:id="47"/>
      <w:bookmarkEnd w:id="47"/>
      <w:r>
        <w:rPr>
          <w:color w:val="000000"/>
          <w:rtl w:val="0"/>
        </w:rPr>
        <w:t xml:space="preserve">4.10.1 Moodle</w:t>
      </w:r>
      <w:r>
        <w:rPr>
          <w:rtl w:val="0"/>
        </w:rPr>
      </w:r>
    </w:p>
    <w:p w:rsidR="00000000" w:rsidDel="00000000" w:rsidP="00000000" w:rsidRDefault="00000000" w:rsidRPr="00000000" w14:paraId="000001D8">
      <w:pPr>
        <w:spacing w:after="200" w:lineRule="auto"/>
        <w:jc w:val="both"/>
        <w:rPr/>
      </w:pPr>
      <w:r>
        <w:rPr>
          <w:rtl w:val="0"/>
        </w:rPr>
        <w:t xml:space="preserve">A lightweight Moodle instance (the community-maintained erseco/alpine-moodle image, running Moodle 5.2 and substantially smaller than the official Bitnami or MoodleHQ development images) ran locally via Docker, along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the plugin creates, and an Institution overview page for managers. Login, role, and course context come from Moodle itself: an instructor sees only the students in a course they teach, and the plugin calls the API server-to-server with the shared service key described in Section 4.8, so no dashboard credentials reach the browser. Access control was checked by attempting cross-role and cross-course requests, such as an instructor of module AAA opening the insights page of an FFF course, and each request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Change w:id="0">
          <w:tblGrid>
            <w:gridCol w:w="9070"/>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9">
            <w:pPr>
              <w:keepNext w:val="1"/>
              <w:spacing w:after="120" w:before="120" w:lineRule="auto"/>
              <w:rPr>
                <w:color w:val="000000"/>
              </w:rPr>
            </w:pPr>
            <w:r>
              <w:rPr>
                <w:rtl w:val="0"/>
              </w:rPr>
            </w:r>
          </w:p>
          <w:p w:rsidR="00000000" w:rsidDel="00000000" w:rsidP="00000000" w:rsidRDefault="00000000" w:rsidRPr="00000000" w14:paraId="000001DA">
            <w:pPr>
              <w:keepNext w:val="1"/>
              <w:spacing w:before="700" w:lineRule="auto"/>
              <w:jc w:val="center"/>
              <w:rPr/>
            </w:pPr>
            <w:r>
              <w:rPr>
                <w:b w:val="1"/>
                <w:bCs w:val="1"/>
                <w:color w:val="6a737b"/>
                <w:sz w:val="22"/>
                <w:szCs w:val="22"/>
              </w:rPr>
              <w:drawing>
                <wp:inline distB="0" distT="0" distL="0" distR="0">
                  <wp:extent cx="5731510" cy="3980215"/>
                  <wp:effectExtent b="0" l="0" r="0" t="0"/>
                  <wp:docPr id="9020"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DB">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DC">
      <w:pPr>
        <w:pStyle w:val="Heading3"/>
        <w:keepNext w:val="0"/>
        <w:keepLines w:val="0"/>
        <w:spacing w:after="100" w:before="200" w:lineRule="auto"/>
        <w:rPr/>
      </w:pPr>
      <w:bookmarkStart w:colFirst="0" w:colLast="0" w:name="_heading=h.zcn86oxw1f7n" w:id="48"/>
      <w:bookmarkEnd w:id="48"/>
      <w:r>
        <w:rPr>
          <w:color w:val="000000"/>
          <w:rtl w:val="0"/>
        </w:rPr>
        <w:t xml:space="preserve">4.10.2 Canvas</w:t>
      </w:r>
      <w:r>
        <w:rPr>
          <w:rtl w:val="0"/>
        </w:rPr>
      </w:r>
    </w:p>
    <w:p w:rsidR="00000000" w:rsidDel="00000000" w:rsidP="00000000" w:rsidRDefault="00000000" w:rsidRPr="00000000" w14:paraId="000001DD">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DE">
      <w:pPr>
        <w:keepNext w:val="1"/>
        <w:spacing w:after="120" w:before="120" w:lineRule="auto"/>
        <w:rPr/>
      </w:pPr>
      <w:r>
        <w:rPr>
          <w:rtl w:val="0"/>
        </w:rPr>
      </w:r>
    </w:p>
    <w:p w:rsidR="00000000" w:rsidDel="00000000" w:rsidP="00000000" w:rsidRDefault="00000000" w:rsidRPr="00000000" w14:paraId="000001DF">
      <w:pPr>
        <w:keepNext w:val="1"/>
        <w:spacing w:after="200" w:lineRule="auto"/>
        <w:jc w:val="both"/>
        <w:rPr/>
      </w:pPr>
      <w:r>
        <w:rPr/>
        <w:drawing>
          <wp:inline distB="0" distT="0" distL="0" distR="0">
            <wp:extent cx="5731510" cy="3383182"/>
            <wp:effectExtent b="0" l="0" r="0" t="0"/>
            <wp:docPr id="9021"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5731510" cy="3383182"/>
                    </a:xfrm>
                    <a:prstGeom prst="rect"/>
                    <a:ln/>
                  </pic:spPr>
                </pic:pic>
              </a:graphicData>
            </a:graphic>
          </wp:inline>
        </w:drawing>
      </w:r>
      <w:r>
        <w:rPr>
          <w:rtl w:val="0"/>
        </w:rPr>
      </w:r>
    </w:p>
    <w:p w:rsidR="00000000" w:rsidDel="00000000" w:rsidP="00000000" w:rsidRDefault="00000000" w:rsidRPr="00000000" w14:paraId="000001E0">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E1">
      <w:pPr>
        <w:pStyle w:val="Heading2"/>
        <w:keepNext w:val="0"/>
        <w:keepLines w:val="0"/>
        <w:spacing w:after="150" w:before="300" w:lineRule="auto"/>
        <w:rPr/>
      </w:pPr>
      <w:bookmarkStart w:colFirst="0" w:colLast="0" w:name="_heading=h.gsyqujsam4i6" w:id="49"/>
      <w:bookmarkEnd w:id="49"/>
      <w:r>
        <w:rPr>
          <w:color w:val="000000"/>
          <w:rtl w:val="0"/>
        </w:rPr>
        <w:t xml:space="preserve">4.11 Prototype Deployment Topology</w:t>
      </w:r>
      <w:r>
        <w:rPr>
          <w:rtl w:val="0"/>
        </w:rPr>
      </w:r>
    </w:p>
    <w:p w:rsidR="00000000" w:rsidDel="00000000" w:rsidP="00000000" w:rsidRDefault="00000000" w:rsidRPr="00000000" w14:paraId="000001E2">
      <w:pPr>
        <w:spacing w:after="200" w:lineRule="auto"/>
        <w:jc w:val="both"/>
        <w:rPr/>
      </w:pPr>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it stores these artefacts in a persistent volume so later restarts reuse the same model version. The out-of-fold risk scores for the full population and the global SHAP values are computed once per model version and served from this cache, so administrator- and advisor-level dashboard views use cached copies rather than recomputing predictions for the full student population on every page load. The API also sends a Content-Security-Policy frame-ancestors header, so that only the configured Learning Management System origins can embed the dashboard.</w:t>
      </w:r>
    </w:p>
    <w:p w:rsidR="00000000" w:rsidDel="00000000" w:rsidP="00000000" w:rsidRDefault="00000000" w:rsidRPr="00000000" w14:paraId="000001E3">
      <w:pPr>
        <w:spacing w:after="200" w:lineRule="auto"/>
        <w:jc w:val="both"/>
        <w:rPr/>
      </w:pPr>
      <w:r>
        <w:rPr>
          <w:rtl w:val="0"/>
        </w:rPr>
        <w:t xml:space="preserve">The separation between the cached cohort path and the synchronous per-student path follows </w:t>
      </w:r>
      <w:r>
        <w:rPr>
          <w:rtl w:val="0"/>
        </w:rPr>
        <w:t xml:space="preserve">Sculley et al. </w:t>
      </w:r>
      <w:sdt>
        <w:sdtPr>
          <w:rPr>
            <w:rtl w:val="0"/>
          </w:rPr>
          <w:tag w:val="MENDELEY_CITATION_v3_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"/>
          <w:id w:val="1979067543"/>
        </w:sdtPr>
        <w:sdtContent>
          <w:r>
            <w:rPr>
              <w:rtl w:val="0"/>
            </w:rPr>
            <w:t xml:space="preserve">(2015)</w:t>
          </w:r>
        </w:sdtContent>
      </w:sdt>
      <w:r>
        <w:rPr>
          <w:rtl w:val="0"/>
        </w:rPr>
        <w:t xml:space="preserve">, who observe that serving batch and online scoring behind one interface builds up hidden coupling and makes latency hard to reason about. Keeping the two paths separate lets cohort refreshes run without competing with interactive requests. In this system, the administrator and advisor views, which aggregate over the full population, are served from cached results, while the instructor view retains the responsiveness required for the interactive explanation requests on which the evaluation tasks depend. </w:t>
      </w:r>
      <w:r>
        <w:rPr>
          <w:rtl w:val="0"/>
        </w:rPr>
        <w:t xml:space="preserve">Kaliisa et al. </w:t>
      </w:r>
      <w:sdt>
        <w:sdtPr>
          <w:rPr>
            <w:rtl w:val="0"/>
          </w:rPr>
          <w:tag w:val="MENDELEY_CITATION_v3_eyJjaXRhdGlvbklEIjogIk1FTkRFTEVZX0NJVEFUSU9OXzI2NjZmZGIwLTg1ZmYtNTlmMS05NGJlLTZhNmIxNDQyZDZkMS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1411787138"/>
        </w:sdtPr>
        <w:sdtContent>
          <w:r>
            <w:rPr>
              <w:rtl w:val="0"/>
            </w:rPr>
            <w:t xml:space="preserve">(2023)</w:t>
          </w:r>
        </w:sdtContent>
      </w:sdt>
      <w:r>
        <w:rPr>
          <w:rtl w:val="0"/>
        </w:rPr>
        <w:t xml:space="preserve">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E4">
      <w:pPr>
        <w:pStyle w:val="Heading2"/>
        <w:keepNext w:val="0"/>
        <w:keepLines w:val="0"/>
        <w:spacing w:after="150" w:before="300" w:lineRule="auto"/>
        <w:rPr/>
      </w:pPr>
      <w:bookmarkStart w:colFirst="0" w:colLast="0" w:name="_heading=h.f3xnwyeqkeaz" w:id="50"/>
      <w:bookmarkEnd w:id="50"/>
      <w:r>
        <w:rPr>
          <w:color w:val="000000"/>
          <w:rtl w:val="0"/>
        </w:rPr>
        <w:t xml:space="preserve">4.12 Summary</w:t>
      </w:r>
      <w:r>
        <w:rPr>
          <w:rtl w:val="0"/>
        </w:rPr>
      </w:r>
    </w:p>
    <w:p w:rsidR="00000000" w:rsidDel="00000000" w:rsidP="00000000" w:rsidRDefault="00000000" w:rsidRPr="00000000" w14:paraId="000001E5">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results from evaluating this implementation against the OULAD dataset, including model performance and explanation quality, and discusses what these technical findings imply for practitioner use, drawing on existing literature rather than original usability testing.</w:t>
      </w:r>
    </w:p>
    <w:p w:rsidR="00000000" w:rsidDel="00000000" w:rsidP="00000000" w:rsidRDefault="00000000" w:rsidRPr="00000000" w14:paraId="000001E6">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Integrating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They were specified from the CommonKADS Agent Model and the dashboard design literature cited in Section 4.9 and were not validated with practitioners, since no primary user data were collected for this study. The third research question concerns what the predictive and explainability findings indicate about the technical potential of the dashboard to support practitioner interpretation and decision-making. This chapter establishes that the system evaluated in Chapter 5 is a working prototype tested on the full OULAD population, not only on illustrative cases. That is the precondition for the technical evidence in Chapter 5, but it is not a measurement of practitioner response.</w:t>
      </w:r>
    </w:p>
    <w:p w:rsidR="00000000" w:rsidDel="00000000" w:rsidP="00000000" w:rsidRDefault="00000000" w:rsidRPr="00000000" w14:paraId="000001E7">
      <w:pPr>
        <w:spacing w:after="200" w:lineRule="auto"/>
        <w:jc w:val="both"/>
        <w:rPr/>
      </w:pPr>
      <w:r>
        <w:rPr>
          <w:rtl w:val="0"/>
        </w:rPr>
        <w:t xml:space="preserve">Two implementation limitations should be recorded before reporting the evaluation.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system's transferability to a real institutional setting and are revisited in the discussion of limitations.</w:t>
      </w:r>
    </w:p>
    <w:p w:rsidR="00000000" w:rsidDel="00000000" w:rsidP="00000000" w:rsidRDefault="00000000" w:rsidRPr="00000000" w14:paraId="000001E8">
      <w:pPr>
        <w:pStyle w:val="Heading1"/>
        <w:keepNext w:val="0"/>
        <w:keepLines w:val="0"/>
        <w:pageBreakBefore w:val="1"/>
        <w:jc w:val="center"/>
        <w:rPr/>
      </w:pPr>
      <w:bookmarkStart w:colFirst="0" w:colLast="0" w:name="_heading=h.rev051" w:id="51"/>
      <w:bookmarkEnd w:id="51"/>
      <w:r>
        <w:rPr>
          <w:color w:val="000000"/>
          <w:rtl w:val="0"/>
        </w:rPr>
        <w:t xml:space="preserve">CHAPTER 5</w:t>
      </w:r>
      <w:r>
        <w:rPr>
          <w:rtl w:val="0"/>
        </w:rPr>
      </w:r>
    </w:p>
    <w:p w:rsidR="00000000" w:rsidDel="00000000" w:rsidP="00000000" w:rsidRDefault="00000000" w:rsidRPr="00000000" w14:paraId="000001E9">
      <w:pPr>
        <w:pStyle w:val="Heading1"/>
        <w:keepNext w:val="0"/>
        <w:keepLines w:val="0"/>
        <w:jc w:val="center"/>
        <w:rPr/>
      </w:pPr>
      <w:bookmarkStart w:colFirst="0" w:colLast="0" w:name="_heading=h.rev052" w:id="52"/>
      <w:bookmarkEnd w:id="52"/>
      <w:r>
        <w:rPr>
          <w:color w:val="000000"/>
          <w:rtl w:val="0"/>
        </w:rPr>
        <w:t xml:space="preserve">RESULTS AND ANALYSIS</w:t>
      </w:r>
      <w:r>
        <w:rPr>
          <w:rtl w:val="0"/>
        </w:rPr>
      </w:r>
    </w:p>
    <w:p w:rsidR="00000000" w:rsidDel="00000000" w:rsidP="00000000" w:rsidRDefault="00000000" w:rsidRPr="00000000" w14:paraId="000001EA">
      <w:pPr>
        <w:pStyle w:val="Heading2"/>
        <w:keepNext w:val="0"/>
        <w:keepLines w:val="0"/>
        <w:spacing w:after="150" w:before="300" w:lineRule="auto"/>
        <w:rPr/>
      </w:pPr>
      <w:bookmarkStart w:colFirst="0" w:colLast="0" w:name="_heading=h.ds4rx2wh4fc0" w:id="53"/>
      <w:bookmarkEnd w:id="53"/>
      <w:r>
        <w:rPr>
          <w:color w:val="000000"/>
          <w:rtl w:val="0"/>
        </w:rPr>
        <w:t xml:space="preserve">5.1 Introduction</w:t>
      </w:r>
      <w:r>
        <w:rPr>
          <w:rtl w:val="0"/>
        </w:rPr>
      </w:r>
    </w:p>
    <w:p w:rsidR="00000000" w:rsidDel="00000000" w:rsidP="00000000" w:rsidRDefault="00000000" w:rsidRPr="00000000" w14:paraId="000001EB">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end-to-end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EC">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which this chapter completes. Section 5.5 reports performance variability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ED">
      <w:pPr>
        <w:spacing w:after="200" w:lineRule="auto"/>
        <w:jc w:val="both"/>
        <w:rPr/>
      </w:pPr>
      <w:r>
        <w:rPr>
          <w:rtl w:val="0"/>
        </w:rPr>
        <w:t xml:space="preserve">This is a technical evaluation, consistent with the scope defined in Chapter 1, Section 1.6: it establishes, with verified figures, what the system's predictive and explanatory components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EE">
      <w:pPr>
        <w:pStyle w:val="Heading2"/>
        <w:keepNext w:val="0"/>
        <w:keepLines w:val="0"/>
        <w:spacing w:after="150" w:before="300" w:lineRule="auto"/>
        <w:rPr/>
      </w:pPr>
      <w:bookmarkStart w:colFirst="0" w:colLast="0" w:name="_heading=h.jbi0e1502wpe" w:id="54"/>
      <w:bookmarkEnd w:id="54"/>
      <w:r>
        <w:rPr>
          <w:color w:val="000000"/>
          <w:rtl w:val="0"/>
        </w:rPr>
        <w:t xml:space="preserve">5.2 Experimental Setup</w:t>
      </w:r>
      <w:r>
        <w:rPr>
          <w:rtl w:val="0"/>
        </w:rPr>
      </w:r>
    </w:p>
    <w:p w:rsidR="00000000" w:rsidDel="00000000" w:rsidP="00000000" w:rsidRDefault="00000000" w:rsidRPr="00000000" w14:paraId="000001EF">
      <w:pPr>
        <w:spacing w:after="200" w:lineRule="auto"/>
        <w:jc w:val="both"/>
        <w:rPr/>
      </w:pPr>
      <w:r>
        <w:rPr>
          <w:rtl w:val="0"/>
        </w:rPr>
        <w:t xml:space="preserve">The evaluation used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sdt>
        <w:sdtPr>
          <w:id w:val="-1927987585"/>
          <w:tag w:val="goog_rdk_0"/>
        </w:sdtPr>
        <w:sdtContent>
          <w:commentRangeStart w:id="0"/>
        </w:sdtContent>
      </w:sdt>
      <w:sdt>
        <w:sdtPr>
          <w:id w:val="1158832326"/>
          <w:tag w:val="goog_rdk_1"/>
        </w:sdtPr>
        <w:sdtContent>
          <w:commentRangeStart w:id="1"/>
        </w:sdtContent>
      </w:sdt>
      <w:sdt>
        <w:sdtPr>
          <w:id w:val="921768804"/>
          <w:tag w:val="goog_rdk_2"/>
        </w:sdtPr>
        <w:sdtContent>
          <w:commentRangeStart w:id="2"/>
        </w:sdtContent>
      </w:sdt>
      <w:r>
        <w:rPr>
          <w:rtl w:val="0"/>
        </w:rPr>
        <w:t xml:space="preserve">The dataset is therefore only mildly imbalanced</w:t>
      </w:r>
      <w:commentRangeEnd w:id="0"/>
      <w:r>
        <w:commentReference w:id="0"/>
      </w:r>
      <w:commentRangeEnd w:id="1"/>
      <w:r>
        <w:commentReference w:id="1"/>
      </w:r>
      <w:commentRangeEnd w:id="2"/>
      <w:r>
        <w:commentReference w:id="2"/>
      </w:r>
      <w:r>
        <w:rPr>
          <w:rtl w:val="0"/>
        </w:rPr>
        <w:t xml:space="preserve">. Because withdrawals account for 59% of the positive class, the model is best understood as a withdrawal predictor rather than a pure academic-failure predictor, and this qualification carries through the interpretation below.</w:t>
      </w:r>
    </w:p>
    <w:p w:rsidR="00000000" w:rsidDel="00000000" w:rsidP="00000000" w:rsidRDefault="00000000" w:rsidRPr="00000000" w14:paraId="000001F0">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F1">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F2">
      <w:pPr>
        <w:pStyle w:val="Heading2"/>
        <w:keepNext w:val="0"/>
        <w:keepLines w:val="0"/>
        <w:spacing w:after="150" w:before="300" w:lineRule="auto"/>
        <w:rPr/>
      </w:pPr>
      <w:bookmarkStart w:colFirst="0" w:colLast="0" w:name="_heading=h.nxkvon9gdrf4" w:id="55"/>
      <w:bookmarkEnd w:id="55"/>
      <w:r>
        <w:rPr>
          <w:color w:val="000000"/>
          <w:rtl w:val="0"/>
        </w:rPr>
        <w:t xml:space="preserve">5.3 Model Performance</w:t>
      </w:r>
      <w:r>
        <w:rPr>
          <w:rtl w:val="0"/>
        </w:rPr>
      </w:r>
    </w:p>
    <w:p w:rsidR="00000000" w:rsidDel="00000000" w:rsidP="00000000" w:rsidRDefault="00000000" w:rsidRPr="00000000" w14:paraId="000001F3">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Change w:id="0">
          <w:tblGrid>
            <w:gridCol w:w="1955"/>
            <w:gridCol w:w="1848"/>
            <w:gridCol w:w="1847"/>
            <w:gridCol w:w="1847"/>
            <w:gridCol w:w="1847"/>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0.8867</w:t>
            </w:r>
          </w:p>
        </w:tc>
      </w:tr>
    </w:tbl>
    <w:p w:rsidR="00000000" w:rsidDel="00000000" w:rsidP="00000000" w:rsidRDefault="00000000" w:rsidRPr="00000000" w14:paraId="000001FA">
      <w:pPr>
        <w:spacing w:after="120" w:before="120" w:lineRule="auto"/>
        <w:rPr/>
      </w:pPr>
      <w:r>
        <w:rPr>
          <w:rtl w:val="0"/>
        </w:rPr>
      </w:r>
    </w:p>
    <w:p w:rsidR="00000000" w:rsidDel="00000000" w:rsidP="00000000" w:rsidRDefault="00000000" w:rsidRPr="00000000" w14:paraId="000001FB">
      <w:pPr>
        <w:spacing w:after="100" w:before="200" w:lineRule="auto"/>
        <w:jc w:val="center"/>
        <w:rPr/>
      </w:pPr>
      <w:r>
        <w:rPr/>
        <w:drawing>
          <wp:inline distB="0" distT="0" distL="0" distR="0">
            <wp:extent cx="5762625" cy="2200275"/>
            <wp:effectExtent b="0" l="0" r="0" t="0"/>
            <wp:docPr id="9022"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FC">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FD">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FE">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less misleading here than it would be under severe imbalance. It still combines two different kinds of error, false positives and false negatives, into one figure, which is why Chapter 3, Section 3.4 nominated F1-score rather than accuracy as the primary metric for comparative reporting.</w:t>
      </w:r>
    </w:p>
    <w:p w:rsidR="00000000" w:rsidDel="00000000" w:rsidP="00000000" w:rsidRDefault="00000000" w:rsidRPr="00000000" w14:paraId="000001FF">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 A precision below 1.0 means some proportion of flagged students did not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200">
      <w:pPr>
        <w:spacing w:after="200" w:lineRule="auto"/>
        <w:jc w:val="both"/>
        <w:rPr/>
      </w:pPr>
      <w:r>
        <w:rPr>
          <w:b w:val="1"/>
          <w:bCs w:val="1"/>
          <w:rtl w:val="0"/>
        </w:rPr>
        <w:t xml:space="preserve">Recall. </w:t>
      </w:r>
      <w:r>
        <w:rPr>
          <w:rtl w:val="0"/>
        </w:rPr>
        <w:t xml:space="preserve">A recall of 0.9085 means that of the 17,208 genuinely at-risk students in the held-out data, the model correctly identifies 15,634 and misses 1,574. This figure is most directly relevant to the study's early-intervention rationale and is the primary criterion for selecting the prototype model (Chapter 3, Section 3.4), because a student who is at risk but not flagged receives no benefit from the dashboard. Recall is higher than precision, indicating that, at the default 0.5 threshold, the model is more conservative about withholding an at-risk flag than about avoiding a false alarm.</w:t>
      </w:r>
    </w:p>
    <w:p w:rsidR="00000000" w:rsidDel="00000000" w:rsidP="00000000" w:rsidRDefault="00000000" w:rsidRPr="00000000" w14:paraId="00000201">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apart from the confusion matrix in Figure 5.1. </w:t>
      </w:r>
      <w:r>
        <w:rPr>
          <w:rtl w:val="0"/>
        </w:rPr>
        <w:t xml:space="preserve">Chicco and Jurman </w:t>
      </w:r>
      <w:sdt>
        <w:sdtPr>
          <w:rPr>
            <w:rtl w:val="0"/>
          </w:rPr>
          <w:tag w:val="MENDELEY_CITATION_v3_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"/>
          <w:id w:val="890383864"/>
        </w:sdtPr>
        <w:sdtContent>
          <w:r>
            <w:rPr>
              <w:rtl w:val="0"/>
            </w:rPr>
            <w:t xml:space="preserve">(2020)</w:t>
          </w:r>
        </w:sdtContent>
      </w:sdt>
      <w:r>
        <w:rPr>
          <w:rtl w:val="0"/>
        </w:rPr>
        <w:t xml:space="preserve"> caution that summary metrics can hide the underlying error profile, and it is the full profile, not any single number, that shows what an institution should expect from the 0.5 threshold.</w:t>
      </w:r>
    </w:p>
    <w:p w:rsidR="00000000" w:rsidDel="00000000" w:rsidP="00000000" w:rsidRDefault="00000000" w:rsidRPr="00000000" w14:paraId="00000202">
      <w:pPr>
        <w:pStyle w:val="Heading2"/>
        <w:keepNext w:val="0"/>
        <w:keepLines w:val="0"/>
        <w:spacing w:after="150" w:before="300" w:lineRule="auto"/>
        <w:rPr/>
      </w:pPr>
      <w:bookmarkStart w:colFirst="0" w:colLast="0" w:name="_heading=h.7tyjfpak24wr" w:id="56"/>
      <w:bookmarkEnd w:id="56"/>
      <w:r>
        <w:rPr>
          <w:color w:val="000000"/>
          <w:rtl w:val="0"/>
        </w:rPr>
        <w:t xml:space="preserve">5.4 Comparison Across the Candidate Ensemble Models</w:t>
      </w:r>
      <w:r>
        <w:rPr>
          <w:rtl w:val="0"/>
        </w:rPr>
      </w:r>
    </w:p>
    <w:p w:rsidR="00000000" w:rsidDel="00000000" w:rsidP="00000000" w:rsidRDefault="00000000" w:rsidRPr="00000000" w14:paraId="00000203">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204">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Change w:id="0">
          <w:tblGrid>
            <w:gridCol w:w="1679"/>
            <w:gridCol w:w="1565"/>
            <w:gridCol w:w="1565"/>
            <w:gridCol w:w="1565"/>
            <w:gridCol w:w="1565"/>
            <w:gridCol w:w="1405"/>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1">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2">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3">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4">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5">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6">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217">
      <w:pPr>
        <w:spacing w:after="120" w:before="120" w:lineRule="auto"/>
        <w:rPr/>
      </w:pPr>
      <w:r>
        <w:rPr>
          <w:rtl w:val="0"/>
        </w:rPr>
      </w:r>
    </w:p>
    <w:p w:rsidR="00000000" w:rsidDel="00000000" w:rsidP="00000000" w:rsidRDefault="00000000" w:rsidRPr="00000000" w14:paraId="00000218">
      <w:pPr>
        <w:spacing w:after="100" w:before="200" w:lineRule="auto"/>
        <w:jc w:val="center"/>
        <w:rPr/>
      </w:pPr>
      <w:r>
        <w:rPr/>
        <w:drawing>
          <wp:inline distB="0" distT="0" distL="0" distR="0">
            <wp:extent cx="5486400" cy="2876550"/>
            <wp:effectExtent b="0" l="0" r="0" t="0"/>
            <wp:docPr id="9023" name="image22.png"/>
            <a:graphic>
              <a:graphicData uri="http://schemas.openxmlformats.org/drawingml/2006/picture">
                <pic:pic>
                  <pic:nvPicPr>
                    <pic:cNvPr id="0" name="image22.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9">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21A">
      <w:pPr>
        <w:spacing w:after="200" w:lineRule="auto"/>
        <w:jc w:val="both"/>
        <w:rPr/>
      </w:pPr>
      <w:r>
        <w:rPr>
          <w:rtl w:val="0"/>
        </w:rPr>
        <w:t xml:space="preserve">All three models perform strongly and within a narrow band of one another. Random Forest achieves the highest F1-score (0.8976), ahead of Gradient Boosting (0.8932) and the prototype XGBoost model (0.8867), and also has the highest accuracy and precision of the three, while XGBoost retains the highest recall, correctly identifying more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Random Forest's higher F1-score is a relevant finding for future iterations of the pipeline, particularly if the relative priority of recall and precision is revisited.</w:t>
      </w:r>
    </w:p>
    <w:p w:rsidR="00000000" w:rsidDel="00000000" w:rsidP="00000000" w:rsidRDefault="00000000" w:rsidRPr="00000000" w14:paraId="0000021B">
      <w:pPr>
        <w:pStyle w:val="Heading2"/>
        <w:keepNext w:val="0"/>
        <w:keepLines w:val="0"/>
        <w:spacing w:after="150" w:before="300" w:lineRule="auto"/>
        <w:rPr/>
      </w:pPr>
      <w:bookmarkStart w:colFirst="0" w:colLast="0" w:name="_heading=h.ynwx1na3ek7v" w:id="57"/>
      <w:bookmarkEnd w:id="57"/>
      <w:r>
        <w:rPr>
          <w:color w:val="000000"/>
          <w:rtl w:val="0"/>
        </w:rPr>
        <w:t xml:space="preserve">5.5 Variability Across Course Presentations</w:t>
      </w:r>
      <w:r>
        <w:rPr>
          <w:rtl w:val="0"/>
        </w:rPr>
      </w:r>
    </w:p>
    <w:p w:rsidR="00000000" w:rsidDel="00000000" w:rsidP="00000000" w:rsidRDefault="00000000" w:rsidRPr="00000000" w14:paraId="0000021C">
      <w:pPr>
        <w:spacing w:after="200" w:lineRule="auto"/>
        <w:jc w:val="both"/>
        <w:rPr/>
      </w:pPr>
      <w:r>
        <w:rPr>
          <w:rtl w:val="0"/>
        </w:rPr>
        <w:t xml:space="preserve">Because the GroupKFold protocol holds out one entire course presentation per fold, the prototype model's out-of-fold performance can be reported separately for each of the four presentations. This is a stricter test of generalisation than the pooled figures in Table 5.1, because each test presentation is entirely unseen during that fold's training. Table 5.3 and Figure 5.3 report this breakdown.</w:t>
      </w:r>
    </w:p>
    <w:p w:rsidR="00000000" w:rsidDel="00000000" w:rsidP="00000000" w:rsidRDefault="00000000" w:rsidRPr="00000000" w14:paraId="0000021D">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Change w:id="0">
          <w:tblGrid>
            <w:gridCol w:w="1326"/>
            <w:gridCol w:w="1337"/>
            <w:gridCol w:w="1337"/>
            <w:gridCol w:w="1336"/>
            <w:gridCol w:w="1336"/>
            <w:gridCol w:w="1336"/>
            <w:gridCol w:w="1336"/>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0.8600</w:t>
            </w:r>
          </w:p>
        </w:tc>
      </w:tr>
    </w:tbl>
    <w:p w:rsidR="00000000" w:rsidDel="00000000" w:rsidP="00000000" w:rsidRDefault="00000000" w:rsidRPr="00000000" w14:paraId="0000023A">
      <w:pPr>
        <w:spacing w:after="120" w:before="120" w:lineRule="auto"/>
        <w:rPr/>
      </w:pPr>
      <w:r>
        <w:rPr>
          <w:rtl w:val="0"/>
        </w:rPr>
      </w:r>
    </w:p>
    <w:p w:rsidR="00000000" w:rsidDel="00000000" w:rsidP="00000000" w:rsidRDefault="00000000" w:rsidRPr="00000000" w14:paraId="0000023B">
      <w:pPr>
        <w:spacing w:after="100" w:before="200" w:lineRule="auto"/>
        <w:jc w:val="center"/>
        <w:rPr/>
      </w:pPr>
      <w:r>
        <w:rPr/>
        <w:drawing>
          <wp:inline distB="0" distT="0" distL="0" distR="0">
            <wp:extent cx="5486400" cy="2876550"/>
            <wp:effectExtent b="0" l="0" r="0" t="0"/>
            <wp:docPr id="9024" name="image19.png"/>
            <a:graphic>
              <a:graphicData uri="http://schemas.openxmlformats.org/drawingml/2006/picture">
                <pic:pic>
                  <pic:nvPicPr>
                    <pic:cNvPr id="0" name="image19.png"/>
                    <pic:cNvPicPr preferRelativeResize="0"/>
                  </pic:nvPicPr>
                  <pic:blipFill>
                    <a:blip r:embed="rId28"/>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3C">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3D">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GroupKFold has only four groups, each fold trains on three presentations and tests on one. This spread is consistent with substantial between-presentation variation, although the small number of presentation-level folds limits the precision with which the source of the variation can be attributed. This variability limits how confidently the pooled figures in Table 5.1 can be generalised to a presentation not represented in this dataset, and it is revisited in Section 5.10.</w:t>
      </w:r>
    </w:p>
    <w:p w:rsidR="00000000" w:rsidDel="00000000" w:rsidP="00000000" w:rsidRDefault="00000000" w:rsidRPr="00000000" w14:paraId="0000023E">
      <w:pPr>
        <w:pStyle w:val="Heading2"/>
        <w:keepNext w:val="0"/>
        <w:keepLines w:val="0"/>
        <w:spacing w:after="150" w:before="300" w:lineRule="auto"/>
        <w:rPr/>
      </w:pPr>
      <w:bookmarkStart w:colFirst="0" w:colLast="0" w:name="_heading=h.svn91jjybswg" w:id="58"/>
      <w:bookmarkEnd w:id="58"/>
      <w:r>
        <w:rPr>
          <w:color w:val="000000"/>
          <w:rtl w:val="0"/>
        </w:rPr>
        <w:t xml:space="preserve">5.6 Explainability Analysis: SHAP and LIME</w:t>
      </w:r>
      <w:r>
        <w:rPr>
          <w:rtl w:val="0"/>
        </w:rPr>
      </w:r>
    </w:p>
    <w:p w:rsidR="00000000" w:rsidDel="00000000" w:rsidP="00000000" w:rsidRDefault="00000000" w:rsidRPr="00000000" w14:paraId="0000023F">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40">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41">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Change w:id="0">
          <w:tblGrid>
            <w:gridCol w:w="2295"/>
            <w:gridCol w:w="3395"/>
            <w:gridCol w:w="2295"/>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6">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7">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8">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9">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A">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B">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C">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B">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C">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D">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E">
            <w:pPr>
              <w:rPr>
                <w:color w:val="000000"/>
              </w:rPr>
            </w:pPr>
            <w:r>
              <w:rPr>
                <w:color w:val="000000"/>
                <w:rtl w:val="0"/>
              </w:rPr>
              <w:t xml:space="preserve">0.0640</w:t>
            </w:r>
          </w:p>
        </w:tc>
      </w:tr>
    </w:tbl>
    <w:p w:rsidR="00000000" w:rsidDel="00000000" w:rsidP="00000000" w:rsidRDefault="00000000" w:rsidRPr="00000000" w14:paraId="0000026F">
      <w:pPr>
        <w:spacing w:after="120" w:before="120" w:lineRule="auto"/>
        <w:rPr/>
      </w:pPr>
      <w:r>
        <w:rPr>
          <w:rtl w:val="0"/>
        </w:rPr>
      </w:r>
    </w:p>
    <w:p w:rsidR="00000000" w:rsidDel="00000000" w:rsidP="00000000" w:rsidRDefault="00000000" w:rsidRPr="00000000" w14:paraId="00000270">
      <w:pPr>
        <w:spacing w:after="100" w:before="200" w:lineRule="auto"/>
        <w:jc w:val="center"/>
        <w:rPr/>
      </w:pPr>
      <w:r>
        <w:rPr/>
        <w:drawing>
          <wp:inline distB="0" distT="0" distL="0" distR="0">
            <wp:extent cx="5486400" cy="3352800"/>
            <wp:effectExtent b="0" l="0" r="0" t="0"/>
            <wp:docPr id="9025" name="image18.png"/>
            <a:graphic>
              <a:graphicData uri="http://schemas.openxmlformats.org/drawingml/2006/picture">
                <pic:pic>
                  <pic:nvPicPr>
                    <pic:cNvPr id="0" name="image18.png"/>
                    <pic:cNvPicPr preferRelativeResize="0"/>
                  </pic:nvPicPr>
                  <pic:blipFill>
                    <a:blip r:embed="rId29"/>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71">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72">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73">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One possible explanation is collinearity among the engagement variables, since </w:t>
      </w:r>
      <w:r>
        <w:rPr>
          <w:rtl w:val="0"/>
        </w:rPr>
        <w:t xml:space="preserve">Salih et al. </w:t>
      </w:r>
      <w:sdt>
        <w:sdtPr>
          <w:rPr>
            <w:rtl w:val="0"/>
          </w:rPr>
          <w:tag w:val="MENDELEY_CITATION_v3_eyJjaXRhdGlvbklEIjogIk1FTkRFTEVZX0NJVEFUSU9OXzNlMjFiZDExLTc3MjMtNTg5My05ZWQ5LTdjMWRiZDMyMzQwOS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277080598"/>
        </w:sdtPr>
        <w:sdtContent>
          <w:r>
            <w:rPr>
              <w:rtl w:val="0"/>
            </w:rPr>
            <w:t xml:space="preserve">(2025)</w:t>
          </w:r>
        </w:sdtContent>
      </w:sdt>
      <w:r>
        <w:rPr>
          <w:rtl w:val="0"/>
        </w:rPr>
        <w:t xml:space="preserve">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p>
    <w:p w:rsidR="00000000" w:rsidDel="00000000" w:rsidP="00000000" w:rsidRDefault="00000000" w:rsidRPr="00000000" w14:paraId="00000274">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Change w:id="0">
          <w:tblGrid>
            <w:gridCol w:w="2295"/>
            <w:gridCol w:w="2322"/>
            <w:gridCol w:w="2295"/>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8">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A">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B">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D">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E">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F">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90">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91">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92">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93">
            <w:pPr>
              <w:rPr>
                <w:color w:val="000000"/>
              </w:rPr>
            </w:pPr>
            <w:r>
              <w:rPr>
                <w:color w:val="000000"/>
                <w:rtl w:val="0"/>
              </w:rPr>
              <w:t xml:space="preserve">0.0043</w:t>
            </w:r>
          </w:p>
        </w:tc>
      </w:tr>
    </w:tbl>
    <w:p w:rsidR="00000000" w:rsidDel="00000000" w:rsidP="00000000" w:rsidRDefault="00000000" w:rsidRPr="00000000" w14:paraId="00000294">
      <w:pPr>
        <w:spacing w:after="120" w:before="120" w:lineRule="auto"/>
        <w:rPr/>
      </w:pPr>
      <w:r>
        <w:rPr>
          <w:rtl w:val="0"/>
        </w:rPr>
      </w:r>
    </w:p>
    <w:p w:rsidR="00000000" w:rsidDel="00000000" w:rsidP="00000000" w:rsidRDefault="00000000" w:rsidRPr="00000000" w14:paraId="00000295">
      <w:pPr>
        <w:spacing w:after="100" w:before="200" w:lineRule="auto"/>
        <w:jc w:val="center"/>
        <w:rPr/>
      </w:pPr>
      <w:r>
        <w:rPr/>
        <w:drawing>
          <wp:inline distB="0" distT="0" distL="0" distR="0">
            <wp:extent cx="5762625" cy="2162175"/>
            <wp:effectExtent b="0" l="0" r="0" t="0"/>
            <wp:docPr id="9012" name="image13.png"/>
            <a:graphic>
              <a:graphicData uri="http://schemas.openxmlformats.org/drawingml/2006/picture">
                <pic:pic>
                  <pic:nvPicPr>
                    <pic:cNvPr id="0" name="image13.png"/>
                    <pic:cNvPicPr preferRelativeResize="0"/>
                  </pic:nvPicPr>
                  <pic:blipFill>
                    <a:blip r:embed="rId30"/>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96">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97">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higher than SHAP's global ranking, consistent with LIME's local, sample-based construction being more sensitive to the specific instances in which a module identity is locally decisive.</w:t>
      </w:r>
    </w:p>
    <w:p w:rsidR="00000000" w:rsidDel="00000000" w:rsidP="00000000" w:rsidRDefault="00000000" w:rsidRPr="00000000" w14:paraId="00000298">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99">
      <w:pPr>
        <w:spacing w:after="200" w:lineRule="auto"/>
        <w:jc w:val="both"/>
        <w:rPr/>
      </w:pPr>
      <w:r>
        <w:rPr>
          <w:rtl w:val="0"/>
        </w:rPr>
        <w:t xml:space="preserve">In interpreting the findings in this section, the language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9A">
      <w:pPr>
        <w:pStyle w:val="Heading2"/>
        <w:keepNext w:val="0"/>
        <w:keepLines w:val="0"/>
        <w:spacing w:after="150" w:before="300" w:lineRule="auto"/>
        <w:rPr/>
      </w:pPr>
      <w:bookmarkStart w:colFirst="0" w:colLast="0" w:name="_heading=h.acvkacwdd9yq" w:id="59"/>
      <w:bookmarkEnd w:id="59"/>
      <w:r>
        <w:rPr>
          <w:color w:val="000000"/>
          <w:rtl w:val="0"/>
        </w:rPr>
        <w:t xml:space="preserve">5.7 Verification of Chapter 4 and Comparison with the Specified Methodology</w:t>
      </w:r>
      <w:r>
        <w:rPr>
          <w:rtl w:val="0"/>
        </w:rPr>
      </w:r>
    </w:p>
    <w:p w:rsidR="00000000" w:rsidDel="00000000" w:rsidP="00000000" w:rsidRDefault="00000000" w:rsidRPr="00000000" w14:paraId="0000029B">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9C">
      <w:pPr>
        <w:spacing w:after="200" w:lineRule="auto"/>
        <w:jc w:val="both"/>
        <w:rPr/>
      </w:pPr>
      <w:r>
        <w:rPr>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p>
    <w:p w:rsidR="00000000" w:rsidDel="00000000" w:rsidP="00000000" w:rsidRDefault="00000000" w:rsidRPr="00000000" w14:paraId="0000029D">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9E">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Change w:id="0">
          <w:tblGrid>
            <w:gridCol w:w="2098"/>
            <w:gridCol w:w="5053"/>
            <w:gridCol w:w="2193"/>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9F">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0">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1">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2">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3">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5">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6">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7">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8">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9">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A">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B">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C">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D">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E">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F">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B0">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B1">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only XGBoost, so this chapter completed the comparison directly by evaluating Random Forest and Gradient Boosting under the same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B2">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B3">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w:t>
      </w:r>
      <w:sdt>
        <w:sdtPr>
          <w:rPr>
            <w:rtl w:val="0"/>
          </w:rPr>
          <w:tag w:val="MENDELEY_CITATION_v3_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"/>
          <w:id w:val="-70877665"/>
        </w:sdtPr>
        <w:sdtContent>
          <w:r>
            <w:rPr>
              <w:rtl w:val="0"/>
            </w:rPr>
            <w:t xml:space="preserve">(Bergstra et al., 2011)</w:t>
          </w:r>
        </w:sdtContent>
      </w:sdt>
      <w:r>
        <w:rPr>
          <w:rtl w:val="0"/>
        </w:rPr>
        <w:t xml:space="preserve">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B4">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r>
    </w:p>
    <w:p w:rsidR="00000000" w:rsidDel="00000000" w:rsidP="00000000" w:rsidRDefault="00000000" w:rsidRPr="00000000" w14:paraId="000002B5">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in Table 5.1 give a clear picture of predictive performance. The additional secondary metrics and a calibration study were specified but not implemented, and they remain extensions for a future iteration. Calibration in particular would add confidence to the individual risk scores shown on the dashboard, alongside the strong discrimination already demonstrated (AUC 0.9624).</w:t>
      </w:r>
    </w:p>
    <w:p w:rsidR="00000000" w:rsidDel="00000000" w:rsidP="00000000" w:rsidRDefault="00000000" w:rsidRPr="00000000" w14:paraId="000002B6">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w:t>
      </w:r>
      <w:r>
        <w:rPr>
          <w:rtl w:val="0"/>
        </w:rPr>
        <w:t xml:space="preserve">Adnan et al. </w:t>
      </w:r>
      <w:sdt>
        <w:sdtPr>
          <w:rPr>
            <w:rtl w:val="0"/>
          </w:rPr>
          <w:tag w:val="MENDELEY_CITATION_v3_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"/>
          <w:id w:val="-994733577"/>
        </w:sdtPr>
        <w:sdtContent>
          <w:r>
            <w:rPr>
              <w:rtl w:val="0"/>
            </w:rPr>
            <w:t xml:space="preserve">(2021)</w:t>
          </w:r>
        </w:sdtContent>
      </w:sdt>
      <w:r>
        <w:rPr>
          <w:rtl w:val="0"/>
        </w:rPr>
        <w:t xml:space="preserve">.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B7">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r>
    </w:p>
    <w:p w:rsidR="00000000" w:rsidDel="00000000" w:rsidP="00000000" w:rsidRDefault="00000000" w:rsidRPr="00000000" w14:paraId="000002B8">
      <w:pPr>
        <w:pStyle w:val="Heading2"/>
        <w:keepNext w:val="0"/>
        <w:keepLines w:val="0"/>
        <w:spacing w:after="150" w:before="300" w:lineRule="auto"/>
        <w:rPr/>
      </w:pPr>
      <w:bookmarkStart w:colFirst="0" w:colLast="0" w:name="_heading=h.aljqfm4fx1v1" w:id="60"/>
      <w:bookmarkEnd w:id="60"/>
      <w:r>
        <w:rPr>
          <w:color w:val="000000"/>
          <w:rtl w:val="0"/>
        </w:rPr>
        <w:t xml:space="preserve">5.8 Comparative Analysis with Previous Studies</w:t>
      </w:r>
      <w:r>
        <w:rPr>
          <w:rtl w:val="0"/>
        </w:rPr>
      </w:r>
    </w:p>
    <w:p w:rsidR="00000000" w:rsidDel="00000000" w:rsidP="00000000" w:rsidRDefault="00000000" w:rsidRPr="00000000" w14:paraId="000002B9">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BA">
      <w:pPr>
        <w:spacing w:after="200" w:lineRule="auto"/>
        <w:jc w:val="both"/>
        <w:rPr/>
      </w:pPr>
      <w:r>
        <w:rPr>
          <w:rtl w:val="0"/>
        </w:rPr>
        <w:t xml:space="preserve">Jin et al. </w:t>
      </w:r>
      <w:sdt>
        <w:sdtPr>
          <w:rPr>
            <w:rtl w:val="0"/>
          </w:rPr>
          <w:tag w:val="MENDELEY_CITATION_v3_eyJjaXRhdGlvbklEIjogIk1FTkRFTEVZX0NJVEFUSU9OX2UxM2QyMDk1LTkxZDktNWQ4Yi1hMzYyLTUwOWM2NjA5ZTY2OS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1510596512"/>
        </w:sdtPr>
        <w:sdtContent>
          <w:r>
            <w:rPr>
              <w:rtl w:val="0"/>
            </w:rPr>
            <w:t xml:space="preserve">(2024)</w:t>
          </w:r>
        </w:sdtContent>
      </w:sdt>
      <w:r>
        <w:rPr>
          <w:rtl w:val="0"/>
        </w:rPr>
        <w:t xml:space="preserve">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empirically reinforce that observation: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BB">
      <w:pPr>
        <w:spacing w:after="200" w:lineRule="auto"/>
        <w:jc w:val="both"/>
        <w:rPr/>
      </w:pPr>
      <w:r>
        <w:rPr>
          <w:rtl w:val="0"/>
        </w:rPr>
        <w:t xml:space="preserve">Pelánek </w:t>
      </w:r>
      <w:sdt>
        <w:sdtPr>
          <w:rPr>
            <w:rtl w:val="0"/>
          </w:rPr>
          <w:tag w:val="MENDELEY_CITATION_v3_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"/>
          <w:id w:val="-1775269340"/>
        </w:sdtPr>
        <w:sdtContent>
          <w:r>
            <w:rPr>
              <w:rtl w:val="0"/>
            </w:rPr>
            <w:t xml:space="preserve">(2018)</w:t>
          </w:r>
        </w:sdtContent>
      </w:sdt>
      <w:r>
        <w:rPr>
          <w:rtl w:val="0"/>
        </w:rPr>
        <w:t xml:space="preserve">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t>
      </w:r>
      <w:r>
        <w:rPr>
          <w:rtl w:val="0"/>
        </w:rPr>
        <w:t xml:space="preserve">Waheed et al. </w:t>
      </w:r>
      <w:sdt>
        <w:sdtPr>
          <w:rPr>
            <w:rtl w:val="0"/>
          </w:rPr>
          <w:tag w:val="MENDELEY_CITATION_v3_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"/>
          <w:id w:val="1639093470"/>
        </w:sdtPr>
        <w:sdtContent>
          <w:r>
            <w:rPr>
              <w:rtl w:val="0"/>
            </w:rPr>
            <w:t xml:space="preserve">(2020)</w:t>
          </w:r>
        </w:sdtContent>
      </w:sdt>
      <w:r>
        <w:rPr>
          <w:rtl w:val="0"/>
        </w:rPr>
        <w:t xml:space="preserve"> report a deep-learning approach to predicting academic performance from OULAD-style VLE clickstream data, which is closer to this thesis's engagement-based features than many of the demographic-only baselines in the literature. Their accuracy and F1 figures could not be independently retrieved from the source used to verify this literature set, so they are not quoted or compared here.</w:t>
      </w:r>
    </w:p>
    <w:p w:rsidR="00000000" w:rsidDel="00000000" w:rsidP="00000000" w:rsidRDefault="00000000" w:rsidRPr="00000000" w14:paraId="000002BC">
      <w:pPr>
        <w:spacing w:after="200" w:lineRule="auto"/>
        <w:jc w:val="both"/>
        <w:rPr/>
      </w:pPr>
      <w:r>
        <w:rPr>
          <w:rtl w:val="0"/>
        </w:rPr>
        <w:t xml:space="preserve">On explainability, </w:t>
      </w:r>
      <w:r>
        <w:rPr>
          <w:rtl w:val="0"/>
        </w:rPr>
        <w:t xml:space="preserve">Lundberg and Lee </w:t>
      </w:r>
      <w:sdt>
        <w:sdtPr>
          <w:rPr>
            <w:rtl w:val="0"/>
          </w:rPr>
          <w:tag w:val="MENDELEY_CITATION_v3_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"/>
          <w:id w:val="-519736981"/>
        </w:sdtPr>
        <w:sdtContent>
          <w:r>
            <w:rPr>
              <w:rtl w:val="0"/>
            </w:rPr>
            <w:t xml:space="preserve">(2017)</w:t>
          </w:r>
        </w:sdtContent>
      </w:sdt>
      <w:r>
        <w:rPr>
          <w:rtl w:val="0"/>
        </w:rPr>
        <w:t xml:space="preserve"> and </w:t>
      </w:r>
      <w:r>
        <w:rPr>
          <w:rtl w:val="0"/>
        </w:rPr>
        <w:t xml:space="preserve">Lundberg et al. </w:t>
      </w:r>
      <w:sdt>
        <w:sdtPr>
          <w:rPr>
            <w:rtl w:val="0"/>
          </w:rPr>
          <w:tag w:val="MENDELEY_CITATION_v3_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"/>
          <w:id w:val="-2024218111"/>
        </w:sdtPr>
        <w:sdtContent>
          <w:r>
            <w:rPr>
              <w:rtl w:val="0"/>
            </w:rPr>
            <w:t xml:space="preserve">(2020)</w:t>
          </w:r>
        </w:sdtContent>
      </w:sdt>
      <w:r>
        <w:rPr>
          <w:rtl w:val="0"/>
        </w:rPr>
        <w:t xml:space="preserve"> provide the theoretical basis for SHAP and TreeSHAP, used throughout Section 5.6, and </w:t>
      </w:r>
      <w:r>
        <w:rPr>
          <w:rtl w:val="0"/>
        </w:rPr>
        <w:t xml:space="preserve">Ribeiro et al. </w:t>
      </w:r>
      <w:sdt>
        <w:sdtPr>
          <w:rPr>
            <w:rtl w:val="0"/>
          </w:rPr>
          <w:tag w:val="MENDELEY_CITATION_v3_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"/>
          <w:id w:val="1507330957"/>
        </w:sdtPr>
        <w:sdtContent>
          <w:r>
            <w:rPr>
              <w:rtl w:val="0"/>
            </w:rPr>
            <w:t xml:space="preserve">(2016)</w:t>
          </w:r>
        </w:sdtContent>
      </w:sdt>
      <w:r>
        <w:rPr>
          <w:rtl w:val="0"/>
        </w:rPr>
        <w:t xml:space="preserve"> provide the basis for LIME. The top-5 instance-level overlap of 0.635 found in this study (Section 5.6) measures, for this dataset, the partial agreement these two methods are understood to produce when applied to the same model; it is not a finding specific to student data. </w:t>
      </w:r>
      <w:r>
        <w:rPr>
          <w:rtl w:val="0"/>
        </w:rPr>
        <w:t xml:space="preserve">Hooshyar and Yang </w:t>
      </w:r>
      <w:sdt>
        <w:sdtPr>
          <w:rPr>
            <w:rtl w:val="0"/>
          </w:rPr>
          <w:tag w:val="MENDELEY_CITATION_v3_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"/>
          <w:id w:val="-1366487417"/>
        </w:sdtPr>
        <w:sdtContent>
          <w:r>
            <w:rPr>
              <w:rtl w:val="0"/>
            </w:rPr>
            <w:t xml:space="preserve">(2024)</w:t>
          </w:r>
        </w:sdtContent>
      </w:sdt>
      <w:r>
        <w:rPr>
          <w:rtl w:val="0"/>
        </w:rPr>
        <w:t xml:space="preserve"> applied Kernel SHAP, Permutation SHAP, and LIME to an educational predictive model and report significant variability in the feature importance the methods assign, with post-hoc explanations at times attributing importance to less relevant features. This is the closest published analogue to the side-by-side SHAP-versus-LIME comparison in this chapter, and it supports the framing of SHAP-versus-LIME comparison as an established line of enquiry in this application area, not one unique to this thesis. </w:t>
      </w:r>
      <w:r>
        <w:rPr>
          <w:rtl w:val="0"/>
        </w:rPr>
        <w:t xml:space="preserve">Gunasekara and Saarela </w:t>
      </w:r>
      <w:sdt>
        <w:sdtPr>
          <w:rPr>
            <w:rtl w:val="0"/>
          </w:rPr>
          <w:tag w:val="MENDELEY_CITATION_v3_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"/>
          <w:id w:val="-1236435833"/>
        </w:sdtPr>
        <w:sdtContent>
          <w:r>
            <w:rPr>
              <w:rtl w:val="0"/>
            </w:rPr>
            <w:t xml:space="preserve">(2024)</w:t>
          </w:r>
        </w:sdtContent>
      </w:sdt>
      <w:r>
        <w:rPr>
          <w:rtl w:val="0"/>
        </w:rPr>
        <w:t xml:space="preserve"> similarly position explainability work within educational data mining and learning analytics as an active review topic, complementing the more detailed empirical account in </w:t>
      </w:r>
      <w:r>
        <w:rPr>
          <w:rtl w:val="0"/>
        </w:rPr>
        <w:t xml:space="preserve">Gunasekara and Saarela </w:t>
      </w:r>
      <w:sdt>
        <w:sdtPr>
          <w:rPr>
            <w:rtl w:val="0"/>
          </w:rPr>
          <w:tag w:val="MENDELEY_CITATION_v3_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"/>
          <w:id w:val="1279180254"/>
        </w:sdtPr>
        <w:sdtContent>
          <w:r>
            <w:rPr>
              <w:rtl w:val="0"/>
            </w:rPr>
            <w:t xml:space="preserve">(2025)</w:t>
          </w:r>
        </w:sdtContent>
      </w:sdt>
      <w:r>
        <w:rPr>
          <w:rtl w:val="0"/>
        </w:rPr>
        <w:t xml:space="preserve"> already discussed in Chapter 4, Section 4.7.</w:t>
      </w:r>
    </w:p>
    <w:p w:rsidR="00000000" w:rsidDel="00000000" w:rsidP="00000000" w:rsidRDefault="00000000" w:rsidRPr="00000000" w14:paraId="000002BD">
      <w:pPr>
        <w:spacing w:after="200" w:lineRule="auto"/>
        <w:jc w:val="both"/>
        <w:rPr/>
      </w:pPr>
      <w:r>
        <w:rPr>
          <w:rtl w:val="0"/>
        </w:rPr>
        <w:t xml:space="preserve">On dashboard design, </w:t>
      </w:r>
      <w:r>
        <w:rPr>
          <w:rtl w:val="0"/>
        </w:rPr>
        <w:t xml:space="preserve">Schwendimann et al. </w:t>
      </w:r>
      <w:sdt>
        <w:sdtPr>
          <w:rPr>
            <w:rtl w:val="0"/>
          </w:rPr>
          <w:tag w:val="MENDELEY_CITATION_v3_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"/>
          <w:id w:val="-685739450"/>
        </w:sdtPr>
        <w:sdtContent>
          <w:r>
            <w:rPr>
              <w:rtl w:val="0"/>
            </w:rPr>
            <w:t xml:space="preserve">(2017)</w:t>
          </w:r>
        </w:sdtContent>
      </w:sdt>
      <w:r>
        <w:rPr>
          <w:rtl w:val="0"/>
        </w:rPr>
        <w:t xml:space="preserve"> and </w:t>
      </w:r>
      <w:r>
        <w:rPr>
          <w:rtl w:val="0"/>
        </w:rPr>
        <w:t xml:space="preserve">Matcha et al. </w:t>
      </w:r>
      <w:sdt>
        <w:sdtPr>
          <w:rPr>
            <w:rtl w:val="0"/>
          </w:rPr>
          <w:tag w:val="MENDELEY_CITATION_v3_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"/>
          <w:id w:val="1924414143"/>
        </w:sdtPr>
        <w:sdtContent>
          <w:r>
            <w:rPr>
              <w:rtl w:val="0"/>
            </w:rPr>
            <w:t xml:space="preserve">(2020)</w:t>
          </w:r>
        </w:sdtContent>
      </w:sdt>
      <w:r>
        <w:rPr>
          <w:rtl w:val="0"/>
        </w:rPr>
        <w:t xml:space="preserve"> each review learning analytics dashboard research broadly. Both are consistent with the role-differentiated design rationale in Chapter 3, Section 3.6 and its implementation in Chapter 4, Section 4.9, but neither provides OULAD-specific or SHAP/LIME-specific figures against which this dashboard could be compared numerically. Their relevance here lies in the design rationale documented in Chapter 4 rather than in any quantitative finding in this chapter.</w:t>
      </w:r>
    </w:p>
    <w:p w:rsidR="00000000" w:rsidDel="00000000" w:rsidP="00000000" w:rsidRDefault="00000000" w:rsidRPr="00000000" w14:paraId="000002BE">
      <w:pPr>
        <w:spacing w:after="200" w:lineRule="auto"/>
        <w:jc w:val="both"/>
        <w:rPr/>
      </w:pPr>
      <w:r>
        <w:rPr>
          <w:rtl w:val="0"/>
        </w:rPr>
        <w:t xml:space="preserve">The comparison most relevant to Research Question 3 is </w:t>
      </w:r>
      <w:r>
        <w:rPr>
          <w:rtl w:val="0"/>
        </w:rPr>
        <w:t xml:space="preserve">Brdnik et al. </w:t>
      </w:r>
      <w:sdt>
        <w:sdtPr>
          <w:rPr>
            <w:rtl w:val="0"/>
          </w:rPr>
          <w:tag w:val="MENDELEY_CITATION_v3_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"/>
          <w:id w:val="-1779778777"/>
        </w:sdtPr>
        <w:sdtContent>
          <w:r>
            <w:rPr>
              <w:rtl w:val="0"/>
            </w:rPr>
            <w:t xml:space="preserve">(2023)</w:t>
          </w:r>
        </w:sdtContent>
      </w:sdt>
      <w:r>
        <w:rPr>
          <w:rtl w:val="0"/>
        </w:rPr>
        <w:t xml:space="preserve">, who report a published user study assessing perceived trust and satisfaction across multiple explanation techniques, including SHAP and LIME, within a learning-analytics context. Because this thesis is scoped to secondary OULAD data (Chapter 1, Section 1.6), </w:t>
      </w:r>
      <w:r>
        <w:rPr>
          <w:rtl w:val="0"/>
        </w:rPr>
        <w:t xml:space="preserve">Brdnik et al. </w:t>
      </w:r>
      <w:sdt>
        <w:sdtPr>
          <w:rPr>
            <w:rtl w:val="0"/>
          </w:rPr>
          <w:tag w:val="MENDELEY_CITATION_v3_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"/>
          <w:id w:val="945213493"/>
        </w:sdtPr>
        <w:sdtContent>
          <w:r>
            <w:rPr>
              <w:rtl w:val="0"/>
            </w:rPr>
            <w:t xml:space="preserve">(2023)</w:t>
          </w:r>
        </w:sdtContent>
      </w:sdt>
      <w:r>
        <w:rPr>
          <w:rtl w:val="0"/>
        </w:rPr>
        <w:t xml:space="preserve"> is cited only as external evidence that this type of question can be answered for a SHAP-and-LIME dashboard like the one in Chapter 4, not as a measurement of this dashboard. Their reported scores could not be independently verified for this thesis and are not quoted.</w:t>
      </w:r>
    </w:p>
    <w:p w:rsidR="00000000" w:rsidDel="00000000" w:rsidP="00000000" w:rsidRDefault="00000000" w:rsidRPr="00000000" w14:paraId="000002BF">
      <w:pPr>
        <w:spacing w:after="200" w:lineRule="auto"/>
        <w:jc w:val="both"/>
        <w:rPr/>
      </w:pPr>
      <w:r>
        <w:rPr>
          <w:rtl w:val="0"/>
        </w:rPr>
        <w:t xml:space="preserve">More broadly, </w:t>
      </w:r>
      <w:r>
        <w:rPr>
          <w:rtl w:val="0"/>
        </w:rPr>
        <w:t xml:space="preserve">Siemens and Long </w:t>
      </w:r>
      <w:sdt>
        <w:sdtPr>
          <w:rPr>
            <w:rtl w:val="0"/>
          </w:rPr>
          <w:tag w:val="MENDELEY_CITATION_v3_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"/>
          <w:id w:val="1108808745"/>
        </w:sdtPr>
        <w:sdtContent>
          <w:r>
            <w:rPr>
              <w:rtl w:val="0"/>
            </w:rPr>
            <w:t xml:space="preserve">(2011)</w:t>
          </w:r>
        </w:sdtContent>
      </w:sdt>
      <w:r>
        <w:rPr>
          <w:rtl w:val="0"/>
        </w:rPr>
        <w:t xml:space="preserve"> and </w:t>
      </w:r>
      <w:r>
        <w:rPr>
          <w:rtl w:val="0"/>
        </w:rPr>
        <w:t xml:space="preserve">Gašević et al. </w:t>
      </w:r>
      <w:sdt>
        <w:sdtPr>
          <w:rPr>
            <w:rtl w:val="0"/>
          </w:rPr>
          <w:tag w:val="MENDELEY_CITATION_v3_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"/>
          <w:id w:val="818660895"/>
        </w:sdtPr>
        <w:sdtContent>
          <w:r>
            <w:rPr>
              <w:rtl w:val="0"/>
            </w:rPr>
            <w:t xml:space="preserve">(2015)</w:t>
          </w:r>
        </w:sdtContent>
      </w:sdt>
      <w:r>
        <w:rPr>
          <w:rtl w:val="0"/>
        </w:rPr>
        <w:t xml:space="preserve"> frame learning analytics as a field whose value lies in connecting data to actionable decisions rather than in predictive accuracy alone, and </w:t>
      </w:r>
      <w:r>
        <w:rPr>
          <w:rtl w:val="0"/>
        </w:rPr>
        <w:t xml:space="preserve">Li et al. </w:t>
      </w:r>
      <w:sdt>
        <w:sdtPr>
          <w:rPr>
            <w:rtl w:val="0"/>
          </w:rPr>
          <w:tag w:val="MENDELEY_CITATION_v3_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"/>
          <w:id w:val="-39422075"/>
        </w:sdtPr>
        <w:sdtContent>
          <w:r>
            <w:rPr>
              <w:rtl w:val="0"/>
            </w:rPr>
            <w:t xml:space="preserve">(2024)</w:t>
          </w:r>
        </w:sdtContent>
      </w:sdt>
      <w:r>
        <w:rPr>
          <w:rtl w:val="0"/>
        </w:rPr>
        <w:t xml:space="preserve"> review at-risk prediction specifically as the task this thesis undertakes. Taken together, this literature places the technical contribution of this chapter, a working predictive and explanatory pipeline with verified performance figures, as one necessary precondition for effective learning analytics decision support. Whether that precondition leads to better decisions remains open without a practitioner study, which is outside the scope of this thesis.</w:t>
      </w:r>
    </w:p>
    <w:p w:rsidR="00000000" w:rsidDel="00000000" w:rsidP="00000000" w:rsidRDefault="00000000" w:rsidRPr="00000000" w14:paraId="000002C0">
      <w:pPr>
        <w:pStyle w:val="Heading2"/>
        <w:keepNext w:val="0"/>
        <w:keepLines w:val="0"/>
        <w:spacing w:after="150" w:before="300" w:lineRule="auto"/>
        <w:rPr/>
      </w:pPr>
      <w:bookmarkStart w:colFirst="0" w:colLast="0" w:name="_heading=h.2bu6hscbhpzv" w:id="61"/>
      <w:bookmarkEnd w:id="61"/>
      <w:r>
        <w:rPr>
          <w:color w:val="000000"/>
          <w:rtl w:val="0"/>
        </w:rPr>
        <w:t xml:space="preserve">5.9 Thematic Synthesis</w:t>
      </w:r>
      <w:r>
        <w:rPr>
          <w:rtl w:val="0"/>
        </w:rPr>
      </w:r>
    </w:p>
    <w:p w:rsidR="00000000" w:rsidDel="00000000" w:rsidP="00000000" w:rsidRDefault="00000000" w:rsidRPr="00000000" w14:paraId="000002C1">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The results show that a model of this kind can distinguish at-risk from not-at-risk students on retrospective, full-presentation data with useful accuracy. Whether the same performance would hold with features truncated earlier in the presentation, the condition under which an early-warning system would actually operate, was not tested in this evaluation.</w:t>
      </w:r>
    </w:p>
    <w:p w:rsidR="00000000" w:rsidDel="00000000" w:rsidP="00000000" w:rsidRDefault="00000000" w:rsidRPr="00000000" w14:paraId="000002C2">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fitted model, with a practical implication for the dashboard's reasoning trail: the leading contribution shown to a practitioner for most students will typically relate to assessment completion rather than clickstream activity.</w:t>
      </w:r>
    </w:p>
    <w:p w:rsidR="00000000" w:rsidDel="00000000" w:rsidP="00000000" w:rsidRDefault="00000000" w:rsidRPr="00000000" w14:paraId="000002C3">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revealed this artefact, and its presence is a caution against treating any single ranked feature list as a complete or literal behavioural account.</w:t>
      </w:r>
    </w:p>
    <w:p w:rsidR="00000000" w:rsidDel="00000000" w:rsidP="00000000" w:rsidRDefault="00000000" w:rsidRPr="00000000" w14:paraId="000002C4">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a system that displayed only one method's ranking would have concealed a moderate level of instance-level disagreement between two theoretically well-motivated attribution methods.</w:t>
      </w:r>
    </w:p>
    <w:p w:rsidR="00000000" w:rsidDel="00000000" w:rsidP="00000000" w:rsidRDefault="00000000" w:rsidRPr="00000000" w14:paraId="000002C5">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what each view would show; how practitioners respond to that content is a question for the empirical follow-up study outlined in Chapter 7, consistent with the technical scope defined for this thesis.</w:t>
      </w:r>
    </w:p>
    <w:p w:rsidR="00000000" w:rsidDel="00000000" w:rsidP="00000000" w:rsidRDefault="00000000" w:rsidRPr="00000000" w14:paraId="000002C6">
      <w:pPr>
        <w:spacing w:after="200" w:lineRule="auto"/>
        <w:jc w:val="both"/>
        <w:rPr/>
      </w:pPr>
      <w:r>
        <w:rPr>
          <w:b w:val="1"/>
          <w:bCs w:val="1"/>
          <w:rtl w:val="0"/>
        </w:rPr>
        <w:t xml:space="preserve">Transferability. </w:t>
      </w:r>
      <w:r>
        <w:rPr>
          <w:rtl w:val="0"/>
        </w:rPr>
        <w:t xml:space="preserve">The findings above draw on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C7">
      <w:pPr>
        <w:pStyle w:val="Heading2"/>
        <w:keepNext w:val="0"/>
        <w:keepLines w:val="0"/>
        <w:spacing w:after="150" w:before="300" w:lineRule="auto"/>
        <w:rPr/>
      </w:pPr>
      <w:bookmarkStart w:colFirst="0" w:colLast="0" w:name="_heading=h.nd77kwusml3k" w:id="62"/>
      <w:bookmarkEnd w:id="62"/>
      <w:r>
        <w:rPr>
          <w:color w:val="000000"/>
          <w:rtl w:val="0"/>
        </w:rPr>
        <w:t xml:space="preserve">5.10 Evaluation of the Proposed Framework</w:t>
      </w:r>
      <w:r>
        <w:rPr>
          <w:rtl w:val="0"/>
        </w:rPr>
      </w:r>
    </w:p>
    <w:p w:rsidR="00000000" w:rsidDel="00000000" w:rsidP="00000000" w:rsidRDefault="00000000" w:rsidRPr="00000000" w14:paraId="000002C8">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clearly shows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true early-warning setting.</w:t>
      </w:r>
    </w:p>
    <w:p w:rsidR="00000000" w:rsidDel="00000000" w:rsidP="00000000" w:rsidRDefault="00000000" w:rsidRPr="00000000" w14:paraId="000002C9">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useful for a dashboard meant to show disagreement rather than hide it. The component cannot be evaluated on comprehensibility to a practitioner, since that is a human-evaluation question outside the scope of this technical evidence.</w:t>
      </w:r>
    </w:p>
    <w:p w:rsidR="00000000" w:rsidDel="00000000" w:rsidP="00000000" w:rsidRDefault="00000000" w:rsidRPr="00000000" w14:paraId="000002CA">
      <w:pPr>
        <w:spacing w:after="200" w:lineRule="auto"/>
        <w:jc w:val="both"/>
        <w:rPr/>
      </w:pPr>
      <w:r>
        <w:rPr>
          <w:b w:val="1"/>
          <w:bCs w:val="1"/>
          <w:rtl w:val="0"/>
        </w:rPr>
        <w:t xml:space="preserve">Role awareness. </w:t>
      </w:r>
      <w:r>
        <w:rPr>
          <w:rtl w:val="0"/>
        </w:rPr>
        <w:t xml:space="preserve">Chapter 4, Sections 4.8 and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CB">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CC">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Chapter 7 identifies primary evaluation of practitioner response as the natural next step.</w:t>
      </w:r>
    </w:p>
    <w:p w:rsidR="00000000" w:rsidDel="00000000" w:rsidP="00000000" w:rsidRDefault="00000000" w:rsidRPr="00000000" w14:paraId="000002CD">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shows that the recorded manifest metrics trace to an executable pipeline rather than a hard-coded figure. The feature-engineering step is part of the same executable pipeline, which runs from the raw OULAD CSV files to the feature table, so the same check covers it.</w:t>
      </w:r>
    </w:p>
    <w:p w:rsidR="00000000" w:rsidDel="00000000" w:rsidP="00000000" w:rsidRDefault="00000000" w:rsidRPr="00000000" w14:paraId="000002CE">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CF">
      <w:pPr>
        <w:pStyle w:val="Heading2"/>
        <w:keepNext w:val="0"/>
        <w:keepLines w:val="0"/>
        <w:spacing w:after="150" w:before="300" w:lineRule="auto"/>
        <w:rPr/>
      </w:pPr>
      <w:bookmarkStart w:colFirst="0" w:colLast="0" w:name="_heading=h.1rwvspoakfw6" w:id="63"/>
      <w:bookmarkEnd w:id="63"/>
      <w:r>
        <w:rPr>
          <w:color w:val="000000"/>
          <w:rtl w:val="0"/>
        </w:rPr>
        <w:t xml:space="preserve">5.11 Discussion of the Research Questions</w:t>
      </w:r>
      <w:r>
        <w:rPr>
          <w:rtl w:val="0"/>
        </w:rPr>
      </w:r>
    </w:p>
    <w:p w:rsidR="00000000" w:rsidDel="00000000" w:rsidP="00000000" w:rsidRDefault="00000000" w:rsidRPr="00000000" w14:paraId="000002D0">
      <w:pPr>
        <w:spacing w:after="100" w:lineRule="auto"/>
        <w:jc w:val="both"/>
        <w:rPr/>
      </w:pPr>
      <w:r>
        <w:rPr>
          <w:b w:val="1"/>
          <w:bCs w:val="1"/>
          <w:rtl w:val="0"/>
        </w:rPr>
        <w:t xml:space="preserve">Research Question 1. </w:t>
      </w:r>
      <w:r>
        <w:rPr>
          <w:rtl w:val="0"/>
        </w:rPr>
        <w:t xml:space="preserve">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2D1">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exposes real, checkable disagreement between explanation methods rather than presenting a single unexamined ranking. This is a positive answer to Research Question 1 at the level the thesis was scoped to test: a traceable, reproducible integration of SHAP and LIME into the prediction pipeline. Whether practitioners experience this integration as more transparent is the natural next empirical question, identified in Chapter 7.</w:t>
      </w:r>
    </w:p>
    <w:p w:rsidR="00000000" w:rsidDel="00000000" w:rsidP="00000000" w:rsidRDefault="00000000" w:rsidRPr="00000000" w14:paraId="000002D2">
      <w:pPr>
        <w:spacing w:after="100" w:before="200" w:lineRule="auto"/>
        <w:jc w:val="both"/>
        <w:rPr/>
      </w:pPr>
      <w:r>
        <w:rPr>
          <w:b w:val="1"/>
          <w:bCs w:val="1"/>
          <w:rtl w:val="0"/>
        </w:rPr>
        <w:t xml:space="preserve">Research Question 2. </w:t>
      </w:r>
      <w:r>
        <w:rPr>
          <w:rtl w:val="0"/>
        </w:rPr>
        <w:t xml:space="preserve">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2D3">
      <w:pPr>
        <w:spacing w:after="200" w:lineRule="auto"/>
        <w:jc w:val="both"/>
        <w:rPr/>
      </w:pPr>
      <w:r>
        <w:rPr>
          <w:rtl w:val="0"/>
        </w:rPr>
        <w:t xml:space="preserve">This question asks what can be specified from the Agent Model and the literature, not what practitioners report after use, and the design itself answers it, supported by technical evidence that the design's content is correct. Chapter 3, Section 3.6 and Chapter 4, Section 4.9 specify three role-differentiated views: per-student detail for instructors, cohort-level aggregation for advisors, and full-population aggregation for administrators. Each is built on the same reasoning trail rendered at a different level of granularity, following the differentiated information-need rationale of </w:t>
      </w:r>
      <w:r>
        <w:rPr>
          <w:rtl w:val="0"/>
        </w:rPr>
        <w:t xml:space="preserve">Kaliisa and Dolonen </w:t>
      </w:r>
      <w:sdt>
        <w:sdtPr>
          <w:rPr>
            <w:rtl w:val="0"/>
          </w:rPr>
          <w:tag w:val="MENDELEY_CITATION_v3_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"/>
          <w:id w:val="1258137107"/>
        </w:sdtPr>
        <w:sdtContent>
          <w:r>
            <w:rPr>
              <w:rtl w:val="0"/>
            </w:rPr>
            <w:t xml:space="preserve">(2023)</w:t>
          </w:r>
        </w:sdtContent>
      </w:sdt>
      <w:r>
        <w:rPr>
          <w:rtl w:val="0"/>
        </w:rPr>
        <w:t xml:space="preserve">, </w:t>
      </w:r>
      <w:r>
        <w:rPr>
          <w:rtl w:val="0"/>
        </w:rPr>
        <w:t xml:space="preserve">Gutiérrez et al. </w:t>
      </w:r>
      <w:sdt>
        <w:sdtPr>
          <w:rPr>
            <w:rtl w:val="0"/>
          </w:rPr>
          <w:tag w:val="MENDELEY_CITATION_v3_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"/>
          <w:id w:val="-1747822546"/>
        </w:sdtPr>
        <w:sdtContent>
          <w:r>
            <w:rPr>
              <w:rtl w:val="0"/>
            </w:rPr>
            <w:t xml:space="preserve">(2020)</w:t>
          </w:r>
        </w:sdtContent>
      </w:sdt>
      <w:r>
        <w:rPr>
          <w:rtl w:val="0"/>
        </w:rPr>
        <w:t xml:space="preserve">, and </w:t>
      </w:r>
      <w:r>
        <w:rPr>
          <w:rtl w:val="0"/>
        </w:rPr>
        <w:t xml:space="preserve">Tsai and Gašević </w:t>
      </w:r>
      <w:sdt>
        <w:sdtPr>
          <w:rPr>
            <w:rtl w:val="0"/>
          </w:rPr>
          <w:tag w:val="MENDELEY_CITATION_v3_eyJjaXRhdGlvbklEIjogIk1FTkRFTEVZX0NJVEFUSU9OX2I0OGEyN2JjLWNkNTctNTg0Yy1iYTczLTc1YTFjZTdjOTk2ZSIsICJwcm9wZXJ0aWVzIjogeyJub3RlSW5kZXgiOiAwfSwgImlzRWRpdGVkIjogZmFsc2UsICJtYW51YWxPdmVycmlkZSI6IHsiaXNNYW51YWxseU92ZXJyaWRkZW4iOiBmYWxzZSwgImNpdGVwcm9jVGV4dCI6ICIo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LCAic3VwcHJlc3MtYXV0aG9yIjogdHJ1ZX1dfQ=="/>
          <w:id w:val="-1195734340"/>
        </w:sdtPr>
        <w:sdtContent>
          <w:r>
            <w:rPr>
              <w:rtl w:val="0"/>
            </w:rPr>
            <w:t xml:space="preserve">(2017)</w:t>
          </w:r>
        </w:sdtContent>
      </w:sdt>
      <w:r>
        <w:rPr>
          <w:rtl w:val="0"/>
        </w:rPr>
        <w:t xml:space="preserve">,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supported by both the design literature and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D4">
      <w:pPr>
        <w:spacing w:after="100" w:before="200" w:lineRule="auto"/>
        <w:jc w:val="both"/>
        <w:rPr/>
      </w:pPr>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r>
    </w:p>
    <w:p w:rsidR="00000000" w:rsidDel="00000000" w:rsidP="00000000" w:rsidRDefault="00000000" w:rsidRPr="00000000" w14:paraId="000002D5">
      <w:pPr>
        <w:spacing w:after="200" w:lineRule="auto"/>
        <w:jc w:val="both"/>
        <w:rPr/>
      </w:pPr>
      <w:r>
        <w:rPr>
          <w:rtl w:val="0"/>
        </w:rPr>
        <w:t xml:space="preserve">Two findings from this chapter bear directly on this question. First, the model’s strong, stable discrimination (Section 5.3, AUC 0.9624), together with the confirmed, literature-consistent feature rankings in Section 5.6, provides the technical preconditions for a future investigation of trust in the predictions themselves, independent of how that trust is ultimately measured. Second, SHAP and LIME showed partial agreement (mean top-5 overlap 0.635, Section 5.6). A dashboard that presents both methods side by side, as implemented in Chapter 4, Section 4.7, lets practitioners see where the methods agree and where they differ instead of relying on one method alone, which the XAI literature </w:t>
      </w:r>
      <w:sdt>
        <w:sdtPr>
          <w:rPr>
            <w:rtl w:val="0"/>
          </w:rPr>
          <w:tag w:val="MENDELEY_CITATION_v3_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"/>
          <w:id w:val="823719565"/>
        </w:sdtPr>
        <w:sdtContent>
          <w:r>
            <w:rPr>
              <w:rtl w:val="0"/>
            </w:rPr>
            <w:t xml:space="preserve">(Lundberg et al., 2020; Ribeiro et al., 2016)</w:t>
          </w:r>
        </w:sdtContent>
      </w:sdt>
      <w:r>
        <w:rPr>
          <w:rtl w:val="0"/>
        </w:rPr>
        <w:t xml:space="preserve"> associates with more defensible trust than an opaque prediction. In addition, </w:t>
      </w:r>
      <w:r>
        <w:rPr>
          <w:rtl w:val="0"/>
        </w:rPr>
        <w:t xml:space="preserve">Brdnik et al. </w:t>
      </w:r>
      <w:sdt>
        <w:sdtPr>
          <w:rPr>
            <w:rtl w:val="0"/>
          </w:rPr>
          <w:tag w:val="MENDELEY_CITATION_v3_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"/>
          <w:id w:val="350278586"/>
        </w:sdtPr>
        <w:sdtContent>
          <w:r>
            <w:rPr>
              <w:rtl w:val="0"/>
            </w:rPr>
            <w:t xml:space="preserve">(2023)</w:t>
          </w:r>
        </w:sdtContent>
      </w:sdt>
      <w:r>
        <w:rPr>
          <w:rtl w:val="0"/>
        </w:rPr>
        <w:t xml:space="preserve">, discussed in Section 5.8, show that practitioner trust and satisfaction with several explanation techniques can be measured in a learning analytics setting. Their reported scores could not be independently verified for this thesis and are not quoted; their study shows how the question could be investigated and is not a finding of this thesis. Taken together, the evidence in this chapter indicates that the technical preconditions for supporting practitioner interpretation and decision-making, accurate predictions and traceable, cross-checked explanations, are in place. Whether they lead to better interpretation, trust, or decisions for this dashboard is the question for the empirical study proposed as the next step in Chapter 7.</w:t>
      </w:r>
    </w:p>
    <w:p w:rsidR="00000000" w:rsidDel="00000000" w:rsidP="00000000" w:rsidRDefault="00000000" w:rsidRPr="00000000" w14:paraId="000002D6">
      <w:pPr>
        <w:pStyle w:val="Heading2"/>
        <w:keepNext w:val="0"/>
        <w:keepLines w:val="0"/>
        <w:spacing w:after="150" w:before="300" w:lineRule="auto"/>
        <w:rPr/>
      </w:pPr>
      <w:bookmarkStart w:colFirst="0" w:colLast="0" w:name="_heading=h.7cvfv08gep04" w:id="64"/>
      <w:bookmarkEnd w:id="64"/>
      <w:r>
        <w:rPr>
          <w:color w:val="000000"/>
          <w:rtl w:val="0"/>
        </w:rPr>
        <w:t xml:space="preserve">5.12 Summary</w:t>
      </w:r>
      <w:r>
        <w:rPr>
          <w:rtl w:val="0"/>
        </w:rPr>
      </w:r>
    </w:p>
    <w:p w:rsidR="00000000" w:rsidDel="00000000" w:rsidP="00000000" w:rsidRDefault="00000000" w:rsidRPr="00000000" w14:paraId="000002D7">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for this chapter found Random Forest with a marginally higher F1-score than the prototype XGBoost model, a useful finding for future iterations, while XGBoost retained the highest recall of the three,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D8">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where both are led by the count of assessments submitted, with the FFF module indicator, mean assessment score, and active days also prominent in both. At the level of individual predictions they agree only partially (mean top-5 overlap 0.635), which suits a dashboard designed to show cross-checked explanations rather than a single unexamined ranking. Chapter 4's reported figures were independently reproduced in full. Section 5.7 tested one of the project's own documented findings, that the 28-day pre-deadline click window outranks total clicks in importance, and a seed-stability check showed that the order of these two near-duplicate features is not stable across refits of the model. Section 5.7 also identified six areas where the pipeline can be extended, most usefully hyperparameter tuning, class-imbalance handling, and the trajectory feature family.</w:t>
      </w:r>
    </w:p>
    <w:p w:rsidR="00000000" w:rsidDel="00000000" w:rsidP="00000000" w:rsidRDefault="00000000" w:rsidRPr="00000000" w14:paraId="000002D9">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functions correctly and traceably (Research Question 1); the role-differentiated design rests on sound underlying content and established design literature (Research Question 2); and the system provides the technical properties, accurate predictions and cross-checked explanations, that a later practitioner study of trust and understanding could evaluate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DA">
      <w:pPr>
        <w:pStyle w:val="Heading1"/>
        <w:keepNext w:val="0"/>
        <w:keepLines w:val="0"/>
        <w:pageBreakBefore w:val="1"/>
        <w:jc w:val="center"/>
        <w:rPr/>
      </w:pPr>
      <w:bookmarkStart w:colFirst="0" w:colLast="0" w:name="_heading=h.rev065" w:id="65"/>
      <w:bookmarkEnd w:id="65"/>
      <w:r>
        <w:rPr>
          <w:color w:val="000000"/>
          <w:rtl w:val="0"/>
        </w:rPr>
        <w:t xml:space="preserve">CHAPTER 6</w:t>
      </w:r>
      <w:r>
        <w:rPr>
          <w:rtl w:val="0"/>
        </w:rPr>
      </w:r>
    </w:p>
    <w:p w:rsidR="00000000" w:rsidDel="00000000" w:rsidP="00000000" w:rsidRDefault="00000000" w:rsidRPr="00000000" w14:paraId="000002DB">
      <w:pPr>
        <w:pStyle w:val="Heading1"/>
        <w:keepNext w:val="0"/>
        <w:keepLines w:val="0"/>
        <w:jc w:val="center"/>
        <w:rPr/>
      </w:pPr>
      <w:bookmarkStart w:colFirst="0" w:colLast="0" w:name="_heading=h.rev066" w:id="66"/>
      <w:bookmarkEnd w:id="66"/>
      <w:r>
        <w:rPr>
          <w:color w:val="000000"/>
          <w:rtl w:val="0"/>
        </w:rPr>
        <w:t xml:space="preserve">DISCUSSION</w:t>
      </w:r>
      <w:r>
        <w:rPr>
          <w:rtl w:val="0"/>
        </w:rPr>
      </w:r>
    </w:p>
    <w:p w:rsidR="00000000" w:rsidDel="00000000" w:rsidP="00000000" w:rsidRDefault="00000000" w:rsidRPr="00000000" w14:paraId="000002DC">
      <w:pPr>
        <w:pStyle w:val="Heading2"/>
        <w:keepNext w:val="0"/>
        <w:keepLines w:val="0"/>
        <w:spacing w:after="150" w:before="300" w:lineRule="auto"/>
        <w:rPr/>
      </w:pPr>
      <w:bookmarkStart w:colFirst="0" w:colLast="0" w:name="_heading=h.rev067" w:id="67"/>
      <w:bookmarkEnd w:id="67"/>
      <w:r>
        <w:rPr>
          <w:color w:val="000000"/>
          <w:rtl w:val="0"/>
        </w:rPr>
        <w:t xml:space="preserve">6.1 Discussion of Predictive Performance and At-Risk Identification</w:t>
      </w:r>
      <w:r>
        <w:rPr>
          <w:rtl w:val="0"/>
        </w:rPr>
      </w:r>
    </w:p>
    <w:p w:rsidR="00000000" w:rsidDel="00000000" w:rsidP="00000000" w:rsidRDefault="00000000" w:rsidRPr="00000000" w14:paraId="000002DD">
      <w:pPr>
        <w:spacing w:after="200" w:lineRule="auto"/>
        <w:jc w:val="both"/>
        <w:rPr/>
      </w:pPr>
      <w:r>
        <w:rPr>
          <w:rtl w:val="0"/>
        </w:rPr>
        <w:t xml:space="preserve">The prototype XGBoost classifier obtained 0.8774 accuracy, 0.8659 precision, 0.9085 recall, and 0.8867 F1-score out-of-fold,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This is closer to the situation an institution faces when it applies an existing model to a new presentation than the stratified random splits used in much of the OULAD literature. The reported figures should therefore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DE">
      <w:pPr>
        <w:spacing w:after="200" w:lineRule="auto"/>
        <w:jc w:val="both"/>
        <w:rPr/>
      </w:pPr>
      <w:r>
        <w:rPr>
          <w:rtl w:val="0"/>
        </w:rPr>
        <w:t xml:space="preserve">The most important feature of this study's error profile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not flagged receives nothing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0.5 threshold used throughout was not tuned to this asymmetry, and the fact that the model already leans in the useful direction at an untuned threshold favours the pipeline rather than reflecting a design achievement.</w:t>
      </w:r>
    </w:p>
    <w:p w:rsidR="00000000" w:rsidDel="00000000" w:rsidP="00000000" w:rsidRDefault="00000000" w:rsidRPr="00000000" w14:paraId="000002DF">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E0">
      <w:pPr>
        <w:spacing w:after="200" w:lineRule="auto"/>
        <w:jc w:val="both"/>
        <w:rPr/>
      </w:pPr>
      <w:r>
        <w:rPr>
          <w:rtl w:val="0"/>
        </w:rPr>
        <w:t xml:space="preserve">The per-presentation results in Section 5.5 are the finding most relevant to how confidently the pooled figures can be read. Accuracy ranged from 0.8456 for 2014J to 0.9161 for 2013J, and the error pattern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using a model of this kind could not fully anticipate its error profile for a cohort it has not yet observed. This argues for periodic recalibration and for reporting the current operating point to the roles that rely on it, not against the approach.</w:t>
      </w:r>
    </w:p>
    <w:p w:rsidR="00000000" w:rsidDel="00000000" w:rsidP="00000000" w:rsidRDefault="00000000" w:rsidRPr="00000000" w14:paraId="000002E1">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what a flag means. A student flagged by this model is a student whose behavioural and assessment profile resembles that of students who withdrew or failed in the presentations the model was trained on, and withdrawal in particular has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E2">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the evaluation establishes that the model separates at-risk from not-at-risk students on retrospective data, not that it would do so with the same accuracy at week four or week eight of a presentation. This is the condition under which an early-warning system actually operates, and this study did not test it. </w:t>
      </w:r>
      <w:r>
        <w:rPr>
          <w:rtl w:val="0"/>
        </w:rPr>
        <w:t xml:space="preserve">Adnan et al. </w:t>
      </w:r>
      <w:sdt>
        <w:sdtPr>
          <w:rPr>
            <w:rtl w:val="0"/>
          </w:rPr>
          <w:tag w:val="MENDELEY_CITATION_v3_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"/>
          <w:id w:val="132808693"/>
        </w:sdtPr>
        <w:sdtContent>
          <w:r>
            <w:rPr>
              <w:rtl w:val="0"/>
            </w:rPr>
            <w:t xml:space="preserve">(2021)</w:t>
          </w:r>
        </w:sdtContent>
      </w:sdt>
      <w:r>
        <w:rPr>
          <w:rtl w:val="0"/>
        </w:rPr>
        <w:t xml:space="preserve"> address this question directly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insufficient, and this gap carries into Section 6.11 as a limitation rather than as a matter for future refinement only.</w:t>
      </w:r>
    </w:p>
    <w:p w:rsidR="00000000" w:rsidDel="00000000" w:rsidP="00000000" w:rsidRDefault="00000000" w:rsidRPr="00000000" w14:paraId="000002E3">
      <w:pPr>
        <w:spacing w:after="200" w:lineRule="auto"/>
        <w:jc w:val="both"/>
        <w:rPr/>
      </w:pPr>
      <w:r>
        <w:rPr>
          <w:rtl w:val="0"/>
        </w:rPr>
        <w:t xml:space="preserve">Comparison with published OULAD results requires the same caution that Chapter 4, Section 4.6 and Chapter 5, Section 5.8 already apply. </w:t>
      </w:r>
      <w:r>
        <w:rPr>
          <w:rtl w:val="0"/>
        </w:rPr>
        <w:t xml:space="preserve">Wang </w:t>
      </w:r>
      <w:sdt>
        <w:sdtPr>
          <w:rPr>
            <w:rtl w:val="0"/>
          </w:rPr>
          <w:tag w:val="MENDELEY_CITATION_v3_eyJjaXRhdGlvbklEIjogIk1FTkRFTEVZX0NJVEFUSU9OXzEwNjJjNGNkLTliNTAtNTdlOS04ODk5LTU1ZDQ3NjM1NDg4YSIsICJwcm9wZXJ0aWVzIjogeyJub3RlSW5kZXgiOiAwfSwgImlzRWRpdGVkIjogZmFsc2UsICJtYW51YWxPdmVycmlkZSI6IHsiaXNNYW51YWxseU92ZXJyaWRkZW4iOiBmYWxzZSwgImNpdGVwcm9jVGV4dCI6ICIoMjAyNSkiLCAibWFudWFsT3ZlcnJpZGVUZXh0IjogIiJ9LCAiY2l0YXRpb25JdGVtcyI6IFt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UsICJzdXBwcmVzcy1hdXRob3IiOiB0cnVlfV19"/>
          <w:id w:val="-726745829"/>
        </w:sdtPr>
        <w:sdtContent>
          <w:r>
            <w:rPr>
              <w:rtl w:val="0"/>
            </w:rPr>
            <w:t xml:space="preserve">(2025)</w:t>
          </w:r>
        </w:sdtContent>
      </w:sdt>
      <w:r>
        <w:rPr>
          <w:rtl w:val="0"/>
        </w:rPr>
        <w:t xml:space="preserve"> reports 96.9 per cent accuracy for a hybrid ensemble on OULAD, and </w:t>
      </w:r>
      <w:r>
        <w:rPr>
          <w:rtl w:val="0"/>
        </w:rPr>
        <w:t xml:space="preserve">Jin et al. </w:t>
      </w:r>
      <w:sdt>
        <w:sdtPr>
          <w:rPr>
            <w:rtl w:val="0"/>
          </w:rPr>
          <w:tag w:val="MENDELEY_CITATION_v3_eyJjaXRhdGlvbklEIjogIk1FTkRFTEVZX0NJVEFUSU9OX2NiMzM5MjhjLTRjOTgtNWE2OC1iMTUwLTNjMWE4YjhmYzVmZi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871255355"/>
        </w:sdtPr>
        <w:sdtContent>
          <w:r>
            <w:rPr>
              <w:rtl w:val="0"/>
            </w:rPr>
            <w:t xml:space="preserve">(2024)</w:t>
          </w:r>
        </w:sdtContent>
      </w:sdt>
      <w:r>
        <w:rPr>
          <w:rtl w:val="0"/>
        </w:rPr>
        <w:t xml:space="preserve"> observe in their systematic review that evaluation protocols vary considerably across this literature. The figures in Table 5.1 are lower and are not comparable, because the studies reporting higher accuracies do not in general, isolate course presentations across folds, and </w:t>
      </w:r>
      <w:r>
        <w:rPr>
          <w:rtl w:val="0"/>
        </w:rPr>
        <w:t xml:space="preserve">Krstajic et al. </w:t>
      </w:r>
      <w:sdt>
        <w:sdtPr>
          <w:rPr>
            <w:rtl w:val="0"/>
          </w:rPr>
          <w:tag w:val="MENDELEY_CITATION_v3_eyJjaXRhdGlvbklEIjogIk1FTkRFTEVZX0NJVEFUSU9OXzcyOWExMWZiLWIyMjItNTY1Mi04MDE1LWEwMWRmMTE3NjQwMi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983906462"/>
        </w:sdtPr>
        <w:sdtContent>
          <w:r>
            <w:rPr>
              <w:rtl w:val="0"/>
            </w:rPr>
            <w:t xml:space="preserve">(2014)</w:t>
          </w:r>
        </w:sdtContent>
      </w:sdt>
      <w:r>
        <w:rPr>
          <w:rtl w:val="0"/>
        </w:rPr>
        <w:t xml:space="preserve">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E4">
      <w:pPr>
        <w:pStyle w:val="Heading2"/>
        <w:keepNext w:val="0"/>
        <w:keepLines w:val="0"/>
        <w:spacing w:after="150" w:before="300" w:lineRule="auto"/>
        <w:rPr/>
      </w:pPr>
      <w:bookmarkStart w:colFirst="0" w:colLast="0" w:name="_heading=h.rev068" w:id="68"/>
      <w:bookmarkEnd w:id="68"/>
      <w:r>
        <w:rPr>
          <w:color w:val="000000"/>
          <w:rtl w:val="0"/>
        </w:rPr>
        <w:t xml:space="preserve">6.2 Discussion of SHAP and LIME Explainability</w:t>
      </w:r>
      <w:r>
        <w:rPr>
          <w:rtl w:val="0"/>
        </w:rPr>
      </w:r>
    </w:p>
    <w:p w:rsidR="00000000" w:rsidDel="00000000" w:rsidP="00000000" w:rsidRDefault="00000000" w:rsidRPr="00000000" w14:paraId="000002E5">
      <w:pPr>
        <w:spacing w:after="200" w:lineRule="auto"/>
        <w:jc w:val="both"/>
        <w:rPr/>
      </w:pPr>
      <w:r>
        <w:rPr>
          <w:rtl w:val="0"/>
        </w:rPr>
        <w:t xml:space="preserve">The explainability findings in Section 5.6 speak to the first research question, which asks how SHAP and LIME can be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E6">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emphasise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E7">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however, it did not carry out a dependence analysis, and it retains a cautious reading here. The key point is what the finding shows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cautions against reading any single ranked feature list as a behavioural account.</w:t>
      </w:r>
    </w:p>
    <w:p w:rsidR="00000000" w:rsidDel="00000000" w:rsidP="00000000" w:rsidRDefault="00000000" w:rsidRPr="00000000" w14:paraId="000002E8">
      <w:pPr>
        <w:spacing w:after="200" w:lineRule="auto"/>
        <w:jc w:val="both"/>
        <w:rPr/>
      </w:pPr>
      <w:r>
        <w:rPr>
          <w:rtl w:val="0"/>
        </w:rPr>
        <w:t xml:space="preserve">The comparison between the two methods produced the most distinctive explainability finding. At the aggregate level,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explaining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w:t>
      </w:r>
      <w:sdt>
        <w:sdtPr>
          <w:rPr>
            <w:rtl w:val="0"/>
          </w:rPr>
          <w:tag w:val="MENDELEY_CITATION_v3_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"/>
          <w:id w:val="-1067713079"/>
        </w:sdtPr>
        <w:sdtContent>
          <w:r>
            <w:rPr>
              <w:rtl w:val="0"/>
            </w:rPr>
            <w:t xml:space="preserve">(Lundberg et al., 2020; Ribeiro et al., 2016)</w:t>
          </w:r>
        </w:sdtContent>
      </w:sdt>
      <w:r>
        <w:rPr>
          <w:rtl w:val="0"/>
        </w:rPr>
        <w:t xml:space="preserve">.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E9">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w:t>
      </w:r>
      <w:r>
        <w:rPr>
          <w:rtl w:val="0"/>
        </w:rPr>
        <w:t xml:space="preserve">Salih et al. </w:t>
      </w:r>
      <w:sdt>
        <w:sdtPr>
          <w:rPr>
            <w:rtl w:val="0"/>
          </w:rPr>
          <w:tag w:val="MENDELEY_CITATION_v3_eyJjaXRhdGlvbklEIjogIk1FTkRFTEVZX0NJVEFUSU9OX2FhYWFhMzgwLWY1N2UtNWMxOS05ZjAyLTAzMWQ3Mzk2YjJlMC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1320340415"/>
        </w:sdtPr>
        <w:sdtContent>
          <w:r>
            <w:rPr>
              <w:rtl w:val="0"/>
            </w:rPr>
            <w:t xml:space="preserve">(2025)</w:t>
          </w:r>
        </w:sdtContent>
      </w:sdt>
      <w:r>
        <w:rPr>
          <w:rtl w:val="0"/>
        </w:rPr>
        <w:t xml:space="preserve">, which is an argument from principle. The measured overlap of 0.635 converts that into an argument from evidence within this system: displaying one method alone would have concealed a moderate and measurable level of instance-level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indicates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EA">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ambiguous in any case, since a student who has already decided to withdraw will stop submitting. The explanations establish that the model’s output for a given student is driven by a small number of identifiable, human-readable quantities, which is a precondition for a practitioner to check the prediction against what they independently know about the student. That check, and not causal insight, is the practical contribution of the explanation layer. </w:t>
      </w:r>
      <w:r>
        <w:rPr>
          <w:rtl w:val="0"/>
        </w:rPr>
        <w:t xml:space="preserve">Rudin </w:t>
      </w:r>
      <w:sdt>
        <w:sdtPr>
          <w:rPr>
            <w:rtl w:val="0"/>
          </w:rPr>
          <w:tag w:val="MENDELEY_CITATION_v3_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"/>
          <w:id w:val="-1352271110"/>
        </w:sdtPr>
        <w:sdtContent>
          <w:r>
            <w:rPr>
              <w:rtl w:val="0"/>
            </w:rPr>
            <w:t xml:space="preserve">(2019)</w:t>
          </w:r>
        </w:sdtContent>
      </w:sdt>
      <w:r>
        <w:rPr>
          <w:rtl w:val="0"/>
        </w:rPr>
        <w:t xml:space="preserve"> argues that high-stakes decisions should rest on intrinsically interpretable models rather than on post-hoc accounts of opaque ones, and </w:t>
      </w:r>
      <w:r>
        <w:rPr>
          <w:rtl w:val="0"/>
        </w:rPr>
        <w:t xml:space="preserve">Slack et al. </w:t>
      </w:r>
      <w:sdt>
        <w:sdtPr>
          <w:rPr>
            <w:rtl w:val="0"/>
          </w:rPr>
          <w:tag w:val="MENDELEY_CITATION_v3_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"/>
          <w:id w:val="-67866558"/>
        </w:sdtPr>
        <w:sdtContent>
          <w:r>
            <w:rPr>
              <w:rtl w:val="0"/>
            </w:rPr>
            <w:t xml:space="preserve">(2020)</w:t>
          </w:r>
        </w:sdtContent>
      </w:sdt>
      <w:r>
        <w:rPr>
          <w:rtl w:val="0"/>
        </w:rPr>
        <w:t xml:space="preserve"> show that both methods are sensitive to perturbation choices. The present study retained the post-hoc route for consistency with the prior OULAD literature, and the instance-level divergence measured here is a concrete instance of the general concern those authors raise, not a refutation of it.</w:t>
      </w:r>
    </w:p>
    <w:p w:rsidR="00000000" w:rsidDel="00000000" w:rsidP="00000000" w:rsidRDefault="00000000" w:rsidRPr="00000000" w14:paraId="000002EB">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EC">
      <w:pPr>
        <w:pStyle w:val="Heading2"/>
        <w:keepNext w:val="0"/>
        <w:keepLines w:val="0"/>
        <w:spacing w:after="150" w:before="300" w:lineRule="auto"/>
        <w:rPr/>
      </w:pPr>
      <w:bookmarkStart w:colFirst="0" w:colLast="0" w:name="_heading=h.rev069" w:id="69"/>
      <w:bookmarkEnd w:id="69"/>
      <w:r>
        <w:rPr>
          <w:color w:val="000000"/>
          <w:rtl w:val="0"/>
        </w:rPr>
        <w:t xml:space="preserve">6.3 Discussion of Role-Aware Explanation and Dashboard Design</w:t>
      </w:r>
      <w:r>
        <w:rPr>
          <w:rtl w:val="0"/>
        </w:rPr>
      </w:r>
    </w:p>
    <w:p w:rsidR="00000000" w:rsidDel="00000000" w:rsidP="00000000" w:rsidRDefault="00000000" w:rsidRPr="00000000" w14:paraId="000002ED">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available evidence falls into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EE">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has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resources. Presenting the same view to all three would require at least two of them to perform an aggregation or a disaggregation themselves before the information became usable, and </w:t>
      </w:r>
      <w:r>
        <w:rPr>
          <w:rtl w:val="0"/>
        </w:rPr>
        <w:t xml:space="preserve">Kostopoulos et al. </w:t>
      </w:r>
      <w:sdt>
        <w:sdtPr>
          <w:rPr>
            <w:rtl w:val="0"/>
          </w:rPr>
          <w:tag w:val="MENDELEY_CITATION_v3_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"/>
          <w:id w:val="-1313754983"/>
        </w:sdtPr>
        <w:sdtContent>
          <w:r>
            <w:rPr>
              <w:rtl w:val="0"/>
            </w:rPr>
            <w:t xml:space="preserve">(2024)</w:t>
          </w:r>
        </w:sdtContent>
      </w:sdt>
      <w:r>
        <w:rPr>
          <w:rtl w:val="0"/>
        </w:rPr>
        <w:t xml:space="preserve">, in their review of explainable decision support systems, note that such systems can be tailored to the individual needs of their users.</w:t>
      </w:r>
    </w:p>
    <w:p w:rsidR="00000000" w:rsidDel="00000000" w:rsidP="00000000" w:rsidRDefault="00000000" w:rsidRPr="00000000" w14:paraId="000002EF">
      <w:pPr>
        <w:spacing w:after="200" w:lineRule="auto"/>
        <w:jc w:val="both"/>
        <w:rPr/>
      </w:pPr>
      <w:r>
        <w:rPr>
          <w:rtl w:val="0"/>
        </w:rPr>
        <w:t xml:space="preserve">For the instructor, the implemented view emphasises per-student detail within the current teaching period, with the SHAP and LIME reasoning trails shown side by side for an individual student. This follows </w:t>
      </w:r>
      <w:r>
        <w:rPr>
          <w:rtl w:val="0"/>
        </w:rPr>
        <w:t xml:space="preserve">Molenaar and Knoop-van Campen </w:t>
      </w:r>
      <w:sdt>
        <w:sdtPr>
          <w:rPr>
            <w:rtl w:val="0"/>
          </w:rPr>
          <w:tag w:val="MENDELEY_CITATION_v3_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"/>
          <w:id w:val="-1170450882"/>
        </w:sdtPr>
        <w:sdtContent>
          <w:r>
            <w:rPr>
              <w:rtl w:val="0"/>
            </w:rPr>
            <w:t xml:space="preserve">(2019)</w:t>
          </w:r>
        </w:sdtContent>
      </w:sdt>
      <w:r>
        <w:rPr>
          <w:rtl w:val="0"/>
        </w:rPr>
        <w:t xml:space="preserve">, who show that teachers act on dashboard information at the level of the individual learner, and </w:t>
      </w:r>
      <w:r>
        <w:rPr>
          <w:rtl w:val="0"/>
        </w:rPr>
        <w:t xml:space="preserve">Kaliisa and Dolonen </w:t>
      </w:r>
      <w:sdt>
        <w:sdtPr>
          <w:rPr>
            <w:rtl w:val="0"/>
          </w:rPr>
          <w:tag w:val="MENDELEY_CITATION_v3_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"/>
          <w:id w:val="-1376788077"/>
        </w:sdtPr>
        <w:sdtContent>
          <w:r>
            <w:rPr>
              <w:rtl w:val="0"/>
            </w:rPr>
            <w:t xml:space="preserve">(2023)</w:t>
          </w:r>
        </w:sdtContent>
      </w:sdt>
      <w:r>
        <w:rPr>
          <w:rtl w:val="0"/>
        </w:rPr>
        <w:t xml:space="preserve">, who find that instructors prioritise summary-level alerts over granular statistical breakdowns, which is why the full attribution is reached through the reasoning trail rather than presented by default. The explainability findings support this view. Because assessment submission dominates attribution, the leading contribution an instructor sees usually concerns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the gradebook does not, since a student who has submitted work but whose activity has fallen away is distinguishable from one whose activity is steady.</w:t>
      </w:r>
    </w:p>
    <w:p w:rsidR="00000000" w:rsidDel="00000000" w:rsidP="00000000" w:rsidRDefault="00000000" w:rsidRPr="00000000" w14:paraId="000002F0">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w:t>
      </w:r>
      <w:r>
        <w:rPr>
          <w:rtl w:val="0"/>
        </w:rPr>
        <w:t xml:space="preserve">Gutiérrez et al. </w:t>
      </w:r>
      <w:sdt>
        <w:sdtPr>
          <w:rPr>
            <w:rtl w:val="0"/>
          </w:rPr>
          <w:tag w:val="MENDELEY_CITATION_v3_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"/>
          <w:id w:val="146609105"/>
        </w:sdtPr>
        <w:sdtContent>
          <w:r>
            <w:rPr>
              <w:rtl w:val="0"/>
            </w:rPr>
            <w:t xml:space="preserve">(2020)</w:t>
          </w:r>
        </w:sdtContent>
      </w:sdt>
      <w:r>
        <w:rPr>
          <w:rtl w:val="0"/>
        </w:rPr>
        <w:t xml:space="preserve">. The proposed advisor’s task is not to monitor one course but to work through a caseload spanning several, and the aggregation reflects that. Two observations from Chapter 5 are relevant. First, because the model is substantially a withdrawal predictor, the flags an advisor sees are weighted towards the outcome advising conversations most directly concern: a student’s continued registration rather than their mark on a particular assessment. Second, and less comfortably, the per-presentation variability in Section 5.5 means an advisor’s caseload depends on the model's operating point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F1">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w:t>
      </w:r>
      <w:r>
        <w:rPr>
          <w:rtl w:val="0"/>
        </w:rPr>
        <w:t xml:space="preserve">Tsai and Gašević </w:t>
      </w:r>
      <w:sdt>
        <w:sdtPr>
          <w:rPr>
            <w:rtl w:val="0"/>
          </w:rPr>
          <w:tag w:val="MENDELEY_CITATION_v3_eyJjaXRhdGlvbklEIjogIk1FTkRFTEVZX0NJVEFUSU9OXzhhMTRkMDhmLTFlNzgtNTEyZS1iODQwLTQwZDg4ZWRlZGYzOSIsICJwcm9wZXJ0aWVzIjogeyJub3RlSW5kZXgiOiAwfSwgImlzRWRpdGVkIjogZmFsc2UsICJtYW51YWxPdmVycmlkZSI6IHsiaXNNYW51YWxseU92ZXJyaWRkZW4iOiBmYWxzZSwgImNpdGVwcm9jVGV4dCI6ICIo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LCAic3VwcHJlc3MtYXV0aG9yIjogdHJ1ZX1dfQ=="/>
          <w:id w:val="-969325445"/>
        </w:sdtPr>
        <w:sdtContent>
          <w:r>
            <w:rPr>
              <w:rtl w:val="0"/>
            </w:rPr>
            <w:t xml:space="preserve">(2017)</w:t>
          </w:r>
        </w:sdtContent>
      </w:sdt>
      <w:r>
        <w:rPr>
          <w:rtl w:val="0"/>
        </w:rPr>
        <w:t xml:space="preserve">. Institutional decisions concern distributions rather than individuals, and the most relevant findings at this level are aggregate ones. The between-presentation variability in Table 5.3 is arguably the most useful piece of information the technical evaluation offers an administrator, since it indicates how much the model's behaviour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The administrator view must not become a mechanism for reading the model’s aggregate attributions as an account of why students in the institution withdraw, for the reasons set out in Section 6.2.</w:t>
      </w:r>
    </w:p>
    <w:p w:rsidR="00000000" w:rsidDel="00000000" w:rsidP="00000000" w:rsidRDefault="00000000" w:rsidRPr="00000000" w14:paraId="000002F2">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realised as progressive disclosure applied uniformly across the three views, with compact risk summaries rendered by default and attribution detail exposed on request, following </w:t>
      </w:r>
      <w:r>
        <w:rPr>
          <w:rtl w:val="0"/>
        </w:rPr>
        <w:t xml:space="preserve">Springer and Whittaker </w:t>
      </w:r>
      <w:sdt>
        <w:sdtPr>
          <w:rPr>
            <w:rtl w:val="0"/>
          </w:rPr>
          <w:tag w:val="MENDELEY_CITATION_v3_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"/>
          <w:id w:val="2037081226"/>
        </w:sdtPr>
        <w:sdtContent>
          <w:r>
            <w:rPr>
              <w:rtl w:val="0"/>
            </w:rPr>
            <w:t xml:space="preserve">(2020)</w:t>
          </w:r>
        </w:sdtContent>
      </w:sdt>
      <w:r>
        <w:rPr>
          <w:rtl w:val="0"/>
        </w:rPr>
        <w:t xml:space="preserve">.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The model differentiates the roles by the granularity and framing of the knowledge each requires, not by the visual form in which it is expressed, a separation </w:t>
      </w:r>
      <w:r>
        <w:rPr>
          <w:rtl w:val="0"/>
        </w:rPr>
        <w:t xml:space="preserve">Sokol and Flach </w:t>
      </w:r>
      <w:sdt>
        <w:sdtPr>
          <w:rPr>
            <w:rtl w:val="0"/>
          </w:rPr>
          <w:tag w:val="MENDELEY_CITATION_v3_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"/>
          <w:id w:val="229175012"/>
        </w:sdtPr>
        <w:sdtContent>
          <w:r>
            <w:rPr>
              <w:rtl w:val="0"/>
            </w:rPr>
            <w:t xml:space="preserve">(2020)</w:t>
          </w:r>
        </w:sdtContent>
      </w:sdt>
      <w:r>
        <w:rPr>
          <w:rtl w:val="0"/>
        </w:rPr>
        <w:t xml:space="preserve"> argue for on independent grounds.</w:t>
      </w:r>
    </w:p>
    <w:p w:rsidR="00000000" w:rsidDel="00000000" w:rsidP="00000000" w:rsidRDefault="00000000" w:rsidRPr="00000000" w14:paraId="000002F3">
      <w:pPr>
        <w:spacing w:after="200" w:lineRule="auto"/>
        <w:jc w:val="both"/>
        <w:rPr/>
      </w:pPr>
      <w:r>
        <w:rPr>
          <w:rtl w:val="0"/>
        </w:rPr>
        <w:t xml:space="preserve">On this evidence, what role awareness contributes is a defined mapping between a technical output and the level at which each role makes decisions. That is a real contribution to the design problem, and the technical evaluation supports it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F4">
      <w:pPr>
        <w:pStyle w:val="Heading2"/>
        <w:keepNext w:val="0"/>
        <w:keepLines w:val="0"/>
        <w:spacing w:after="150" w:before="300" w:lineRule="auto"/>
        <w:rPr/>
      </w:pPr>
      <w:bookmarkStart w:colFirst="0" w:colLast="0" w:name="_heading=h.rev070" w:id="70"/>
      <w:bookmarkEnd w:id="70"/>
      <w:r>
        <w:rPr>
          <w:color w:val="000000"/>
          <w:rtl w:val="0"/>
        </w:rPr>
        <w:t xml:space="preserve">6.4 Discussion of CommonKADS as a Knowledge Engineering Framework</w:t>
      </w:r>
      <w:r>
        <w:rPr>
          <w:rtl w:val="0"/>
        </w:rPr>
      </w:r>
    </w:p>
    <w:p w:rsidR="00000000" w:rsidDel="00000000" w:rsidP="00000000" w:rsidRDefault="00000000" w:rsidRPr="00000000" w14:paraId="000002F5">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F6">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that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Chapter 5, Section 5.6 verified. The Communication Model specified the interaction patterns realised as progressive disclosure and the side-by-side presentation of the two explanation methods. The Design Model mapped all of this onto the implemented architecture. </w:t>
      </w:r>
      <w:r>
        <w:rPr>
          <w:rtl w:val="0"/>
        </w:rPr>
        <w:t xml:space="preserve">Schreiber et al. </w:t>
      </w:r>
      <w:sdt>
        <w:sdtPr>
          <w:rPr>
            <w:rtl w:val="0"/>
          </w:rPr>
          <w:tag w:val="MENDELEY_CITATION_v3_eyJjaXRhdGlvbklEIjogIk1FTkRFTEVZX0NJVEFUSU9OXzg0ZmUyMzNkLWM0YTMtNTRlMi1hNTA4LTc5NTczYjg3MmZiYSIsICJwcm9wZXJ0aWVzIjogeyJub3RlSW5kZXgiOiAwfSwgImlzRWRpdGVkIjogZmFsc2UsICJtYW51YWxPdmVycmlkZSI6IHsiaXNNYW51YWxseU92ZXJyaWRkZW4iOiBmYWxzZSwgImNpdGVwcm9jVGV4dCI6ICIo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UsICJzdXBwcmVzcy1hdXRob3IiOiB0cnVlfV19"/>
          <w:id w:val="-39175696"/>
        </w:sdtPr>
        <w:sdtContent>
          <w:r>
            <w:rPr>
              <w:rtl w:val="0"/>
            </w:rPr>
            <w:t xml:space="preserve">(2000)</w:t>
          </w:r>
        </w:sdtContent>
      </w:sdt>
      <w:r>
        <w:rPr>
          <w:rtl w:val="0"/>
        </w:rPr>
        <w:t xml:space="preserve"> argue that a knowledge engineering contribution rests on the traceability of the modelling process from conceptual model to operational system, not on the novelty of any single component. That is the form the contribution takes here: each interface decision can be traced to a stated requirement about what a particular role needs to know.</w:t>
      </w:r>
    </w:p>
    <w:p w:rsidR="00000000" w:rsidDel="00000000" w:rsidP="00000000" w:rsidRDefault="00000000" w:rsidRPr="00000000" w14:paraId="000002F7">
      <w:pPr>
        <w:spacing w:after="200" w:lineRule="auto"/>
        <w:jc w:val="both"/>
        <w:rPr/>
      </w:pPr>
      <w:r>
        <w:rPr>
          <w:rtl w:val="0"/>
        </w:rPr>
        <w:t xml:space="preserve">The framework also did work that a purely technical development process likely would not have. The separation between the Knowledge Model and the Communication Model kept what the system knows separate from how it communicates it, and this separation made role differentiation a deliberate design choice rather than an afterthought. Because the roles were characterised in the Agent Model before any interface was drawn, the three views are differentiated by aggregation level within a shared explanatory structure rather than by three independently invented layouts. </w:t>
      </w:r>
      <w:r>
        <w:rPr>
          <w:rtl w:val="0"/>
        </w:rPr>
        <w:t xml:space="preserve">Studer et al. </w:t>
      </w:r>
      <w:sdt>
        <w:sdtPr>
          <w:rPr>
            <w:rtl w:val="0"/>
          </w:rPr>
          <w:tag w:val="MENDELEY_CITATION_v3_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"/>
          <w:id w:val="1600819091"/>
        </w:sdtPr>
        <w:sdtContent>
          <w:r>
            <w:rPr>
              <w:rtl w:val="0"/>
            </w:rPr>
            <w:t xml:space="preserve">(1998)</w:t>
          </w:r>
        </w:sdtContent>
      </w:sdt>
      <w:r>
        <w:rPr>
          <w:rtl w:val="0"/>
        </w:rPr>
        <w:t xml:space="preserve">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F8">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that knowledge's quality depends. It says nothing about whether the feature window should be truncated for early warning, which of the three candidate models should be used in the prototype, or whether post-hoc attributions adequately represent a gradient-boosted ensemble. It also does not validate the agent characterisations it produces. The Agent Model in this study was populated from published accounts of practitioners' information needs rather than from knowledge elicitation with practitioners, which is the acquisition activity the methodology would ordinarily expect; as a result, the model is a well-sourced hypothesis about the three roles rather than a documented account of them. </w:t>
      </w:r>
      <w:r>
        <w:rPr>
          <w:rtl w:val="0"/>
        </w:rPr>
        <w:t xml:space="preserve">Schreiber et al. </w:t>
      </w:r>
      <w:sdt>
        <w:sdtPr>
          <w:rPr>
            <w:rtl w:val="0"/>
          </w:rPr>
          <w:tag w:val="MENDELEY_CITATION_v3_eyJjaXRhdGlvbklEIjogIk1FTkRFTEVZX0NJVEFUSU9OXzI0MzhkNTQyLTkzZDgtNTk3MC04YzJiLWY1ZmMwOGY5M2JlMiIsICJwcm9wZXJ0aWVzIjogeyJub3RlSW5kZXgiOiAwfSwgImlzRWRpdGVkIjogZmFsc2UsICJtYW51YWxPdmVycmlkZSI6IHsiaXNNYW51YWxseU92ZXJyaWRkZW4iOiBmYWxzZSwgImNpdGVwcm9jVGV4dCI6ICIo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UsICJzdXBwcmVzcy1hdXRob3IiOiB0cnVlfV19"/>
          <w:id w:val="318103419"/>
        </w:sdtPr>
        <w:sdtContent>
          <w:r>
            <w:rPr>
              <w:rtl w:val="0"/>
            </w:rPr>
            <w:t xml:space="preserve">(2000)</w:t>
          </w:r>
        </w:sdtContent>
      </w:sdt>
      <w:r>
        <w:rPr>
          <w:rtl w:val="0"/>
        </w:rPr>
        <w:t xml:space="preserve">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F9">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FA">
      <w:pPr>
        <w:pStyle w:val="Heading2"/>
        <w:keepNext w:val="0"/>
        <w:keepLines w:val="0"/>
        <w:spacing w:after="150" w:before="300" w:lineRule="auto"/>
        <w:rPr/>
      </w:pPr>
      <w:bookmarkStart w:colFirst="0" w:colLast="0" w:name="_heading=h.rev071" w:id="71"/>
      <w:bookmarkEnd w:id="71"/>
      <w:r>
        <w:rPr>
          <w:color w:val="000000"/>
          <w:rtl w:val="0"/>
        </w:rPr>
        <w:t xml:space="preserve">6.5 Discussion of Role-Specific Decision Support</w:t>
      </w:r>
      <w:r>
        <w:rPr>
          <w:rtl w:val="0"/>
        </w:rPr>
      </w:r>
    </w:p>
    <w:p w:rsidR="00000000" w:rsidDel="00000000" w:rsidP="00000000" w:rsidRDefault="00000000" w:rsidRPr="00000000" w14:paraId="000002FB">
      <w:pPr>
        <w:spacing w:after="200" w:lineRule="auto"/>
        <w:jc w:val="both"/>
        <w:rPr/>
      </w:pPr>
      <w:r>
        <w:rPr>
          <w:rtl w:val="0"/>
        </w:rPr>
        <w:t xml:space="preserve">The third research question asks what the predictive and explainability findings indicate about the dashboard's technical potential to support practitioner interpretation and decision-making. This section addresses that question at the decision-support level, and Section 6.12 returns to the research question itself. The distinction that governs the whole discussion is that this study conducted a technical evaluation, not a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FC">
      <w:pPr>
        <w:spacing w:after="200" w:lineRule="auto"/>
        <w:jc w:val="both"/>
        <w:rPr/>
      </w:pPr>
      <w:r>
        <w:rPr>
          <w:rtl w:val="0"/>
        </w:rPr>
        <w:t xml:space="preserve">The technical evaluation demonstrated a set of system properties.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FD">
      <w:pPr>
        <w:spacing w:after="200" w:lineRule="auto"/>
        <w:jc w:val="both"/>
        <w:rPr/>
      </w:pPr>
      <w:r>
        <w:rPr>
          <w:rtl w:val="0"/>
        </w:rPr>
        <w:t xml:space="preserve">The design supports, but does not demonstrate, delivering those properties to each role in a usable form. The role-gated views, the shared reasoning trail rendered at three levels of aggregation, and the progressive disclosure of attribution detail are implemented and documented, and grounded in the Agent and Communication Models and the dashboard literature reviewed in Chapter 2. The architecture lets an instructor see why a particular student was flagged, an advisor see what is common across a caseload, and an administrator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FE">
      <w:pPr>
        <w:spacing w:after="200" w:lineRule="auto"/>
        <w:jc w:val="both"/>
        <w:rPr/>
      </w:pPr>
      <w:r>
        <w:rPr>
          <w:rtl w:val="0"/>
        </w:rPr>
        <w:t xml:space="preserve">The findings suggest, but do not establish, that combining accurate prediction with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w:t>
      </w:r>
      <w:sdt>
        <w:sdtPr>
          <w:rPr>
            <w:rtl w:val="0"/>
          </w:rPr>
          <w:tag w:val="MENDELEY_CITATION_v3_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"/>
          <w:id w:val="-131439136"/>
        </w:sdtPr>
        <w:sdtContent>
          <w:r>
            <w:rPr>
              <w:rtl w:val="0"/>
            </w:rPr>
            <w:t xml:space="preserve">(Ali et al., 2023; Haque et al., 2023)</w:t>
          </w:r>
        </w:sdtContent>
      </w:sdt>
      <w:r>
        <w:rPr>
          <w:rtl w:val="0"/>
        </w:rPr>
        <w:t xml:space="preserve">, and it is the mechanism the dashboard was designed around. This study did not observe it.</w:t>
      </w:r>
    </w:p>
    <w:p w:rsidR="00000000" w:rsidDel="00000000" w:rsidP="00000000" w:rsidRDefault="00000000" w:rsidRPr="00000000" w14:paraId="000002FF">
      <w:pPr>
        <w:spacing w:after="200" w:lineRule="auto"/>
        <w:jc w:val="both"/>
        <w:rPr/>
      </w:pPr>
      <w:r>
        <w:rPr>
          <w:rtl w:val="0"/>
        </w:rPr>
        <w:t xml:space="preserve">This study did not validate anything related to practitioner response. No instructor, advisor, or administrator used the system in this study. No evidence shows that practitioners trust the predictions, understand the reasoning trail, prefer one explanation method to another, benefit from role differentiation in comprehension relative to a single undifferentiated view, or that decisions made with the dashboard differ in quality from decisions made without it. Nor is there evidence on the failure modes a practitioner study would be expected to reveal, and these are real risks.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w:t>
      </w:r>
      <w:r>
        <w:rPr>
          <w:rtl w:val="0"/>
        </w:rPr>
        <w:t xml:space="preserve">Brdnik et al. </w:t>
      </w:r>
      <w:sdt>
        <w:sdtPr>
          <w:rPr>
            <w:rtl w:val="0"/>
          </w:rPr>
          <w:tag w:val="MENDELEY_CITATION_v3_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"/>
          <w:id w:val="-255684545"/>
        </w:sdtPr>
        <w:sdtContent>
          <w:r>
            <w:rPr>
              <w:rtl w:val="0"/>
            </w:rPr>
            <w:t xml:space="preserve">(2023)</w:t>
          </w:r>
        </w:sdtContent>
      </w:sdt>
      <w:r>
        <w:rPr>
          <w:rtl w:val="0"/>
        </w:rPr>
        <w:t xml:space="preserve"> report a study of perceived trust and satisfaction across several explanation techniques, including SHAP and LIME, in a learning analytics context. It shows that these questions can be answered for a dashboard of this kind and indicates the form the follow-up study would take.</w:t>
      </w:r>
    </w:p>
    <w:p w:rsidR="00000000" w:rsidDel="00000000" w:rsidP="00000000" w:rsidRDefault="00000000" w:rsidRPr="00000000" w14:paraId="00000300">
      <w:pPr>
        <w:pStyle w:val="Heading2"/>
        <w:keepNext w:val="0"/>
        <w:keepLines w:val="0"/>
        <w:spacing w:after="150" w:before="300" w:lineRule="auto"/>
        <w:rPr/>
      </w:pPr>
      <w:bookmarkStart w:colFirst="0" w:colLast="0" w:name="_heading=h.rev072" w:id="72"/>
      <w:bookmarkEnd w:id="72"/>
      <w:r>
        <w:rPr>
          <w:color w:val="000000"/>
          <w:rtl w:val="0"/>
        </w:rPr>
        <w:t xml:space="preserve">6.6 Discussion of the Relationship Between Prediction, Explanation and Intervention</w:t>
      </w:r>
      <w:r>
        <w:rPr>
          <w:rtl w:val="0"/>
        </w:rPr>
      </w:r>
    </w:p>
    <w:p w:rsidR="00000000" w:rsidDel="00000000" w:rsidP="00000000" w:rsidRDefault="00000000" w:rsidRPr="00000000" w14:paraId="00000301">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dashboard design depends on keeping its stages separate. Figure 6.1 sets out the sequence.</w:t>
      </w:r>
    </w:p>
    <w:p w:rsidR="00000000" w:rsidDel="00000000" w:rsidP="00000000" w:rsidRDefault="00000000" w:rsidRPr="00000000" w14:paraId="00000302">
      <w:pPr>
        <w:spacing w:after="100" w:before="200" w:lineRule="auto"/>
        <w:jc w:val="center"/>
        <w:rPr/>
      </w:pPr>
      <w:r>
        <w:rPr/>
        <w:drawing>
          <wp:inline distB="0" distT="0" distL="0" distR="0">
            <wp:extent cx="5943600" cy="2220439"/>
            <wp:effectExtent b="0" l="0" r="0" t="0"/>
            <wp:docPr id="9015" name="image11.png"/>
            <a:graphic>
              <a:graphicData uri="http://schemas.openxmlformats.org/drawingml/2006/picture">
                <pic:pic>
                  <pic:nvPicPr>
                    <pic:cNvPr id="0" name="image11.png"/>
                    <pic:cNvPicPr preferRelativeResize="0"/>
                  </pic:nvPicPr>
                  <pic:blipFill>
                    <a:blip r:embed="rId31"/>
                    <a:srcRect b="0" l="0" r="0" t="0"/>
                    <a:stretch>
                      <a:fillRect/>
                    </a:stretch>
                  </pic:blipFill>
                  <pic:spPr>
                    <a:xfrm>
                      <a:off x="0" y="0"/>
                      <a:ext cx="5943600" cy="2220439"/>
                    </a:xfrm>
                    <a:prstGeom prst="rect"/>
                    <a:ln/>
                  </pic:spPr>
                </pic:pic>
              </a:graphicData>
            </a:graphic>
          </wp:inline>
        </w:drawing>
      </w:r>
      <w:r>
        <w:rPr>
          <w:rtl w:val="0"/>
        </w:rPr>
      </w:r>
    </w:p>
    <w:p w:rsidR="00000000" w:rsidDel="00000000" w:rsidP="00000000" w:rsidRDefault="00000000" w:rsidRPr="00000000" w14:paraId="00000303">
      <w:pPr>
        <w:spacing w:after="300" w:before="100" w:lineRule="auto"/>
        <w:jc w:val="center"/>
        <w:rPr/>
      </w:pPr>
      <w:r>
        <w:rPr>
          <w:i w:val="1"/>
          <w:iCs w:val="1"/>
          <w:rtl w:val="0"/>
        </w:rPr>
        <w:t xml:space="preserve">Figure 6.1. Relationship between Prediction, Explanation, Human Interpretation and Intervention.</w:t>
      </w:r>
      <w:r>
        <w:rPr>
          <w:rtl w:val="0"/>
        </w:rPr>
      </w:r>
    </w:p>
    <w:p w:rsidR="00000000" w:rsidDel="00000000" w:rsidP="00000000" w:rsidRDefault="00000000" w:rsidRPr="00000000" w14:paraId="00000304">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The system performs only the first two stages, and the dashboard is designed to support the third without taking over the fourth. The following paragraphs discuss each stage in turn.</w:t>
      </w:r>
    </w:p>
    <w:p w:rsidR="00000000" w:rsidDel="00000000" w:rsidP="00000000" w:rsidRDefault="00000000" w:rsidRPr="00000000" w14:paraId="00000305">
      <w:pPr>
        <w:spacing w:after="200" w:lineRule="auto"/>
        <w:jc w:val="both"/>
        <w:rPr/>
      </w:pPr>
      <w:r>
        <w:rPr>
          <w:rtl w:val="0"/>
        </w:rPr>
        <w:t xml:space="preserve">The model prediction is a probability that a given student’s record resembles the records of students who withdrew or failed in the presentations the model was trained on. It states statistical resemblance within a particular dataset under a particular label definition, and Section 6.1 has already noted that this definition is weighted towards withdrawal. The model explanation attributes that prediction to input features,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alter something in the course, record the case and wait, or do nothing.</w:t>
      </w:r>
    </w:p>
    <w:p w:rsidR="00000000" w:rsidDel="00000000" w:rsidP="00000000" w:rsidRDefault="00000000" w:rsidRPr="00000000" w14:paraId="00000306">
      <w:pPr>
        <w:spacing w:after="200" w:lineRule="auto"/>
        <w:jc w:val="both"/>
        <w:rPr/>
      </w:pPr>
      <w:r>
        <w:rPr>
          <w:rtl w:val="0"/>
        </w:rPr>
        <w:t xml:space="preserve">Prediction alone is insufficient for a practitioner-facing system because it terminates the sequence too early. A risk score gives the practitioner a claim without any way to check it, so the only available responses are acceptance or rejection, and neither engages the practitioner’s own knowledge of the student. This is the limitation </w:t>
      </w:r>
      <w:r>
        <w:rPr>
          <w:rtl w:val="0"/>
        </w:rPr>
        <w:t xml:space="preserve">Susnjak et al. </w:t>
      </w:r>
      <w:sdt>
        <w:sdtPr>
          <w:rPr>
            <w:rtl w:val="0"/>
          </w:rPr>
          <w:tag w:val="MENDELEY_CITATION_v3_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"/>
          <w:id w:val="-1926822311"/>
        </w:sdtPr>
        <w:sdtContent>
          <w:r>
            <w:rPr>
              <w:rtl w:val="0"/>
            </w:rPr>
            <w:t xml:space="preserve">(2022)</w:t>
          </w:r>
        </w:sdtContent>
      </w:sdt>
      <w:r>
        <w:rPr>
          <w:rtl w:val="0"/>
        </w:rPr>
        <w:t xml:space="preserve"> identify when they observe that risk indicators presented in isolation are of limited practical use, and it is the gap the explanation layer is intended to close. An explanation adds information about which quantities drove the output, which can be checked against independent knowledge in a way that a probability cannot.</w:t>
      </w:r>
    </w:p>
    <w:p w:rsidR="00000000" w:rsidDel="00000000" w:rsidP="00000000" w:rsidRDefault="00000000" w:rsidRPr="00000000" w14:paraId="00000307">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to do. The appropriate response depends on why submissions are missing, and that is exactly what the model does not know: a student struggling with the material, a student managing a period of illness, and a student who has decided to leave may all present the same feature values. The explanation narrows the space of possible situations and tells the practitioner where to focus. It does not select the intervention, and a system that presented attributions as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308">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system's knowledge. The role-aware views operationalise that division by presenting each role with the information relevant to the decision it has to make while leaving the decision itself outside the system. Progressive disclosure serves the same end: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309">
      <w:pPr>
        <w:pStyle w:val="Heading2"/>
        <w:keepNext w:val="0"/>
        <w:keepLines w:val="0"/>
        <w:spacing w:after="150" w:before="300" w:lineRule="auto"/>
        <w:rPr/>
      </w:pPr>
      <w:bookmarkStart w:colFirst="0" w:colLast="0" w:name="_heading=h.rev073" w:id="73"/>
      <w:bookmarkEnd w:id="73"/>
      <w:r>
        <w:rPr>
          <w:color w:val="000000"/>
          <w:rtl w:val="0"/>
        </w:rPr>
        <w:t xml:space="preserve">6.7 Discussion of the Proposed Role-Aware XAI Framework</w:t>
      </w:r>
      <w:r>
        <w:rPr>
          <w:rtl w:val="0"/>
        </w:rPr>
      </w:r>
    </w:p>
    <w:p w:rsidR="00000000" w:rsidDel="00000000" w:rsidP="00000000" w:rsidRDefault="00000000" w:rsidRPr="00000000" w14:paraId="0000030A">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dashboard design rarely reflects the differing information needs of institutional stakeholders. The framework developed across Chapters 3 and 4 addresses all three. This section considers how far the evidence supports that claim.</w:t>
      </w:r>
    </w:p>
    <w:p w:rsidR="00000000" w:rsidDel="00000000" w:rsidP="00000000" w:rsidRDefault="00000000" w:rsidRPr="00000000" w14:paraId="0000030B">
      <w:pPr>
        <w:spacing w:after="200" w:lineRule="auto"/>
        <w:jc w:val="both"/>
        <w:rPr/>
      </w:pPr>
      <w:r>
        <w:rPr>
          <w:rtl w:val="0"/>
        </w:rPr>
        <w:t xml:space="preserve">Demonstrated by this study. The predictive component works, and its behaviour is documented in detail, including inconvenient aspects such as the seven-point spread in accuracy across presentations and the marginally higher F1-score of a model not selected for the prototype. The explainability integration works at full scale, produces both global and local attributions, and measures the relationship between the two methods rather than assuming it.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w:t>
      </w:r>
      <w:r>
        <w:rPr>
          <w:rtl w:val="0"/>
        </w:rPr>
        <w:t xml:space="preserve">Hevner et al. </w:t>
      </w:r>
      <w:sdt>
        <w:sdtPr>
          <w:rPr>
            <w:rtl w:val="0"/>
          </w:rPr>
          <w:tag w:val="MENDELEY_CITATION_v3_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"/>
          <w:id w:val="-95652396"/>
        </w:sdtPr>
        <w:sdtContent>
          <w:r>
            <w:rPr>
              <w:rtl w:val="0"/>
            </w:rPr>
            <w:t xml:space="preserve">(2004)</w:t>
          </w:r>
        </w:sdtContent>
      </w:sdt>
      <w:r>
        <w:rPr>
          <w:rtl w:val="0"/>
        </w:rPr>
        <w:t xml:space="preserve">, the construction is complete, and its technical behaviour is verified.</w:t>
      </w:r>
    </w:p>
    <w:p w:rsidR="00000000" w:rsidDel="00000000" w:rsidP="00000000" w:rsidRDefault="00000000" w:rsidRPr="00000000" w14:paraId="0000030C">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that the design reasoning is documented and the content is verified, not in that they were tested against the need they are intended to meet.</w:t>
      </w:r>
    </w:p>
    <w:p w:rsidR="00000000" w:rsidDel="00000000" w:rsidP="00000000" w:rsidRDefault="00000000" w:rsidRPr="00000000" w14:paraId="0000030D">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Several technical properties that bear on practical use also went unaddressed: probability calibration was not assessed, and strong discrimination is distinct from calibrated probabilities </w:t>
      </w:r>
      <w:sdt>
        <w:sdtPr>
          <w:rPr>
            <w:rtl w:val="0"/>
          </w:rPr>
          <w:tag w:val="MENDELEY_CITATION_v3_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"/>
          <w:id w:val="1383476188"/>
        </w:sdtPr>
        <w:sdtContent>
          <w:r>
            <w:rPr>
              <w:rtl w:val="0"/>
            </w:rPr>
            <w:t xml:space="preserve">(Guo et al., 2017; Niculescu-Mizil &amp; Caruana, 2005)</w:t>
          </w:r>
        </w:sdtContent>
      </w:sdt>
      <w:r>
        <w:rPr>
          <w:rtl w:val="0"/>
        </w:rPr>
        <w:t xml:space="preserve">,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w:t>
      </w:r>
      <w:r>
        <w:rPr>
          <w:rtl w:val="0"/>
        </w:rPr>
        <w:t xml:space="preserve">Baker and Hawn </w:t>
      </w:r>
      <w:sdt>
        <w:sdtPr>
          <w:rPr>
            <w:rtl w:val="0"/>
          </w:rPr>
          <w:tag w:val="MENDELEY_CITATION_v3_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"/>
          <w:id w:val="-426458301"/>
        </w:sdtPr>
        <w:sdtContent>
          <w:r>
            <w:rPr>
              <w:rtl w:val="0"/>
            </w:rPr>
            <w:t xml:space="preserve">(2022)</w:t>
          </w:r>
        </w:sdtContent>
      </w:sdt>
      <w:r>
        <w:rPr>
          <w:rtl w:val="0"/>
        </w:rPr>
        <w:t xml:space="preserve"> documenting systematic disparities in educational model performance across demographic subgroups. Early-window performance was not tested. The stability and fidelity checks specified in Chapter 3, Section 3.5, including the Jaccard similarity protocol of </w:t>
      </w:r>
      <w:r>
        <w:rPr>
          <w:rtl w:val="0"/>
        </w:rPr>
        <w:t xml:space="preserve">Visani et al. </w:t>
      </w:r>
      <w:sdt>
        <w:sdtPr>
          <w:rPr>
            <w:rtl w:val="0"/>
          </w:rPr>
          <w:tag w:val="MENDELEY_CITATION_v3_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"/>
          <w:id w:val="-1917234431"/>
        </w:sdtPr>
        <w:sdtContent>
          <w:r>
            <w:rPr>
              <w:rtl w:val="0"/>
            </w:rPr>
            <w:t xml:space="preserve">(2022)</w:t>
          </w:r>
        </w:sdtContent>
      </w:sdt>
      <w:r>
        <w:rPr>
          <w:rtl w:val="0"/>
        </w:rPr>
        <w:t xml:space="preserve"> and the threshold-based flagging of unreliable explanations, do not appear among the results reported in Chapter 5, so the safeguard intended to prevent practitioners from being shown unreliable explanations without warning is specified but not evidenced.</w:t>
      </w:r>
    </w:p>
    <w:p w:rsidR="00000000" w:rsidDel="00000000" w:rsidP="00000000" w:rsidRDefault="00000000" w:rsidRPr="00000000" w14:paraId="0000030E">
      <w:pPr>
        <w:spacing w:after="200" w:lineRule="auto"/>
        <w:jc w:val="both"/>
        <w:rPr/>
      </w:pPr>
      <w:r>
        <w:rPr>
          <w:rtl w:val="0"/>
        </w:rPr>
        <w:t xml:space="preserve">Read together, the framework does what it was constructed to do, and its technical foundations are sound, but the claim it can support is narrower than the problem framing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30F">
      <w:pPr>
        <w:pStyle w:val="Heading2"/>
        <w:keepNext w:val="0"/>
        <w:keepLines w:val="0"/>
        <w:spacing w:after="150" w:before="300" w:lineRule="auto"/>
        <w:rPr/>
      </w:pPr>
      <w:bookmarkStart w:colFirst="0" w:colLast="0" w:name="_heading=h.rev074" w:id="74"/>
      <w:bookmarkEnd w:id="74"/>
      <w:r>
        <w:rPr>
          <w:color w:val="000000"/>
          <w:rtl w:val="0"/>
        </w:rPr>
        <w:t xml:space="preserve">6.8 Comparison with Existing Research</w:t>
      </w:r>
      <w:r>
        <w:rPr>
          <w:rtl w:val="0"/>
        </w:rPr>
      </w:r>
    </w:p>
    <w:p w:rsidR="00000000" w:rsidDel="00000000" w:rsidP="00000000" w:rsidRDefault="00000000" w:rsidRPr="00000000" w14:paraId="00000310">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311">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t>
      </w:r>
      <w:r>
        <w:rPr>
          <w:rtl w:val="0"/>
        </w:rPr>
        <w:t xml:space="preserve">Wang </w:t>
      </w:r>
      <w:sdt>
        <w:sdtPr>
          <w:rPr>
            <w:rtl w:val="0"/>
          </w:rPr>
          <w:tag w:val="MENDELEY_CITATION_v3_eyJjaXRhdGlvbklEIjogIk1FTkRFTEVZX0NJVEFUSU9OXzA1NjNmYThmLTc4ZjItNTJiYi04YTY3LTc5MmFmOTc3N2FmZSIsICJwcm9wZXJ0aWVzIjogeyJub3RlSW5kZXgiOiAwfSwgImlzRWRpdGVkIjogZmFsc2UsICJtYW51YWxPdmVycmlkZSI6IHsiaXNNYW51YWxseU92ZXJyaWRkZW4iOiBmYWxzZSwgImNpdGVwcm9jVGV4dCI6ICIoMjAyNSkiLCAibWFudWFsT3ZlcnJpZGVUZXh0IjogIiJ9LCAiY2l0YXRpb25JdGVtcyI6IFt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UsICJzdXBwcmVzcy1hdXRob3IiOiB0cnVlfV19"/>
          <w:id w:val="-842520034"/>
        </w:sdtPr>
        <w:sdtContent>
          <w:r>
            <w:rPr>
              <w:rtl w:val="0"/>
            </w:rPr>
            <w:t xml:space="preserve">(2025)</w:t>
          </w:r>
        </w:sdtContent>
      </w:sdt>
      <w:r>
        <w:rPr>
          <w:rtl w:val="0"/>
        </w:rPr>
        <w:t xml:space="preserve">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w:t>
      </w:r>
      <w:r>
        <w:rPr>
          <w:rtl w:val="0"/>
        </w:rPr>
        <w:t xml:space="preserve">Jin et al. </w:t>
      </w:r>
      <w:sdt>
        <w:sdtPr>
          <w:rPr>
            <w:rtl w:val="0"/>
          </w:rPr>
          <w:tag w:val="MENDELEY_CITATION_v3_eyJjaXRhdGlvbklEIjogIk1FTkRFTEVZX0NJVEFUSU9OXzRmNmYzNDQyLTZjMWEtNTZlZi04NjA0LWY3ZDA1YWRiYmRkMS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2121362196"/>
        </w:sdtPr>
        <w:sdtContent>
          <w:r>
            <w:rPr>
              <w:rtl w:val="0"/>
            </w:rPr>
            <w:t xml:space="preserve">(2024)</w:t>
          </w:r>
        </w:sdtContent>
      </w:sdt>
      <w:r>
        <w:rPr>
          <w:rtl w:val="0"/>
        </w:rPr>
        <w:t xml:space="preserve"> document this variation in protocol across the OULAD literature, and </w:t>
      </w:r>
      <w:r>
        <w:rPr>
          <w:rtl w:val="0"/>
        </w:rPr>
        <w:t xml:space="preserve">Krstajic et al. </w:t>
      </w:r>
      <w:sdt>
        <w:sdtPr>
          <w:rPr>
            <w:rtl w:val="0"/>
          </w:rPr>
          <w:tag w:val="MENDELEY_CITATION_v3_eyJjaXRhdGlvbklEIjogIk1FTkRFTEVZX0NJVEFUSU9OX2Y4ZTI5ZDZkLTIxOWItNTA0ZC05MjFkLTFjODcyZmZlNmM2NS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1135775952"/>
        </w:sdtPr>
        <w:sdtContent>
          <w:r>
            <w:rPr>
              <w:rtl w:val="0"/>
            </w:rPr>
            <w:t xml:space="preserve">(2014)</w:t>
          </w:r>
        </w:sdtContent>
      </w:sdt>
      <w:r>
        <w:rPr>
          <w:rtl w:val="0"/>
        </w:rPr>
        <w:t xml:space="preserve"> show that ignoring higher-level unit structure produces optimistic estimates. </w:t>
      </w:r>
      <w:r>
        <w:rPr>
          <w:rtl w:val="0"/>
        </w:rPr>
        <w:t xml:space="preserve">Pelánek </w:t>
      </w:r>
      <w:sdt>
        <w:sdtPr>
          <w:rPr>
            <w:rtl w:val="0"/>
          </w:rPr>
          <w:tag w:val="MENDELEY_CITATION_v3_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"/>
          <w:id w:val="96948299"/>
        </w:sdtPr>
        <w:sdtContent>
          <w:r>
            <w:rPr>
              <w:rtl w:val="0"/>
            </w:rPr>
            <w:t xml:space="preserve">(2018)</w:t>
          </w:r>
        </w:sdtContent>
      </w:sdt>
      <w:r>
        <w:rPr>
          <w:rtl w:val="0"/>
        </w:rPr>
        <w:t xml:space="preserve"> makes the broader argument that choices in cross-validation, filtering, and metric selection materially change reported performance regardless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312">
      <w:pPr>
        <w:spacing w:after="200" w:lineRule="auto"/>
        <w:jc w:val="both"/>
        <w:rPr/>
      </w:pPr>
      <w:r>
        <w:rPr>
          <w:rtl w:val="0"/>
        </w:rPr>
        <w:t xml:space="preserve">The second concerns the features that drive prediction. The dominance of assessment submission over engagement measures in the SHAP and LIME rankings aligns with the OULAD literature, where assessment and VLE interaction features both carry predictive weight and assessment behaviour tends to be the stronger signal </w:t>
      </w:r>
      <w:sdt>
        <w:sdtPr>
          <w:rPr>
            <w:rtl w:val="0"/>
          </w:rPr>
          <w:tag w:val="MENDELEY_CITATION_v3_eyJjaXRhdGlvbklEIjogIk1FTkRFTEVZX0NJVEFUSU9OXzEyOTFmOGVjLWE0NTEtNTNiMi04NTI0LWZjMzJmNWNmNWUzYSIsICJwcm9wZXJ0aWVzIjogeyJub3RlSW5kZXgiOiAwfSwgImlzRWRpdGVkIjogZmFsc2UsICJtYW51YWxPdmVycmlkZSI6IHsiaXNNYW51YWxseU92ZXJyaWRkZW4iOiBmYWxzZSwgImNpdGVwcm9jVGV4dCI6ICIoSmluIGV0IGFsLiwgMjAyNDsgS3V6aWxlayBldCBhbC4sIDIwMTcpIiwgIm1hbnVhbE92ZXJyaWRlVGV4dCI6ICIifSwgImNpdGF0aW9uSXRlbXMiOiBb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"/>
          <w:id w:val="-246011410"/>
        </w:sdtPr>
        <w:sdtContent>
          <w:r>
            <w:rPr>
              <w:rtl w:val="0"/>
            </w:rPr>
            <w:t xml:space="preserve">(Jin et al., 2024; Kuzilek et al., 2017)</w:t>
          </w:r>
        </w:sdtContent>
      </w:sdt>
      <w:r>
        <w:rPr>
          <w:rtl w:val="0"/>
        </w:rPr>
        <w:t xml:space="preserve">. </w:t>
      </w:r>
      <w:r>
        <w:rPr>
          <w:rtl w:val="0"/>
        </w:rPr>
        <w:t xml:space="preserve">Waheed et al. </w:t>
      </w:r>
      <w:sdt>
        <w:sdtPr>
          <w:rPr>
            <w:rtl w:val="0"/>
          </w:rPr>
          <w:tag w:val="MENDELEY_CITATION_v3_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"/>
          <w:id w:val="2104668240"/>
        </w:sdtPr>
        <w:sdtContent>
          <w:r>
            <w:rPr>
              <w:rtl w:val="0"/>
            </w:rPr>
            <w:t xml:space="preserve">(2020)</w:t>
          </w:r>
        </w:sdtContent>
      </w:sdt>
      <w:r>
        <w:rPr>
          <w:rtl w:val="0"/>
        </w:rPr>
        <w:t xml:space="preserve"> predict academic performance from VLE clickstream data using deep learning, which aligns more closely with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w:t>
      </w:r>
      <w:r>
        <w:rPr>
          <w:rtl w:val="0"/>
        </w:rPr>
        <w:t xml:space="preserve">Hlosta et al. </w:t>
      </w:r>
      <w:sdt>
        <w:sdtPr>
          <w:rPr>
            <w:rtl w:val="0"/>
          </w:rPr>
          <w:tag w:val="MENDELEY_CITATION_v3_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"/>
          <w:id w:val="519808395"/>
        </w:sdtPr>
        <w:sdtContent>
          <w:r>
            <w:rPr>
              <w:rtl w:val="0"/>
            </w:rPr>
            <w:t xml:space="preserve">(2017)</w:t>
          </w:r>
        </w:sdtContent>
      </w:sdt>
      <w:r>
        <w:rPr>
          <w:rtl w:val="0"/>
        </w:rPr>
        <w:t xml:space="preserve">,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313">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w:t>
      </w:r>
      <w:r>
        <w:rPr>
          <w:rtl w:val="0"/>
        </w:rPr>
        <w:t xml:space="preserve">Gunasekara and Saarela </w:t>
      </w:r>
      <w:sdt>
        <w:sdtPr>
          <w:rPr>
            <w:rtl w:val="0"/>
          </w:rPr>
          <w:tag w:val="MENDELEY_CITATION_v3_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"/>
          <w:id w:val="1031175733"/>
        </w:sdtPr>
        <w:sdtContent>
          <w:r>
            <w:rPr>
              <w:rtl w:val="0"/>
            </w:rPr>
            <w:t xml:space="preserve">(2025)</w:t>
          </w:r>
        </w:sdtContent>
      </w:sdt>
      <w:r>
        <w:rPr>
          <w:rtl w:val="0"/>
        </w:rPr>
        <w:t xml:space="preserve"> apply both to models trained on OULAD, and </w:t>
      </w:r>
      <w:r>
        <w:rPr>
          <w:rtl w:val="0"/>
        </w:rPr>
        <w:t xml:space="preserve">Hooshyar and Yang </w:t>
      </w:r>
      <w:sdt>
        <w:sdtPr>
          <w:rPr>
            <w:rtl w:val="0"/>
          </w:rPr>
          <w:tag w:val="MENDELEY_CITATION_v3_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"/>
          <w:id w:val="-1241137324"/>
        </w:sdtPr>
        <w:sdtContent>
          <w:r>
            <w:rPr>
              <w:rtl w:val="0"/>
            </w:rPr>
            <w:t xml:space="preserve">(2024)</w:t>
          </w:r>
        </w:sdtContent>
      </w:sdt>
      <w:r>
        <w:rPr>
          <w:rtl w:val="0"/>
        </w:rPr>
        <w:t xml:space="preserve"> report significant variability between the feature importance assigned by SHAP and LIME variants to the same educational predictive model. The mean top-5 instance-level overlap of 0.635 reported here is consistent with that characterisation and adds a quantity to it for this model and dataset. Here the study goes beyond replication. Much of the educational XAI literature applies one method or reports the two separately, whereas the measured instance-level overlap gives a concrete figure for how differently a practitioner would see the same prediction depending on which method they consulted. The finding also connects to the general concern raised by </w:t>
      </w:r>
      <w:r>
        <w:rPr>
          <w:rtl w:val="0"/>
        </w:rPr>
        <w:t xml:space="preserve">Slack et al. </w:t>
      </w:r>
      <w:sdt>
        <w:sdtPr>
          <w:rPr>
            <w:rtl w:val="0"/>
          </w:rPr>
          <w:tag w:val="MENDELEY_CITATION_v3_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"/>
          <w:id w:val="689033618"/>
        </w:sdtPr>
        <w:sdtContent>
          <w:r>
            <w:rPr>
              <w:rtl w:val="0"/>
            </w:rPr>
            <w:t xml:space="preserve">(2020)</w:t>
          </w:r>
        </w:sdtContent>
      </w:sdt>
      <w:r>
        <w:rPr>
          <w:rtl w:val="0"/>
        </w:rPr>
        <w:t xml:space="preserve">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314">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w:t>
      </w:r>
      <w:r>
        <w:rPr>
          <w:rtl w:val="0"/>
        </w:rPr>
        <w:t xml:space="preserve">Afzaal et al. </w:t>
      </w:r>
      <w:sdt>
        <w:sdtPr>
          <w:rPr>
            <w:rtl w:val="0"/>
          </w:rPr>
          <w:tag w:val="MENDELEY_CITATION_v3_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"/>
          <w:id w:val="-1472928576"/>
        </w:sdtPr>
        <w:sdtContent>
          <w:r>
            <w:rPr>
              <w:rtl w:val="0"/>
            </w:rPr>
            <w:t xml:space="preserve">(2021)</w:t>
          </w:r>
        </w:sdtContent>
      </w:sdt>
      <w:r>
        <w:rPr>
          <w:rtl w:val="0"/>
        </w:rPr>
        <w:t xml:space="preserve">, targets students rather than the staff responsible for intervention decisions. The reviews by </w:t>
      </w:r>
      <w:r>
        <w:rPr>
          <w:rtl w:val="0"/>
        </w:rPr>
        <w:t xml:space="preserve">Schwendimann et al. </w:t>
      </w:r>
      <w:sdt>
        <w:sdtPr>
          <w:rPr>
            <w:rtl w:val="0"/>
          </w:rPr>
          <w:tag w:val="MENDELEY_CITATION_v3_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"/>
          <w:id w:val="-1825082466"/>
        </w:sdtPr>
        <w:sdtContent>
          <w:r>
            <w:rPr>
              <w:rtl w:val="0"/>
            </w:rPr>
            <w:t xml:space="preserve">(2017)</w:t>
          </w:r>
        </w:sdtContent>
      </w:sdt>
      <w:r>
        <w:rPr>
          <w:rtl w:val="0"/>
        </w:rPr>
        <w:t xml:space="preserve"> and </w:t>
      </w:r>
      <w:r>
        <w:rPr>
          <w:rtl w:val="0"/>
        </w:rPr>
        <w:t xml:space="preserve">Matcha et al. </w:t>
      </w:r>
      <w:sdt>
        <w:sdtPr>
          <w:rPr>
            <w:rtl w:val="0"/>
          </w:rPr>
          <w:tag w:val="MENDELEY_CITATION_v3_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"/>
          <w:id w:val="-2135991494"/>
        </w:sdtPr>
        <w:sdtContent>
          <w:r>
            <w:rPr>
              <w:rtl w:val="0"/>
            </w:rPr>
            <w:t xml:space="preserve">(2020)</w:t>
          </w:r>
        </w:sdtContent>
      </w:sdt>
      <w:r>
        <w:rPr>
          <w:rtl w:val="0"/>
        </w:rPr>
        <w:t xml:space="preserve">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315">
      <w:pPr>
        <w:spacing w:after="200" w:lineRule="auto"/>
        <w:jc w:val="both"/>
        <w:rPr/>
      </w:pPr>
      <w:r>
        <w:rPr>
          <w:rtl w:val="0"/>
        </w:rPr>
        <w:t xml:space="preserve">A final comparison concerns what the field takes learning analytics to be for. </w:t>
      </w:r>
      <w:r>
        <w:rPr>
          <w:rtl w:val="0"/>
        </w:rPr>
        <w:t xml:space="preserve">Siemens and Long </w:t>
      </w:r>
      <w:sdt>
        <w:sdtPr>
          <w:rPr>
            <w:rtl w:val="0"/>
          </w:rPr>
          <w:tag w:val="MENDELEY_CITATION_v3_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"/>
          <w:id w:val="402916002"/>
        </w:sdtPr>
        <w:sdtContent>
          <w:r>
            <w:rPr>
              <w:rtl w:val="0"/>
            </w:rPr>
            <w:t xml:space="preserve">(2011)</w:t>
          </w:r>
        </w:sdtContent>
      </w:sdt>
      <w:r>
        <w:rPr>
          <w:rtl w:val="0"/>
        </w:rPr>
        <w:t xml:space="preserve"> and </w:t>
      </w:r>
      <w:r>
        <w:rPr>
          <w:rtl w:val="0"/>
        </w:rPr>
        <w:t xml:space="preserve">Gašević et al. </w:t>
      </w:r>
      <w:sdt>
        <w:sdtPr>
          <w:rPr>
            <w:rtl w:val="0"/>
          </w:rPr>
          <w:tag w:val="MENDELEY_CITATION_v3_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"/>
          <w:id w:val="-896534512"/>
        </w:sdtPr>
        <w:sdtContent>
          <w:r>
            <w:rPr>
              <w:rtl w:val="0"/>
            </w:rPr>
            <w:t xml:space="preserve">(2015)</w:t>
          </w:r>
        </w:sdtContent>
      </w:sdt>
      <w:r>
        <w:rPr>
          <w:rtl w:val="0"/>
        </w:rPr>
        <w:t xml:space="preserve"> argue that the value of learning analytics lies in connecting data to actionable decisions rather than in predictive accuracy alone, and </w:t>
      </w:r>
      <w:r>
        <w:rPr>
          <w:rtl w:val="0"/>
        </w:rPr>
        <w:t xml:space="preserve">Tsai and Gašević </w:t>
      </w:r>
      <w:sdt>
        <w:sdtPr>
          <w:rPr>
            <w:rtl w:val="0"/>
          </w:rPr>
          <w:tag w:val="MENDELEY_CITATION_v3_eyJjaXRhdGlvbklEIjogIk1FTkRFTEVZX0NJVEFUSU9OXzk4OTQ5OWFiLTI4NTMtNTRhOC1iOGU4LWE3N2RkMjFhNTNhMSIsICJwcm9wZXJ0aWVzIjogeyJub3RlSW5kZXgiOiAwfSwgImlzRWRpdGVkIjogZmFsc2UsICJtYW51YWxPdmVycmlkZSI6IHsiaXNNYW51YWxseU92ZXJyaWRkZW4iOiBmYWxzZSwgImNpdGVwcm9jVGV4dCI6ICIo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LCAic3VwcHJlc3MtYXV0aG9yIjogdHJ1ZX1dfQ=="/>
          <w:id w:val="-1153300795"/>
        </w:sdtPr>
        <w:sdtContent>
          <w:r>
            <w:rPr>
              <w:rtl w:val="0"/>
            </w:rPr>
            <w:t xml:space="preserve">(2017)</w:t>
          </w:r>
        </w:sdtContent>
      </w:sdt>
      <w:r>
        <w:rPr>
          <w:rtl w:val="0"/>
        </w:rPr>
        <w:t xml:space="preserve"> and </w:t>
      </w:r>
      <w:r>
        <w:rPr>
          <w:rtl w:val="0"/>
        </w:rPr>
        <w:t xml:space="preserve">Leitner et al. </w:t>
      </w:r>
      <w:sdt>
        <w:sdtPr>
          <w:rPr>
            <w:rtl w:val="0"/>
          </w:rPr>
          <w:tag w:val="MENDELEY_CITATION_v3_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"/>
          <w:id w:val="888868537"/>
        </w:sdtPr>
        <w:sdtContent>
          <w:r>
            <w:rPr>
              <w:rtl w:val="0"/>
            </w:rPr>
            <w:t xml:space="preserve">(2019)</w:t>
          </w:r>
        </w:sdtContent>
      </w:sdt>
      <w:r>
        <w:rPr>
          <w:rtl w:val="0"/>
        </w:rPr>
        <w:t xml:space="preserve"> document the persistent gap between technically capable models and their use in institutional decision-making. The findings of this study support the view that the difficulty lies in connecting predictions to decisions. A well-performing classifier on OULAD was obtained with a fixed, untuned configuration and no resampling, whereas showing that its outputs would be usable by three different staff roles remains unfinished at the close of this study.</w:t>
      </w:r>
    </w:p>
    <w:p w:rsidR="00000000" w:rsidDel="00000000" w:rsidP="00000000" w:rsidRDefault="00000000" w:rsidRPr="00000000" w14:paraId="00000316">
      <w:pPr>
        <w:pStyle w:val="Heading2"/>
        <w:keepNext w:val="0"/>
        <w:keepLines w:val="0"/>
        <w:spacing w:after="150" w:before="300" w:lineRule="auto"/>
        <w:rPr/>
      </w:pPr>
      <w:bookmarkStart w:colFirst="0" w:colLast="0" w:name="_heading=h.rev075" w:id="75"/>
      <w:bookmarkEnd w:id="75"/>
      <w:r>
        <w:rPr>
          <w:color w:val="000000"/>
          <w:rtl w:val="0"/>
        </w:rPr>
        <w:t xml:space="preserve">6.9 Implications for Explainable Learning Analytics Practice</w:t>
      </w:r>
      <w:r>
        <w:rPr>
          <w:rtl w:val="0"/>
        </w:rPr>
      </w:r>
    </w:p>
    <w:p w:rsidR="00000000" w:rsidDel="00000000" w:rsidP="00000000" w:rsidRDefault="00000000" w:rsidRPr="00000000" w14:paraId="00000317">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318">
      <w:pPr>
        <w:spacing w:after="200" w:lineRule="auto"/>
        <w:jc w:val="both"/>
        <w:rPr/>
      </w:pPr>
      <w:r>
        <w:rPr>
          <w:rtl w:val="0"/>
        </w:rPr>
        <w:t xml:space="preserve">The first concerns how to report explanations. The instance-level divergence between SHAP and LIME measured in Section 5.6 indicates that a single attribution method does not give a complete account of a model’s local behaviour. In practice, this implies that systems reporting one method as the explanation present a more settled picture than the underlying attributions support, and that where two methods are available, their level of agreement is itself worth showing to users.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319">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not only how much, and that developers of such systems should expect artefacts of this kind to appear and check for them before the attributions reach practitioners.</w:t>
      </w:r>
    </w:p>
    <w:p w:rsidR="00000000" w:rsidDel="00000000" w:rsidP="00000000" w:rsidRDefault="00000000" w:rsidRPr="00000000" w14:paraId="0000031A">
      <w:pPr>
        <w:spacing w:after="200" w:lineRule="auto"/>
        <w:jc w:val="both"/>
        <w:rPr/>
      </w:pPr>
      <w:r>
        <w:rPr>
          <w:rtl w:val="0"/>
        </w:rPr>
        <w:t xml:space="preserve">The third concerns the language used to communicate model outputs. Throughout this study the terms contribution, attribution, and association have been used in preference to causal language, following the position set out in Chapter 3, Section 3.5. This is not only an academic convention. An instructor under time pressure will read a reasoning trail that names low assessment submission as the leading contributor to a flag. Whether that feature contributed to a prediction or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31B">
      <w:pPr>
        <w:spacing w:after="200" w:lineRule="auto"/>
        <w:jc w:val="both"/>
        <w:rPr/>
      </w:pPr>
      <w:r>
        <w:rPr>
          <w:rtl w:val="0"/>
        </w:rPr>
        <w:t xml:space="preserve">The fourth concerns the reporting of operating characteristics. Because performance varied by more than seven percentage points across the four presentations, a model's error profile is a property of the cohort as well as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31C">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to recommend actions, follows from the limits of what the attributions establish, not from caution alone. Systems that cross it are making causal claims their explanation methods do not support.</w:t>
      </w:r>
    </w:p>
    <w:p w:rsidR="00000000" w:rsidDel="00000000" w:rsidP="00000000" w:rsidRDefault="00000000" w:rsidRPr="00000000" w14:paraId="0000031D">
      <w:pPr>
        <w:spacing w:after="200" w:lineRule="auto"/>
        <w:jc w:val="both"/>
        <w:rPr/>
      </w:pPr>
      <w:r>
        <w:rPr>
          <w:rtl w:val="0"/>
        </w:rPr>
        <w:t xml:space="preserve">The sixth concerns the responsible handling of risk information. This thesis used a public benchmark dataset with no identifiable students, but a system like this, once deployed, produces a per-student prediction of withdrawal or failure, visible to staff, and derived in part from demographic attributes that overlap with protected characteristics. Chapter 4, Section 4.6 anticipates the need for disaggregated reporting, and </w:t>
      </w:r>
      <w:r>
        <w:rPr>
          <w:rtl w:val="0"/>
        </w:rPr>
        <w:t xml:space="preserve">Baker and Hawn </w:t>
      </w:r>
      <w:sdt>
        <w:sdtPr>
          <w:rPr>
            <w:rtl w:val="0"/>
          </w:rPr>
          <w:tag w:val="MENDELEY_CITATION_v3_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"/>
          <w:id w:val="-197433950"/>
        </w:sdtPr>
        <w:sdtContent>
          <w:r>
            <w:rPr>
              <w:rtl w:val="0"/>
            </w:rPr>
            <w:t xml:space="preserve">(2022)</w:t>
          </w:r>
        </w:sdtContent>
      </w:sdt>
      <w:r>
        <w:rPr>
          <w:rtl w:val="0"/>
        </w:rPr>
        <w:t xml:space="preserve"> document why. Two implications follow. The first is that subgroup performance should be reported before such a system is used to direct resources, since a model with strong aggregate performance may distribute its errors unevenly. The second is that access control is an essential requirement, not an incidental one, which is why Chapter 4, Section 4.8 enforces role separation at both the edge and the API: a risk prediction is information about a student that not every member of staff has a legitimate reason to see.</w:t>
      </w:r>
    </w:p>
    <w:p w:rsidR="00000000" w:rsidDel="00000000" w:rsidP="00000000" w:rsidRDefault="00000000" w:rsidRPr="00000000" w14:paraId="0000031E">
      <w:pPr>
        <w:pStyle w:val="Heading2"/>
        <w:keepNext w:val="0"/>
        <w:keepLines w:val="0"/>
        <w:spacing w:after="150" w:before="300" w:lineRule="auto"/>
        <w:rPr/>
      </w:pPr>
      <w:bookmarkStart w:colFirst="0" w:colLast="0" w:name="_heading=h.rev076" w:id="76"/>
      <w:bookmarkEnd w:id="76"/>
      <w:r>
        <w:rPr>
          <w:color w:val="000000"/>
          <w:rtl w:val="0"/>
        </w:rPr>
        <w:t xml:space="preserve">6.10 Contextual Implications and Transferability</w:t>
      </w:r>
      <w:r>
        <w:rPr>
          <w:rtl w:val="0"/>
        </w:rPr>
      </w:r>
    </w:p>
    <w:p w:rsidR="00000000" w:rsidDel="00000000" w:rsidP="00000000" w:rsidRDefault="00000000" w:rsidRPr="00000000" w14:paraId="0000031F">
      <w:pPr>
        <w:spacing w:after="200" w:lineRule="auto"/>
        <w:jc w:val="both"/>
        <w:rPr/>
      </w:pPr>
      <w:r>
        <w:rPr>
          <w:rtl w:val="0"/>
        </w:rPr>
        <w:t xml:space="preserve">This study's findings come from one dataset describing one institution. OULAD records 32,593 student-module-presentation observations from the Open University across 22 module presentations spanning four presentation periods </w:t>
      </w:r>
      <w:sdt>
        <w:sdtPr>
          <w:rPr>
            <w:rtl w:val="0"/>
          </w:rPr>
          <w:tag w:val="MENDELEY_CITATION_v3_eyJjaXRhdGlvbklEIjogIk1FTkRFTEVZX0NJVEFUSU9OX2Q5Y2ZhYWJiLTdhNjAtNWFhOS05ZDc2LTQ0NzVhZWUzZWM3Yi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804812109"/>
        </w:sdtPr>
        <w:sdtContent>
          <w:r>
            <w:rPr>
              <w:rtl w:val="0"/>
            </w:rPr>
            <w:t xml:space="preserve">(Kuzilek et al., 2017)</w:t>
          </w:r>
        </w:sdtContent>
      </w:sdt>
      <w:r>
        <w:rPr>
          <w:rtl w:val="0"/>
        </w:rPr>
        <w:t xml:space="preserve">, and every figure in Chapter 5 is a figure about that population. This section considers what would need to hold for the framework to transfer elsewhere.</w:t>
      </w:r>
    </w:p>
    <w:p w:rsidR="00000000" w:rsidDel="00000000" w:rsidP="00000000" w:rsidRDefault="00000000" w:rsidRPr="00000000" w14:paraId="00000320">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a model trained at one institution would perform comparably at another is not supportable, and the appropriate expectation for any new setting is retraining and revalidation rather than transferring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321">
      <w:pPr>
        <w:spacing w:after="200" w:before="100" w:lineRule="auto"/>
        <w:rPr>
          <w:sz w:val="20"/>
          <w:szCs w:val="20"/>
        </w:rPr>
      </w:pPr>
      <w:r>
        <w:rPr>
          <w:i w:val="1"/>
          <w:iCs w:val="1"/>
          <w:sz w:val="20"/>
          <w:szCs w:val="20"/>
          <w:rtl w:val="0"/>
        </w:rPr>
        <w:t xml:space="preserve">Table 6.1. Transferability of the components of the role-aware XAI framework.</w:t>
      </w:r>
      <w:r>
        <w:rPr>
          <w:rtl w:val="0"/>
        </w:rPr>
      </w:r>
    </w:p>
    <w:tbl>
      <w:tblPr>
        <w:tblStyle w:val="Table14"/>
        <w:tblW w:w="9360.0" w:type="dxa"/>
        <w:jc w:val="left"/>
        <w:tblLayout w:type="fixed"/>
        <w:tblLook w:val="0600"/>
      </w:tblPr>
      <w:tblGrid>
        <w:gridCol w:w="5200"/>
        <w:gridCol w:w="4160"/>
        <w:tblGridChange w:id="0">
          <w:tblGrid>
            <w:gridCol w:w="5200"/>
            <w:gridCol w:w="41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2">
            <w:pPr>
              <w:spacing w:after="60" w:before="60" w:line="240" w:lineRule="auto"/>
              <w:jc w:val="center"/>
              <w:rPr/>
            </w:pPr>
            <w:r>
              <w:rPr>
                <w:b w:val="1"/>
                <w:bCs w:val="1"/>
                <w:sz w:val="22"/>
                <w:szCs w:val="22"/>
                <w:rtl w:val="0"/>
              </w:rPr>
              <w:t xml:space="preserve">Component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3">
            <w:pPr>
              <w:spacing w:after="60" w:before="60" w:line="240" w:lineRule="auto"/>
              <w:jc w:val="center"/>
              <w:rPr/>
            </w:pPr>
            <w:r>
              <w:rPr>
                <w:b w:val="1"/>
                <w:bCs w:val="1"/>
                <w:sz w:val="22"/>
                <w:szCs w:val="22"/>
                <w:rtl w:val="0"/>
              </w:rPr>
              <w:t xml:space="preserve">Transferability</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4">
            <w:pPr>
              <w:spacing w:after="60" w:before="60" w:line="240" w:lineRule="auto"/>
              <w:jc w:val="left"/>
              <w:rPr/>
            </w:pPr>
            <w:r>
              <w:rPr>
                <w:sz w:val="22"/>
                <w:szCs w:val="22"/>
                <w:rtl w:val="0"/>
              </w:rPr>
              <w:t xml:space="preserve">CommonKADS design process (methodology)</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5">
            <w:pPr>
              <w:spacing w:after="60" w:before="60" w:line="240" w:lineRule="auto"/>
              <w:jc w:val="left"/>
              <w:rPr/>
            </w:pPr>
            <w:r>
              <w:rPr>
                <w:sz w:val="22"/>
                <w:szCs w:val="22"/>
                <w:rtl w:val="0"/>
              </w:rPr>
              <w:t xml:space="preserve">Potentially transferable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6">
            <w:pPr>
              <w:spacing w:after="60" w:before="60" w:line="240" w:lineRule="auto"/>
              <w:jc w:val="left"/>
              <w:rPr/>
            </w:pPr>
            <w:r>
              <w:rPr>
                <w:sz w:val="22"/>
                <w:szCs w:val="22"/>
                <w:rtl w:val="0"/>
              </w:rPr>
              <w:t xml:space="preserve">Five-layer architecture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7">
            <w:pPr>
              <w:spacing w:after="60" w:before="60" w:line="240" w:lineRule="auto"/>
              <w:jc w:val="left"/>
              <w:rPr/>
            </w:pPr>
            <w:r>
              <w:rPr>
                <w:sz w:val="22"/>
                <w:szCs w:val="22"/>
                <w:rtl w:val="0"/>
              </w:rPr>
              <w:t xml:space="preserve">Potentially transferable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8">
            <w:pPr>
              <w:spacing w:after="60" w:before="60" w:line="240" w:lineRule="auto"/>
              <w:jc w:val="left"/>
              <w:rPr/>
            </w:pPr>
            <w:r>
              <w:rPr>
                <w:sz w:val="22"/>
                <w:szCs w:val="22"/>
                <w:rtl w:val="0"/>
              </w:rPr>
              <w:t xml:space="preserve">SHAP/LIME explanation mechanism</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9">
            <w:pPr>
              <w:spacing w:after="60" w:before="60" w:line="240" w:lineRule="auto"/>
              <w:jc w:val="left"/>
              <w:rPr/>
            </w:pPr>
            <w:r>
              <w:rPr>
                <w:sz w:val="22"/>
                <w:szCs w:val="22"/>
                <w:rtl w:val="0"/>
              </w:rPr>
              <w:t xml:space="preserve">Highly transferable technically</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A">
            <w:pPr>
              <w:spacing w:after="60" w:before="60" w:line="240" w:lineRule="auto"/>
              <w:jc w:val="left"/>
              <w:rPr/>
            </w:pPr>
            <w:r>
              <w:rPr>
                <w:sz w:val="22"/>
                <w:szCs w:val="22"/>
                <w:rtl w:val="0"/>
              </w:rPr>
              <w:t xml:space="preserve">Feature set and feature engineering</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B">
            <w:pPr>
              <w:spacing w:after="60" w:before="60" w:line="240" w:lineRule="auto"/>
              <w:jc w:val="left"/>
              <w:rPr/>
            </w:pPr>
            <w:r>
              <w:rPr>
                <w:sz w:val="22"/>
                <w:szCs w:val="22"/>
                <w:rtl w:val="0"/>
              </w:rPr>
              <w:t xml:space="preserve">Context dependent</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C">
            <w:pPr>
              <w:spacing w:after="60" w:before="60" w:line="240" w:lineRule="auto"/>
              <w:jc w:val="left"/>
              <w:rPr/>
            </w:pPr>
            <w:r>
              <w:rPr>
                <w:sz w:val="22"/>
                <w:szCs w:val="22"/>
                <w:rtl w:val="0"/>
              </w:rPr>
              <w:t xml:space="preserve">Model weights (fitted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D">
            <w:pPr>
              <w:spacing w:after="60" w:before="60" w:line="240" w:lineRule="auto"/>
              <w:jc w:val="left"/>
              <w:rPr/>
            </w:pPr>
            <w:r>
              <w:rPr>
                <w:sz w:val="22"/>
                <w:szCs w:val="22"/>
                <w:rtl w:val="0"/>
              </w:rPr>
              <w:t xml:space="preserve">Not directly transferable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E">
            <w:pPr>
              <w:spacing w:after="60" w:before="60" w:line="240" w:lineRule="auto"/>
              <w:jc w:val="left"/>
              <w:rPr/>
            </w:pPr>
            <w:r>
              <w:rPr>
                <w:sz w:val="22"/>
                <w:szCs w:val="22"/>
                <w:rtl w:val="0"/>
              </w:rPr>
              <w:t xml:space="preserve">Feature importance rankings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F">
            <w:pPr>
              <w:spacing w:after="60" w:before="60" w:line="240" w:lineRule="auto"/>
              <w:jc w:val="left"/>
              <w:rPr/>
            </w:pPr>
            <w:r>
              <w:rPr>
                <w:sz w:val="22"/>
                <w:szCs w:val="22"/>
                <w:rtl w:val="0"/>
              </w:rPr>
              <w:t xml:space="preserve">Not directly transferable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30">
            <w:pPr>
              <w:spacing w:after="60" w:before="60" w:line="240" w:lineRule="auto"/>
              <w:jc w:val="left"/>
              <w:rPr/>
            </w:pPr>
            <w:r>
              <w:rPr>
                <w:sz w:val="22"/>
                <w:szCs w:val="22"/>
                <w:rtl w:val="0"/>
              </w:rPr>
              <w:t xml:space="preserve">Decision threshold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31">
            <w:pPr>
              <w:spacing w:after="60" w:before="60" w:line="240" w:lineRule="auto"/>
              <w:jc w:val="left"/>
              <w:rPr/>
            </w:pPr>
            <w:r>
              <w:rPr>
                <w:sz w:val="22"/>
                <w:szCs w:val="22"/>
                <w:rtl w:val="0"/>
              </w:rPr>
              <w:t xml:space="preserve">Requires local validation</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32">
            <w:pPr>
              <w:spacing w:after="60" w:before="60" w:line="240" w:lineRule="auto"/>
              <w:jc w:val="left"/>
              <w:rPr/>
            </w:pPr>
            <w:r>
              <w:rPr>
                <w:sz w:val="22"/>
                <w:szCs w:val="22"/>
                <w:rtl w:val="0"/>
              </w:rPr>
              <w:t xml:space="preserve">Performance metrics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33">
            <w:pPr>
              <w:spacing w:after="60" w:before="60" w:line="240" w:lineRule="auto"/>
              <w:jc w:val="left"/>
              <w:rPr/>
            </w:pPr>
            <w:r>
              <w:rPr>
                <w:sz w:val="22"/>
                <w:szCs w:val="22"/>
                <w:rtl w:val="0"/>
              </w:rPr>
              <w:t xml:space="preserve">Not transferable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34">
            <w:pPr>
              <w:spacing w:after="60" w:before="60" w:line="240" w:lineRule="auto"/>
              <w:jc w:val="left"/>
              <w:rPr/>
            </w:pPr>
            <w:r>
              <w:rPr>
                <w:sz w:val="22"/>
                <w:szCs w:val="22"/>
                <w:rtl w:val="0"/>
              </w:rPr>
              <w:t xml:space="preserve">Role definitions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35">
            <w:pPr>
              <w:spacing w:after="60" w:before="60" w:line="240" w:lineRule="auto"/>
              <w:jc w:val="left"/>
              <w:rPr/>
            </w:pPr>
            <w:r>
              <w:rPr>
                <w:sz w:val="22"/>
                <w:szCs w:val="22"/>
                <w:rtl w:val="0"/>
              </w:rPr>
              <w:t xml:space="preserve">Institution dependent</w:t>
            </w:r>
            <w:r>
              <w:rPr>
                <w:rtl w:val="0"/>
              </w:rPr>
            </w:r>
          </w:p>
        </w:tc>
      </w:tr>
    </w:tbl>
    <w:p w:rsidR="00000000" w:rsidDel="00000000" w:rsidP="00000000" w:rsidRDefault="00000000" w:rsidRPr="00000000" w14:paraId="00000336">
      <w:pPr>
        <w:spacing w:after="200" w:lineRule="auto"/>
        <w:jc w:val="both"/>
        <w:rPr/>
      </w:pPr>
      <w:r>
        <w:rPr>
          <w:rtl w:val="0"/>
        </w:rPr>
      </w:r>
    </w:p>
    <w:p w:rsidR="00000000" w:rsidDel="00000000" w:rsidP="00000000" w:rsidRDefault="00000000" w:rsidRPr="00000000" w14:paraId="00000337">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more common and differently motivated. Since withdrawals account for 59 per cent of the positive class here, the target variable partly reflects that context. A model trained on data of this kind is not a general at-risk model; it is a model of one institution’s pattern of leaving.</w:t>
      </w:r>
    </w:p>
    <w:p w:rsidR="00000000" w:rsidDel="00000000" w:rsidP="00000000" w:rsidRDefault="00000000" w:rsidRPr="00000000" w14:paraId="00000338">
      <w:pPr>
        <w:spacing w:after="200" w:lineRule="auto"/>
        <w:jc w:val="both"/>
        <w:rPr/>
      </w:pPr>
      <w:r>
        <w:rPr>
          <w:rtl w:val="0"/>
        </w:rPr>
        <w:t xml:space="preserve">What is more likely to transfer is the structure, not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fitted model, attribution rankings, and reported metrics do.</w:t>
      </w:r>
    </w:p>
    <w:p w:rsidR="00000000" w:rsidDel="00000000" w:rsidP="00000000" w:rsidRDefault="00000000" w:rsidRPr="00000000" w14:paraId="00000339">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on held-out cohorts, and enough ongoing data to retrain as cohorts change. It would need the three roles to exist in a recognisable form, since an institution where teaching staff advise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3A">
      <w:pPr>
        <w:spacing w:after="200" w:lineRule="auto"/>
        <w:jc w:val="both"/>
        <w:rPr/>
      </w:pPr>
      <w:r>
        <w:rPr>
          <w:rtl w:val="0"/>
        </w:rPr>
        <w:t xml:space="preserve">These conditions matter for transfer to institutions in Nigeria and elsewhere in Africa, where this research is based, but they are conditions, not conclusions. Higher education across the continent is not a single context, and institutions differ widely in LMS adoption, the completeness of the interaction data their systems retain, the availability of computing infrastructure and technical staff, and their data governance arrangements. This study found no evidence on any of these. The evidence it does have supports a limited and specific point: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3B">
      <w:pPr>
        <w:pStyle w:val="Heading2"/>
        <w:keepNext w:val="0"/>
        <w:keepLines w:val="0"/>
        <w:spacing w:after="150" w:before="300" w:lineRule="auto"/>
        <w:rPr/>
      </w:pPr>
      <w:bookmarkStart w:colFirst="0" w:colLast="0" w:name="_heading=h.rev077" w:id="77"/>
      <w:bookmarkEnd w:id="77"/>
      <w:r>
        <w:rPr>
          <w:color w:val="000000"/>
          <w:rtl w:val="0"/>
        </w:rPr>
        <w:t xml:space="preserve">6.11 Limitations of the Findings and Discussion</w:t>
      </w:r>
      <w:r>
        <w:rPr>
          <w:rtl w:val="0"/>
        </w:rPr>
      </w:r>
    </w:p>
    <w:p w:rsidR="00000000" w:rsidDel="00000000" w:rsidP="00000000" w:rsidRDefault="00000000" w:rsidRPr="00000000" w14:paraId="0000033C">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3D">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3E">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rsidR="00000000" w:rsidDel="00000000" w:rsidP="00000000" w:rsidRDefault="00000000" w:rsidRPr="00000000" w14:paraId="0000033F">
      <w:pPr>
        <w:spacing w:after="200" w:lineRule="auto"/>
        <w:jc w:val="both"/>
        <w:rPr/>
      </w:pPr>
      <w:r>
        <w:rPr>
          <w:rtl w:val="0"/>
        </w:rPr>
        <w:t xml:space="preserve">The retrospective construction of the features is the limitation that most directly affects the early-warning purpose motivating this line of research. As Section 6.1 sets out, the features were computed over the full course presentation, so the evaluation establishes retrospective classification using the available OULAD feature set and does not establish performance at a predefined early-warning point. Read every statement in this chapter about identifying students who may be at risk with that qualification.</w:t>
      </w:r>
    </w:p>
    <w:p w:rsidR="00000000" w:rsidDel="00000000" w:rsidP="00000000" w:rsidRDefault="00000000" w:rsidRPr="00000000" w14:paraId="00000340">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The explanation findings therefore rest on cross-method agreement alone, the risk scores have not been shown to be calibrated, and there is no evidence on whether errors are distributed evenly across demographic groups.</w:t>
      </w:r>
    </w:p>
    <w:p w:rsidR="00000000" w:rsidDel="00000000" w:rsidP="00000000" w:rsidRDefault="00000000" w:rsidRPr="00000000" w14:paraId="00000341">
      <w:pPr>
        <w:pStyle w:val="Heading2"/>
        <w:keepNext w:val="0"/>
        <w:keepLines w:val="0"/>
        <w:spacing w:after="150" w:before="300" w:lineRule="auto"/>
        <w:rPr/>
      </w:pPr>
      <w:bookmarkStart w:colFirst="0" w:colLast="0" w:name="_heading=h.rev078" w:id="78"/>
      <w:bookmarkEnd w:id="78"/>
      <w:r>
        <w:rPr>
          <w:color w:val="000000"/>
          <w:rtl w:val="0"/>
        </w:rPr>
        <w:t xml:space="preserve">6.12 Discussion of the Research Questions</w:t>
      </w:r>
      <w:r>
        <w:rPr>
          <w:rtl w:val="0"/>
        </w:rPr>
      </w:r>
    </w:p>
    <w:p w:rsidR="00000000" w:rsidDel="00000000" w:rsidP="00000000" w:rsidRDefault="00000000" w:rsidRPr="00000000" w14:paraId="00000342">
      <w:pPr>
        <w:spacing w:after="200" w:lineRule="auto"/>
        <w:jc w:val="both"/>
        <w:rPr/>
      </w:pPr>
      <w:r>
        <w:rPr>
          <w:b w:val="1"/>
          <w:bCs w:val="1"/>
          <w:rtl w:val="0"/>
        </w:rPr>
        <w:t xml:space="preserve">Research Question 1:</w:t>
      </w:r>
      <w:r>
        <w:rPr>
          <w:rtl w:val="0"/>
        </w:rPr>
        <w:t xml:space="preserve">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343">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another element: the integration exposes checkable disagreement between two attribution methods rather than presenting a single, unexamined ranking, and the clicks_28d_before_deadline artefact shows that inspecting direction alongside magnitude reveals model behaviour that a ranking alone conceals. The answer is bounded in two respects. Transparency concerns the model, not the causes of student outcomes (as discussed in Section 6.2), and whether practitioners experience the resulting interface as more transparent is a separate question this study did not address.</w:t>
      </w:r>
    </w:p>
    <w:p w:rsidR="00000000" w:rsidDel="00000000" w:rsidP="00000000" w:rsidRDefault="00000000" w:rsidRPr="00000000" w14:paraId="00000344">
      <w:pPr>
        <w:spacing w:after="200" w:lineRule="auto"/>
        <w:jc w:val="both"/>
        <w:rPr/>
      </w:pPr>
      <w:r>
        <w:rPr>
          <w:b w:val="1"/>
          <w:bCs w:val="1"/>
          <w:rtl w:val="0"/>
        </w:rPr>
        <w:t xml:space="preserve">Research Question 2:</w:t>
      </w:r>
      <w:r>
        <w:rPr>
          <w:rtl w:val="0"/>
        </w:rPr>
        <w:t xml:space="preserve">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345">
      <w:pPr>
        <w:spacing w:after="200" w:lineRule="auto"/>
        <w:jc w:val="both"/>
        <w:rPr/>
      </w:pPr>
      <w:r>
        <w:rPr>
          <w:rtl w:val="0"/>
        </w:rPr>
        <w:t xml:space="preserve">This question asks what can be specified, and the study specified and implemented a definite answer. Three role-gated views share one reasoning trail component rendered at three levels of aggregation: per-student detail for the instructor, cohort-level aggregation across students at or above the watch threshold for the advisor, and full-population aggregation for the administrator. Each view uses progressive disclosure of attribution detail, and role separation is enforced at both the edge and the API. Each element traces to a stated requirement: the granularity differences to the Agent Model and to the practitioner-need literature reviewed in Chapter 2, the disclosure pattern to the Communication Model and to </w:t>
      </w:r>
      <w:r>
        <w:rPr>
          <w:rtl w:val="0"/>
        </w:rPr>
        <w:t xml:space="preserve">Miller’s </w:t>
      </w:r>
      <w:sdt>
        <w:sdtPr>
          <w:rPr>
            <w:rtl w:val="0"/>
          </w:rPr>
          <w:tag w:val="MENDELEY_CITATION_v3_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"/>
          <w:id w:val="1820684087"/>
        </w:sdtPr>
        <w:sdtContent>
          <w:r>
            <w:rPr>
              <w:rtl w:val="0"/>
            </w:rPr>
            <w:t xml:space="preserve">(2019)</w:t>
          </w:r>
        </w:sdtContent>
      </w:sdt>
      <w:r>
        <w:rPr>
          <w:rtl w:val="0"/>
        </w:rPr>
        <w:t xml:space="preserve"> selectivity property, and the shared component to the Agent Model’s treatment of the roles as differing in the granularity rather than the form of the knowledge they require. The technical evaluation supports this by confirming that the content these views produce is sound, since the attributions each view ultimately displays were shown to be reproducible and traceable, and by identifying the content each role specifically needs, most notably the between-cohort variability that determines the current operating point. The study cannot claim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fully traceable specification, offered as a candidate for empirical validation rather than a validated design.</w:t>
      </w:r>
    </w:p>
    <w:p w:rsidR="00000000" w:rsidDel="00000000" w:rsidP="00000000" w:rsidRDefault="00000000" w:rsidRPr="00000000" w14:paraId="00000346">
      <w:pPr>
        <w:spacing w:after="200" w:lineRule="auto"/>
        <w:jc w:val="both"/>
        <w:rPr/>
      </w:pPr>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r>
    </w:p>
    <w:p w:rsidR="00000000" w:rsidDel="00000000" w:rsidP="00000000" w:rsidRDefault="00000000" w:rsidRPr="00000000" w14:paraId="00000347">
      <w:pPr>
        <w:spacing w:after="200" w:lineRule="auto"/>
        <w:jc w:val="both"/>
        <w:rPr/>
      </w:pPr>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so approximately 86.6% of positive predictions corresponded to observations later labelled at-risk under the study’s outcome definition. A system whose flags were often wrong could not support well-founded interpretation however it presented them, and that failure mode is not present here. Second, the attributions are traceable, human-readable, and cross-checked between two methods, giving a practitioner the means to test a flag against what they independently know rather than only accept or reject it. The measured partial agreement between the two methods may also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The evidence therefore establishes that the technical preconditions for supporting practitioner interpretation and decision-making are in place: accurate predictions and traceable, cross-checked explanations. Whether practitioners trust the system, interpret the reasoning trail as intended, understand more with role differentiation, and make better decisions with the dashboard than without it are questions for a study with practitioners. This thesis provides the verified technical foundation for such a study, not its results.</w:t>
      </w:r>
    </w:p>
    <w:p w:rsidR="00000000" w:rsidDel="00000000" w:rsidP="00000000" w:rsidRDefault="00000000" w:rsidRPr="00000000" w14:paraId="00000348">
      <w:pPr>
        <w:pStyle w:val="Heading2"/>
        <w:keepNext w:val="0"/>
        <w:keepLines w:val="0"/>
        <w:spacing w:after="150" w:before="300" w:lineRule="auto"/>
        <w:rPr/>
      </w:pPr>
      <w:bookmarkStart w:colFirst="0" w:colLast="0" w:name="_heading=h.rev079" w:id="79"/>
      <w:bookmarkEnd w:id="79"/>
      <w:r>
        <w:rPr>
          <w:color w:val="000000"/>
          <w:rtl w:val="0"/>
        </w:rPr>
        <w:t xml:space="preserve">6.13 Chapter Summary</w:t>
      </w:r>
      <w:r>
        <w:rPr>
          <w:rtl w:val="0"/>
        </w:rPr>
      </w:r>
    </w:p>
    <w:p w:rsidR="00000000" w:rsidDel="00000000" w:rsidP="00000000" w:rsidRDefault="00000000" w:rsidRPr="00000000" w14:paraId="00000349">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4A">
      <w:pPr>
        <w:spacing w:after="200" w:lineRule="auto"/>
        <w:jc w:val="both"/>
        <w:rPr/>
      </w:pPr>
      <w:r>
        <w:rPr>
          <w:rtl w:val="0"/>
        </w:rPr>
        <w:t xml:space="preserve">On predictive performance, the interpretation focused on the conditions of the evaluation rather than the magnitude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the figures establish retrospective separability rather than early-warning capability. The variability across the four presentations is the most important single finding for practical use: the operating point varied substantially between held-out presentations, which indicates that it is a property of the cohort as well as the model.</w:t>
      </w:r>
    </w:p>
    <w:p w:rsidR="00000000" w:rsidDel="00000000" w:rsidP="00000000" w:rsidRDefault="00000000" w:rsidRPr="00000000" w14:paraId="0000034B">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4C">
      <w:pPr>
        <w:spacing w:after="200" w:lineRule="auto"/>
        <w:jc w:val="both"/>
        <w:rPr/>
      </w:pPr>
      <w:r>
        <w:rPr>
          <w:rtl w:val="0"/>
        </w:rPr>
        <w:t xml:space="preserve">On role-aware design and CommonKADS, the chapter argued that the framework's value in this study was traceability from institutional context through task decomposition and agent characterisation to interface granularity, producing three differentiated views that share one explanatory structure rather than three separately invented ones. </w:t>
      </w:r>
    </w:p>
    <w:p w:rsidR="00000000" w:rsidDel="00000000" w:rsidP="00000000" w:rsidRDefault="00000000" w:rsidRPr="00000000" w14:paraId="0000034D">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4E">
      <w:pPr>
        <w:spacing w:after="200" w:lineRule="auto"/>
        <w:jc w:val="both"/>
        <w:rPr/>
      </w:pPr>
      <w:r>
        <w:rPr>
          <w:rtl w:val="0"/>
        </w:rPr>
        <w:t xml:space="preserve">Comparison with the literature produced four points. The difference from the highest OULAD results may reflect the stricter evaluation protocol, and the available evidence does not allow it to be attributed solely to model quality. The feature findings are consistent with the OULAD literature and support the deadline-anchored feature construction. The measured SHAP and LIME overlap adds a number to a relationship the educational XAI literature has described qualitatively. No comparable role-aware, staff-facing dashboard was identified in the reviewed literature against which the design could be numerically compared.</w:t>
      </w:r>
    </w:p>
    <w:p w:rsidR="00000000" w:rsidDel="00000000" w:rsidP="00000000" w:rsidRDefault="00000000" w:rsidRPr="00000000" w14:paraId="0000034F">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50">
      <w:pPr>
        <w:pStyle w:val="Heading1"/>
        <w:keepNext w:val="0"/>
        <w:keepLines w:val="0"/>
        <w:pageBreakBefore w:val="1"/>
        <w:jc w:val="center"/>
        <w:rPr/>
      </w:pPr>
      <w:bookmarkStart w:colFirst="0" w:colLast="0" w:name="_heading=h.rev080" w:id="80"/>
      <w:bookmarkEnd w:id="80"/>
      <w:r>
        <w:rPr>
          <w:color w:val="000000"/>
          <w:rtl w:val="0"/>
        </w:rPr>
        <w:t xml:space="preserve">CHAPTER 7</w:t>
      </w:r>
      <w:r>
        <w:rPr>
          <w:rtl w:val="0"/>
        </w:rPr>
      </w:r>
    </w:p>
    <w:p w:rsidR="00000000" w:rsidDel="00000000" w:rsidP="00000000" w:rsidRDefault="00000000" w:rsidRPr="00000000" w14:paraId="00000351">
      <w:pPr>
        <w:pStyle w:val="Heading1"/>
        <w:keepNext w:val="0"/>
        <w:keepLines w:val="0"/>
        <w:jc w:val="center"/>
        <w:rPr/>
      </w:pPr>
      <w:bookmarkStart w:colFirst="0" w:colLast="0" w:name="_heading=h.rev081" w:id="81"/>
      <w:bookmarkEnd w:id="81"/>
      <w:r>
        <w:rPr>
          <w:color w:val="000000"/>
          <w:rtl w:val="0"/>
        </w:rPr>
        <w:t xml:space="preserve">CONCLUSION</w:t>
      </w:r>
      <w:r>
        <w:rPr>
          <w:rtl w:val="0"/>
        </w:rPr>
      </w:r>
    </w:p>
    <w:p w:rsidR="00000000" w:rsidDel="00000000" w:rsidP="00000000" w:rsidRDefault="00000000" w:rsidRPr="00000000" w14:paraId="00000352">
      <w:pPr>
        <w:pStyle w:val="Heading2"/>
        <w:keepNext w:val="0"/>
        <w:keepLines w:val="0"/>
        <w:spacing w:after="150" w:before="300" w:lineRule="auto"/>
        <w:rPr/>
      </w:pPr>
      <w:bookmarkStart w:colFirst="0" w:colLast="0" w:name="_heading=h.rev082" w:id="82"/>
      <w:bookmarkEnd w:id="82"/>
      <w:r>
        <w:rPr>
          <w:color w:val="000000"/>
          <w:rtl w:val="0"/>
        </w:rPr>
        <w:t xml:space="preserve">7.1 Introduction</w:t>
      </w:r>
      <w:r>
        <w:rPr>
          <w:rtl w:val="0"/>
        </w:rPr>
      </w:r>
    </w:p>
    <w:p w:rsidR="00000000" w:rsidDel="00000000" w:rsidP="00000000" w:rsidRDefault="00000000" w:rsidRPr="00000000" w14:paraId="00000353">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outlines the work's contributions and the directions it opens up. The purpose is not to repeat earlier material but to clearly account for what the study established and why it matters for anyone using predictive models responsibly in higher education.</w:t>
      </w:r>
    </w:p>
    <w:p w:rsidR="00000000" w:rsidDel="00000000" w:rsidP="00000000" w:rsidRDefault="00000000" w:rsidRPr="00000000" w14:paraId="00000354">
      <w:pPr>
        <w:pStyle w:val="Heading2"/>
        <w:keepNext w:val="0"/>
        <w:keepLines w:val="0"/>
        <w:spacing w:after="150" w:before="300" w:lineRule="auto"/>
        <w:rPr/>
      </w:pPr>
      <w:bookmarkStart w:colFirst="0" w:colLast="0" w:name="_heading=h.rev083" w:id="83"/>
      <w:bookmarkEnd w:id="83"/>
      <w:r>
        <w:rPr>
          <w:color w:val="000000"/>
          <w:rtl w:val="0"/>
        </w:rPr>
        <w:t xml:space="preserve">7.2 Summary of the Study</w:t>
      </w:r>
      <w:r>
        <w:rPr>
          <w:rtl w:val="0"/>
        </w:rPr>
      </w:r>
    </w:p>
    <w:p w:rsidR="00000000" w:rsidDel="00000000" w:rsidP="00000000" w:rsidRDefault="00000000" w:rsidRPr="00000000" w14:paraId="00000355">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alone changes little. A tutor told that a student has a 70 per cent chance of failing needs to know why the model reached that view, whether the reason is actionable, and what a sensible next step would be. This study explains why the model reached its prediction alongside the prediction itself; it does not recommend interventions, and deciding on a sensible next step remains with the practitioner.</w:t>
      </w:r>
    </w:p>
    <w:p w:rsidR="00000000" w:rsidDel="00000000" w:rsidP="00000000" w:rsidRDefault="00000000" w:rsidRPr="00000000" w14:paraId="00000356">
      <w:pPr>
        <w:spacing w:after="200" w:lineRule="auto"/>
        <w:jc w:val="both"/>
        <w:rPr/>
      </w:pPr>
      <w:r>
        <w:rPr>
          <w:rtl w:val="0"/>
        </w:rPr>
        <w:t xml:space="preserve">To address the problem, this study designed and implemented a role-aware explainable analytics system to predict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57">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study's scope. Each role sees the same underlying prediction with a depth and framing of explanation matched to its questions and responsibilities.</w:t>
      </w:r>
    </w:p>
    <w:p w:rsidR="00000000" w:rsidDel="00000000" w:rsidP="00000000" w:rsidRDefault="00000000" w:rsidRPr="00000000" w14:paraId="00000358">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main design problem was deciding who needs to know what, in what form, and when.</w:t>
      </w:r>
    </w:p>
    <w:p w:rsidR="00000000" w:rsidDel="00000000" w:rsidP="00000000" w:rsidRDefault="00000000" w:rsidRPr="00000000" w14:paraId="00000359">
      <w:pPr>
        <w:spacing w:after="200" w:lineRule="auto"/>
        <w:jc w:val="both"/>
        <w:rPr/>
      </w:pPr>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XGBoost was retained for the prototype because recall was the primary selection criterion: missing a struggling student costs more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p>
    <w:p w:rsidR="00000000" w:rsidDel="00000000" w:rsidP="00000000" w:rsidRDefault="00000000" w:rsidRPr="00000000" w14:paraId="0000035A">
      <w:pPr>
        <w:pStyle w:val="Heading2"/>
        <w:keepNext w:val="0"/>
        <w:keepLines w:val="0"/>
        <w:spacing w:after="150" w:before="300" w:lineRule="auto"/>
        <w:rPr/>
      </w:pPr>
      <w:bookmarkStart w:colFirst="0" w:colLast="0" w:name="_heading=h.rev084" w:id="84"/>
      <w:bookmarkEnd w:id="84"/>
      <w:r>
        <w:rPr>
          <w:color w:val="000000"/>
          <w:rtl w:val="0"/>
        </w:rPr>
        <w:t xml:space="preserve">7.3 Revisiting the Research Questions</w:t>
      </w:r>
      <w:r>
        <w:rPr>
          <w:rtl w:val="0"/>
        </w:rPr>
      </w:r>
    </w:p>
    <w:p w:rsidR="00000000" w:rsidDel="00000000" w:rsidP="00000000" w:rsidRDefault="00000000" w:rsidRPr="00000000" w14:paraId="0000035B">
      <w:pPr>
        <w:pStyle w:val="Heading3"/>
        <w:keepNext w:val="0"/>
        <w:keepLines w:val="0"/>
        <w:spacing w:after="100" w:before="200" w:lineRule="auto"/>
        <w:rPr/>
      </w:pPr>
      <w:bookmarkStart w:colFirst="0" w:colLast="0" w:name="_heading=h.rev085" w:id="85"/>
      <w:bookmarkEnd w:id="85"/>
      <w:r>
        <w:rPr>
          <w:color w:val="000000"/>
          <w:rtl w:val="0"/>
        </w:rPr>
        <w:t xml:space="preserve">7.3.1 First research question</w:t>
      </w:r>
      <w:r>
        <w:rPr>
          <w:rtl w:val="0"/>
        </w:rPr>
      </w:r>
    </w:p>
    <w:p w:rsidR="00000000" w:rsidDel="00000000" w:rsidP="00000000" w:rsidRDefault="00000000" w:rsidRPr="00000000" w14:paraId="0000035C">
      <w:pPr>
        <w:spacing w:after="200" w:lineRule="auto"/>
        <w:jc w:val="both"/>
        <w:rPr/>
      </w:pPr>
      <w:r>
        <w:rPr>
          <w:rtl w:val="0"/>
        </w:rPr>
        <w:t xml:space="preserve">The first question asked how SHAP and LIME could be integrated into a knowledge engineering pipeline to improve transparency in student at-risk prediction. The study provides a working answer at the system-construction level. Both methods were successfully attached to the trained model and produced explanations at two levels: an overall view of which behaviours drive risk across the cohort, and a per-student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5D">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silently choosing one, is intended to make the explanations usable, because users can see where the two methods agree and where they differ.</w:t>
      </w:r>
    </w:p>
    <w:p w:rsidR="00000000" w:rsidDel="00000000" w:rsidP="00000000" w:rsidRDefault="00000000" w:rsidRPr="00000000" w14:paraId="0000035E">
      <w:pPr>
        <w:pStyle w:val="Heading3"/>
        <w:keepNext w:val="0"/>
        <w:keepLines w:val="0"/>
        <w:spacing w:after="100" w:before="200" w:lineRule="auto"/>
        <w:rPr/>
      </w:pPr>
      <w:bookmarkStart w:colFirst="0" w:colLast="0" w:name="_heading=h.rev086" w:id="86"/>
      <w:bookmarkEnd w:id="86"/>
      <w:r>
        <w:rPr>
          <w:color w:val="000000"/>
          <w:rtl w:val="0"/>
        </w:rPr>
        <w:t xml:space="preserve">7.3.2 Second research question</w:t>
      </w:r>
      <w:r>
        <w:rPr>
          <w:rtl w:val="0"/>
        </w:rPr>
      </w:r>
    </w:p>
    <w:p w:rsidR="00000000" w:rsidDel="00000000" w:rsidP="00000000" w:rsidRDefault="00000000" w:rsidRPr="00000000" w14:paraId="0000035F">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allocate limited resources and spot when a module, rather than a student, is the problem. These differences are specified from the Agent Model and the literature and were not tested with users.</w:t>
      </w:r>
    </w:p>
    <w:p w:rsidR="00000000" w:rsidDel="00000000" w:rsidP="00000000" w:rsidRDefault="00000000" w:rsidRPr="00000000" w14:paraId="00000360">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61">
      <w:pPr>
        <w:pStyle w:val="Heading3"/>
        <w:keepNext w:val="0"/>
        <w:keepLines w:val="0"/>
        <w:spacing w:after="100" w:before="200" w:lineRule="auto"/>
        <w:rPr/>
      </w:pPr>
      <w:bookmarkStart w:colFirst="0" w:colLast="0" w:name="_heading=h.rev087" w:id="87"/>
      <w:bookmarkEnd w:id="87"/>
      <w:r>
        <w:rPr>
          <w:color w:val="000000"/>
          <w:rtl w:val="0"/>
        </w:rPr>
        <w:t xml:space="preserve">7.3.3 Third research question</w:t>
      </w:r>
      <w:r>
        <w:rPr>
          <w:rtl w:val="0"/>
        </w:rPr>
      </w:r>
    </w:p>
    <w:p w:rsidR="00000000" w:rsidDel="00000000" w:rsidP="00000000" w:rsidRDefault="00000000" w:rsidRPr="00000000" w14:paraId="00000362">
      <w:pPr>
        <w:spacing w:after="200" w:lineRule="auto"/>
        <w:jc w:val="both"/>
        <w:rPr/>
      </w:pPr>
      <w:r>
        <w:rPr>
          <w:rtl w:val="0"/>
        </w:rPr>
        <w:t xml:space="preserve">The third question asked what the predictive performance and explainability findings indicate about the dashboard's technical potential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63">
      <w:pPr>
        <w:pStyle w:val="Heading2"/>
        <w:keepNext w:val="0"/>
        <w:keepLines w:val="0"/>
        <w:spacing w:after="150" w:before="300" w:lineRule="auto"/>
        <w:rPr/>
      </w:pPr>
      <w:bookmarkStart w:colFirst="0" w:colLast="0" w:name="_heading=h.rev088" w:id="88"/>
      <w:bookmarkEnd w:id="88"/>
      <w:r>
        <w:rPr>
          <w:color w:val="000000"/>
          <w:rtl w:val="0"/>
        </w:rPr>
        <w:t xml:space="preserve">7.4 Contributions of the Study</w:t>
      </w:r>
      <w:r>
        <w:rPr>
          <w:rtl w:val="0"/>
        </w:rPr>
      </w:r>
    </w:p>
    <w:p w:rsidR="00000000" w:rsidDel="00000000" w:rsidP="00000000" w:rsidRDefault="00000000" w:rsidRPr="00000000" w14:paraId="00000364">
      <w:pPr>
        <w:spacing w:after="200" w:lineRule="auto"/>
        <w:jc w:val="both"/>
        <w:rPr/>
      </w:pPr>
      <w:r>
        <w:rPr>
          <w:rtl w:val="0"/>
        </w:rPr>
        <w:t xml:space="preserve">The first contribution is a working demonstration that a single system can deliver prediction and explanation together, rather than treating them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65">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different users' responsibilities and questions, and documents how it arrived at them.</w:t>
      </w:r>
    </w:p>
    <w:p w:rsidR="00000000" w:rsidDel="00000000" w:rsidP="00000000" w:rsidRDefault="00000000" w:rsidRPr="00000000" w14:paraId="00000366">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67">
      <w:pPr>
        <w:spacing w:after="200" w:lineRule="auto"/>
        <w:jc w:val="both"/>
        <w:rPr/>
      </w:pPr>
      <w:r>
        <w:rPr>
          <w:rtl w:val="0"/>
        </w:rPr>
        <w:t xml:space="preserve">The fourth contribution is empirical evidence on explanation behaviour. By measuring agreement between SHAP and LIME at both global and local levels, the study establishes where these methods converge and how they can be combined in a prototype, providing a technical basis for subsequent practitioner evaluation. </w:t>
      </w:r>
    </w:p>
    <w:p w:rsidR="00000000" w:rsidDel="00000000" w:rsidP="00000000" w:rsidRDefault="00000000" w:rsidRPr="00000000" w14:paraId="00000368">
      <w:pPr>
        <w:pStyle w:val="Heading2"/>
        <w:keepNext w:val="0"/>
        <w:keepLines w:val="0"/>
        <w:spacing w:after="150" w:before="300" w:lineRule="auto"/>
        <w:rPr/>
      </w:pPr>
      <w:bookmarkStart w:colFirst="0" w:colLast="0" w:name="_heading=h.rev089" w:id="89"/>
      <w:bookmarkEnd w:id="89"/>
      <w:r>
        <w:rPr>
          <w:color w:val="000000"/>
          <w:rtl w:val="0"/>
        </w:rPr>
        <w:t xml:space="preserve">7.5 Recommendations and Future Work</w:t>
      </w:r>
      <w:r>
        <w:rPr>
          <w:rtl w:val="0"/>
        </w:rPr>
      </w:r>
    </w:p>
    <w:p w:rsidR="00000000" w:rsidDel="00000000" w:rsidP="00000000" w:rsidRDefault="00000000" w:rsidRPr="00000000" w14:paraId="00000369">
      <w:pPr>
        <w:spacing w:after="200" w:lineRule="auto"/>
        <w:jc w:val="both"/>
        <w:rPr/>
      </w:pPr>
      <w:r>
        <w:rPr>
          <w:rtl w:val="0"/>
        </w:rPr>
        <w:t xml:space="preserve">Three items of future work are treated as first-tier priorities, because each addresses a limitation that bears directly on the use of the dashboard.</w:t>
      </w:r>
    </w:p>
    <w:p w:rsidR="00000000" w:rsidDel="00000000" w:rsidP="00000000" w:rsidRDefault="00000000" w:rsidRPr="00000000" w14:paraId="0000036A">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This would establish performance at a predefined early-warning point rather than inferring it from retrospective classification.</w:t>
      </w:r>
    </w:p>
    <w:p w:rsidR="00000000" w:rsidDel="00000000" w:rsidP="00000000" w:rsidRDefault="00000000" w:rsidRPr="00000000" w14:paraId="0000036B">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rsidR="00000000" w:rsidDel="00000000" w:rsidP="00000000" w:rsidRDefault="00000000" w:rsidRPr="00000000" w14:paraId="0000036C">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before the system is used to direct institutional resources. The assessment should also check whether explanation quality holds evenly across student groups.</w:t>
      </w:r>
    </w:p>
    <w:p w:rsidR="00000000" w:rsidDel="00000000" w:rsidP="00000000" w:rsidRDefault="00000000" w:rsidRPr="00000000" w14:paraId="0000036D">
      <w:pPr>
        <w:spacing w:after="200" w:lineRule="auto"/>
        <w:jc w:val="both"/>
        <w:rPr/>
      </w:pPr>
      <w:r>
        <w:rPr>
          <w:rtl w:val="0"/>
        </w:rPr>
        <w:t xml:space="preserve">Beyond these three priorities, evaluation with practitioners is the next opportunity. A study with instructors, academic advisors, and administrators would show how the role-specific views are read in practice and how the explanations shape action. It could draw on the perceived usefulness and perceived ease of use constructs of TAM, which this thesis used only as a design lens.</w:t>
      </w:r>
    </w:p>
    <w:p w:rsidR="00000000" w:rsidDel="00000000" w:rsidP="00000000" w:rsidRDefault="00000000" w:rsidRPr="00000000" w14:paraId="0000036E">
      <w:pPr>
        <w:spacing w:after="200" w:lineRule="auto"/>
        <w:jc w:val="both"/>
        <w:rPr/>
      </w:pPr>
      <w:r>
        <w:rPr>
          <w:rtl w:val="0"/>
        </w:rPr>
        <w:t xml:space="preserve">The approach should also be applied to data from other institutions and modes of study, extending the design's reach and identifying which patterns generalise across settings.</w:t>
      </w:r>
    </w:p>
    <w:p w:rsidR="00000000" w:rsidDel="00000000" w:rsidP="00000000" w:rsidRDefault="00000000" w:rsidRPr="00000000" w14:paraId="0000036F">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70">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71">
      <w:pPr>
        <w:spacing w:after="200" w:lineRule="auto"/>
        <w:jc w:val="both"/>
        <w:rPr/>
      </w:pPr>
      <w:r>
        <w:rPr>
          <w:rtl w:val="0"/>
        </w:rPr>
        <w:t xml:space="preserve">Finally, deploying against live activity data raises questions of timing, drift, and refresh that a retrospective dataset cannot expose, and addressing them is the natural path to institutional use.</w:t>
      </w:r>
    </w:p>
    <w:p w:rsidR="00000000" w:rsidDel="00000000" w:rsidP="00000000" w:rsidRDefault="00000000" w:rsidRPr="00000000" w14:paraId="00000372">
      <w:pPr>
        <w:pStyle w:val="Heading2"/>
        <w:keepNext w:val="0"/>
        <w:keepLines w:val="0"/>
        <w:spacing w:after="150" w:before="300" w:lineRule="auto"/>
        <w:rPr/>
      </w:pPr>
      <w:bookmarkStart w:colFirst="0" w:colLast="0" w:name="_heading=h.rev090" w:id="90"/>
      <w:bookmarkEnd w:id="90"/>
      <w:r>
        <w:rPr>
          <w:color w:val="000000"/>
          <w:rtl w:val="0"/>
        </w:rPr>
        <w:t xml:space="preserve">7.6 Concluding Remarks</w:t>
      </w:r>
      <w:r>
        <w:rPr>
          <w:rtl w:val="0"/>
        </w:rPr>
      </w:r>
    </w:p>
    <w:p w:rsidR="00000000" w:rsidDel="00000000" w:rsidP="00000000" w:rsidRDefault="00000000" w:rsidRPr="00000000" w14:paraId="00000373">
      <w:pPr>
        <w:spacing w:after="200" w:lineRule="auto"/>
        <w:jc w:val="both"/>
        <w:rPr/>
      </w:pPr>
      <w:r>
        <w:rPr>
          <w:rtl w:val="0"/>
        </w:rPr>
        <w:t xml:space="preserve">This study set out to connect a high-performing model to the person who must act on its output, approaching this by treating prediction, explanation, and role as one design problem rather than three. The model performed strongly on retrospective classification, the explanations were coherent and consistent with what is known about study behaviour, and the dashboard presents both at the aggregation level specified for each staff role. 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374">
      <w:pPr>
        <w:pStyle w:val="Heading1"/>
        <w:keepNext w:val="0"/>
        <w:keepLines w:val="0"/>
        <w:pageBreakBefore w:val="1"/>
        <w:rPr/>
      </w:pPr>
      <w:bookmarkStart w:colFirst="0" w:colLast="0" w:name="_heading=h.n1za1d6wl04w" w:id="91"/>
      <w:bookmarkEnd w:id="91"/>
      <w:r>
        <w:rPr>
          <w:color w:val="000000"/>
          <w:rtl w:val="0"/>
        </w:rPr>
        <w:t xml:space="preserve">REFERENCES</w:t>
      </w:r>
      <w:r>
        <w:rPr>
          <w:rtl w:val="0"/>
        </w:rPr>
      </w:r>
    </w:p>
    <w:sdt>
      <w:sdtPr>
        <w:tag w:val="MENDELEY_BIBLIOGRAPHY"/>
        <w:id w:val="-321525671"/>
      </w:sdtPr>
      <w:sdtContent>
        <w:p>
          <w:pPr>
            <w:spacing w:after="160" w:lineRule="auto"/>
            <w:ind w:left="720" w:hanging="720"/>
            <w:jc w:val="left"/>
            <w:rPr/>
          </w:pPr>
          <w:r>
            <w:rPr>
              <w:rtl w:val="0"/>
            </w:rPr>
            <w:t xml:space="preserve">Adadi, A., &amp; Berrada, M. (2018). Peeking inside the black-box: A survey on explainable artificial intelligence (XAI). </w:t>
          </w:r>
          <w:r>
            <w:rPr>
              <w:i w:val="1"/>
              <w:iCs w:val="1"/>
              <w:rtl w:val="0"/>
            </w:rPr>
            <w:t xml:space="preserve">IEEE Access</w:t>
          </w:r>
          <w:r>
            <w:rPr>
              <w:rtl w:val="0"/>
            </w:rPr>
            <w:t xml:space="preserve">, </w:t>
          </w:r>
          <w:r>
            <w:rPr>
              <w:i w:val="1"/>
              <w:iCs w:val="1"/>
              <w:rtl w:val="0"/>
            </w:rPr>
            <w:t xml:space="preserve">6</w:t>
          </w:r>
          <w:r>
            <w:rPr>
              <w:rtl w:val="0"/>
            </w:rPr>
            <w:t xml:space="preserve">, 52138–52160. https://doi.org/10.1109/ACCESS.2018.2870052</w:t>
          </w:r>
        </w:p>
        <w:p>
          <w:pPr>
            <w:spacing w:after="160" w:lineRule="auto"/>
            <w:ind w:left="720" w:hanging="720"/>
            <w:jc w:val="left"/>
            <w:rPr/>
          </w:pPr>
          <w:r>
            <w:rPr>
              <w:rtl w:val="0"/>
            </w:rPr>
            <w:t xml:space="preserve">Adnan, M., Habib, A., Ashraf, J., Mussadiq, S., Raza, A. A., Abid, M., Bashir, M., &amp; Khan, S. U. (2021). Predicting at-risk students at different percentages of course length for early intervention using machine learning models. </w:t>
          </w:r>
          <w:r>
            <w:rPr>
              <w:i w:val="1"/>
              <w:iCs w:val="1"/>
              <w:rtl w:val="0"/>
            </w:rPr>
            <w:t xml:space="preserve">IEEE Access</w:t>
          </w:r>
          <w:r>
            <w:rPr>
              <w:rtl w:val="0"/>
            </w:rPr>
            <w:t xml:space="preserve">, </w:t>
          </w:r>
          <w:r>
            <w:rPr>
              <w:i w:val="1"/>
              <w:iCs w:val="1"/>
              <w:rtl w:val="0"/>
            </w:rPr>
            <w:t xml:space="preserve">9</w:t>
          </w:r>
          <w:r>
            <w:rPr>
              <w:rtl w:val="0"/>
            </w:rPr>
            <w:t xml:space="preserve">, 7519–7539. https://doi.org/10.1109/ACCESS.2021.3049446</w:t>
          </w:r>
        </w:p>
        <w:p>
          <w:pPr>
            <w:spacing w:after="160" w:lineRule="auto"/>
            <w:ind w:left="720" w:hanging="720"/>
            <w:jc w:val="left"/>
            <w:rPr/>
          </w:pPr>
          <w:r>
            <w:rPr>
              <w:rtl w:val="0"/>
            </w:rPr>
            <w:t xml:space="preserve">Afzaal, M., Nouri, J., Zia, A., Papapetrou, P., Fors, U., Wu, Y., Li, X., &amp; Weegar, R. (2021). Explainable AI for data-driven feedback and intelligent action recommendations to support students self-regulation. </w:t>
          </w:r>
          <w:r>
            <w:rPr>
              <w:i w:val="1"/>
              <w:iCs w:val="1"/>
              <w:rtl w:val="0"/>
            </w:rPr>
            <w:t xml:space="preserve">Frontiers in Artificial Intelligence</w:t>
          </w:r>
          <w:r>
            <w:rPr>
              <w:rtl w:val="0"/>
            </w:rPr>
            <w:t xml:space="preserve">, </w:t>
          </w:r>
          <w:r>
            <w:rPr>
              <w:i w:val="1"/>
              <w:iCs w:val="1"/>
              <w:rtl w:val="0"/>
            </w:rPr>
            <w:t xml:space="preserve">4</w:t>
          </w:r>
          <w:r>
            <w:rPr>
              <w:rtl w:val="0"/>
            </w:rPr>
            <w:t xml:space="preserve">, Article 723447. https://doi.org/10.3389/frai.2021.723447</w:t>
          </w:r>
        </w:p>
        <w:p>
          <w:pPr>
            <w:spacing w:after="160" w:lineRule="auto"/>
            <w:ind w:left="720" w:hanging="720"/>
            <w:jc w:val="left"/>
            <w:rPr/>
          </w:pPr>
          <w:r>
            <w:rPr>
              <w:rtl w:val="0"/>
            </w:rPr>
            <w:t xml:space="preserve">Ahmed, W., Wani, M. A., Plawiak, P., Meshoul, S., Mahmoud, A., &amp; Hammad, M. (2025). Machine learning-based academic performance prediction with explainability for enhanced decision-making in educational institutions. </w:t>
          </w:r>
          <w:r>
            <w:rPr>
              <w:i w:val="1"/>
              <w:iCs w:val="1"/>
              <w:rtl w:val="0"/>
            </w:rPr>
            <w:t xml:space="preserve">Scientific Reports</w:t>
          </w:r>
          <w:r>
            <w:rPr>
              <w:rtl w:val="0"/>
            </w:rPr>
            <w:t xml:space="preserve">, </w:t>
          </w:r>
          <w:r>
            <w:rPr>
              <w:i w:val="1"/>
              <w:iCs w:val="1"/>
              <w:rtl w:val="0"/>
            </w:rPr>
            <w:t xml:space="preserve">15</w:t>
          </w:r>
          <w:r>
            <w:rPr>
              <w:rtl w:val="0"/>
            </w:rPr>
            <w:t xml:space="preserve">(1), Article 26879. https://doi.org/10.1038/s41598-025-12353-4</w:t>
          </w:r>
        </w:p>
        <w:p>
          <w:pPr>
            <w:spacing w:after="160" w:lineRule="auto"/>
            <w:ind w:left="720" w:hanging="720"/>
            <w:jc w:val="left"/>
            <w:rPr/>
          </w:pPr>
          <w:r>
            <w:rPr>
              <w:rtl w:val="0"/>
            </w:rPr>
            <w:t xml:space="preserve">Al-Ansari, N., Al-Thani, D., &amp; Al-Mansoori, R. S. (2024). User-centered evaluation of explainable artificial intelligence (XAI): A systematic literature review. </w:t>
          </w:r>
          <w:r>
            <w:rPr>
              <w:i w:val="1"/>
              <w:iCs w:val="1"/>
              <w:rtl w:val="0"/>
            </w:rPr>
            <w:t xml:space="preserve">Human Behavior and Emerging Technologies</w:t>
          </w:r>
          <w:r>
            <w:rPr>
              <w:rtl w:val="0"/>
            </w:rPr>
            <w:t xml:space="preserve">, </w:t>
          </w:r>
          <w:r>
            <w:rPr>
              <w:i w:val="1"/>
              <w:iCs w:val="1"/>
              <w:rtl w:val="0"/>
            </w:rPr>
            <w:t xml:space="preserve">2024</w:t>
          </w:r>
          <w:r>
            <w:rPr>
              <w:rtl w:val="0"/>
            </w:rPr>
            <w:t xml:space="preserve">(1), Article 4628855. https://doi.org/10.1155/2024/4628855</w:t>
          </w:r>
        </w:p>
        <w:p>
          <w:pPr>
            <w:spacing w:after="160" w:lineRule="auto"/>
            <w:ind w:left="720" w:hanging="720"/>
            <w:jc w:val="left"/>
            <w:rPr/>
          </w:pPr>
          <w:r>
            <w:rPr>
              <w:rtl w:val="0"/>
            </w:rPr>
            <w:t xml:space="preserve">Albreiki, B., Zaki, N., &amp; Alashwal, H. (2021). A systematic literature review of student’ performance prediction using machine learning techniques. </w:t>
          </w:r>
          <w:r>
            <w:rPr>
              <w:i w:val="1"/>
              <w:iCs w:val="1"/>
              <w:rtl w:val="0"/>
            </w:rPr>
            <w:t xml:space="preserve">Education Sciences</w:t>
          </w:r>
          <w:r>
            <w:rPr>
              <w:rtl w:val="0"/>
            </w:rPr>
            <w:t xml:space="preserve">, </w:t>
          </w:r>
          <w:r>
            <w:rPr>
              <w:i w:val="1"/>
              <w:iCs w:val="1"/>
              <w:rtl w:val="0"/>
            </w:rPr>
            <w:t xml:space="preserve">11</w:t>
          </w:r>
          <w:r>
            <w:rPr>
              <w:rtl w:val="0"/>
            </w:rPr>
            <w:t xml:space="preserve">(9), 552. https://doi.org/10.3390/educsci11090552</w:t>
          </w:r>
        </w:p>
        <w:p>
          <w:pPr>
            <w:spacing w:after="160" w:lineRule="auto"/>
            <w:ind w:left="720" w:hanging="720"/>
            <w:jc w:val="left"/>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w:t>
          </w:r>
          <w:r>
            <w:rPr>
              <w:i w:val="1"/>
              <w:iCs w:val="1"/>
              <w:rtl w:val="0"/>
            </w:rPr>
            <w:t xml:space="preserve">Information Fusion</w:t>
          </w:r>
          <w:r>
            <w:rPr>
              <w:rtl w:val="0"/>
            </w:rPr>
            <w:t xml:space="preserve">, </w:t>
          </w:r>
          <w:r>
            <w:rPr>
              <w:i w:val="1"/>
              <w:iCs w:val="1"/>
              <w:rtl w:val="0"/>
            </w:rPr>
            <w:t xml:space="preserve">99</w:t>
          </w:r>
          <w:r>
            <w:rPr>
              <w:rtl w:val="0"/>
            </w:rPr>
            <w:t xml:space="preserve">, Article 101805. https://doi.org/10.1016/j.inffus.2023.101805</w:t>
          </w:r>
        </w:p>
        <w:p>
          <w:pPr>
            <w:spacing w:after="160" w:lineRule="auto"/>
            <w:ind w:left="720" w:hanging="720"/>
            <w:jc w:val="left"/>
            <w:rPr/>
          </w:pPr>
          <w:r>
            <w:rPr>
              <w:rtl w:val="0"/>
            </w:rPr>
            <w:t xml:space="preserve">Aljohani, N. R., Fayoumi, A., &amp; Hassan, S.-U. (2019). Predicting at-risk students using clickstream data in the virtual learning environment. </w:t>
          </w:r>
          <w:r>
            <w:rPr>
              <w:i w:val="1"/>
              <w:iCs w:val="1"/>
              <w:rtl w:val="0"/>
            </w:rPr>
            <w:t xml:space="preserve">Sustainability</w:t>
          </w:r>
          <w:r>
            <w:rPr>
              <w:rtl w:val="0"/>
            </w:rPr>
            <w:t xml:space="preserve">, </w:t>
          </w:r>
          <w:r>
            <w:rPr>
              <w:i w:val="1"/>
              <w:iCs w:val="1"/>
              <w:rtl w:val="0"/>
            </w:rPr>
            <w:t xml:space="preserve">11</w:t>
          </w:r>
          <w:r>
            <w:rPr>
              <w:rtl w:val="0"/>
            </w:rPr>
            <w:t xml:space="preserve">(24), 7238. https://doi.org/10.3390/su11247238</w:t>
          </w:r>
        </w:p>
        <w:p>
          <w:pPr>
            <w:spacing w:after="160" w:lineRule="auto"/>
            <w:ind w:left="720" w:hanging="720"/>
            <w:jc w:val="left"/>
            <w:rPr/>
          </w:pPr>
          <w:r>
            <w:rPr>
              <w:rtl w:val="0"/>
            </w:rPr>
            <w:t xml:space="preserve">Baker, R. S., &amp; Hawn, A. (2022). Algorithmic bias in education. </w:t>
          </w:r>
          <w:r>
            <w:rPr>
              <w:i w:val="1"/>
              <w:iCs w:val="1"/>
              <w:rtl w:val="0"/>
            </w:rPr>
            <w:t xml:space="preserve">International Journal of Artificial Intelligence in Education</w:t>
          </w:r>
          <w:r>
            <w:rPr>
              <w:rtl w:val="0"/>
            </w:rPr>
            <w:t xml:space="preserve">, </w:t>
          </w:r>
          <w:r>
            <w:rPr>
              <w:i w:val="1"/>
              <w:iCs w:val="1"/>
              <w:rtl w:val="0"/>
            </w:rPr>
            <w:t xml:space="preserve">32</w:t>
          </w:r>
          <w:r>
            <w:rPr>
              <w:rtl w:val="0"/>
            </w:rPr>
            <w:t xml:space="preserve">(4), 1052–1092. https://doi.org/10.1007/s40593-021-00285-9</w:t>
          </w:r>
        </w:p>
        <w:p>
          <w:pPr>
            <w:spacing w:after="160" w:lineRule="auto"/>
            <w:ind w:left="720" w:hanging="720"/>
            <w:jc w:val="left"/>
            <w:rPr/>
          </w:pPr>
          <w:r>
            <w:rPr>
              <w:rtl w:val="0"/>
            </w:rPr>
            <w:t xml:space="preserve">Barredo Arrieta, A., Díaz-Rodríguez, N., Del Ser, J., Bennetot, A., Tabik, S., Barbado, A., García, S., Gil-López, S., Molina, D., Benjamins, R., Chatila, R., &amp; Herrera, F. (2020). Explainable Artificial Intelligence (XAI): Concepts, taxonomies, opportunities and challenges toward responsible AI. </w:t>
          </w:r>
          <w:r>
            <w:rPr>
              <w:i w:val="1"/>
              <w:iCs w:val="1"/>
              <w:rtl w:val="0"/>
            </w:rPr>
            <w:t xml:space="preserve">Information Fusion</w:t>
          </w:r>
          <w:r>
            <w:rPr>
              <w:rtl w:val="0"/>
            </w:rPr>
            <w:t xml:space="preserve">, </w:t>
          </w:r>
          <w:r>
            <w:rPr>
              <w:i w:val="1"/>
              <w:iCs w:val="1"/>
              <w:rtl w:val="0"/>
            </w:rPr>
            <w:t xml:space="preserve">58</w:t>
          </w:r>
          <w:r>
            <w:rPr>
              <w:rtl w:val="0"/>
            </w:rPr>
            <w:t xml:space="preserve">, 82–115. https://doi.org/10.1016/j.inffus.2019.12.012</w:t>
          </w:r>
        </w:p>
        <w:p>
          <w:pPr>
            <w:spacing w:after="160" w:lineRule="auto"/>
            <w:ind w:left="720" w:hanging="720"/>
            <w:jc w:val="left"/>
            <w:rPr/>
          </w:pPr>
          <w:r>
            <w:rPr>
              <w:rtl w:val="0"/>
            </w:rPr>
            <w:t xml:space="preserve">Bass, L., Clements, P., &amp; Kazman, R. (2021). </w:t>
          </w:r>
          <w:r>
            <w:rPr>
              <w:i w:val="1"/>
              <w:iCs w:val="1"/>
              <w:rtl w:val="0"/>
            </w:rPr>
            <w:t xml:space="preserve">Software architecture in practice</w:t>
          </w:r>
          <w:r>
            <w:rPr>
              <w:rtl w:val="0"/>
            </w:rPr>
            <w:t xml:space="preserve"> (4th ed.). Addison-Wesley.</w:t>
          </w:r>
        </w:p>
        <w:p>
          <w:pPr>
            <w:spacing w:after="160" w:lineRule="auto"/>
            <w:ind w:left="720" w:hanging="720"/>
            <w:jc w:val="left"/>
            <w:rPr/>
          </w:pPr>
          <w:r>
            <w:rPr>
              <w:rtl w:val="0"/>
            </w:rPr>
            <w:t xml:space="preserve">Bergstra, J., Bardenet, R., Bengio, Y., &amp; Kégl, B. (2011). Algorithms for hyper-parameter optimization. </w:t>
          </w:r>
          <w:r>
            <w:rPr>
              <w:i w:val="1"/>
              <w:iCs w:val="1"/>
              <w:rtl w:val="0"/>
            </w:rPr>
            <w:t xml:space="preserve">Advances in Neural Information Processing Systems</w:t>
          </w:r>
          <w:r>
            <w:rPr>
              <w:rtl w:val="0"/>
            </w:rPr>
            <w:t xml:space="preserve">, </w:t>
          </w:r>
          <w:r>
            <w:rPr>
              <w:i w:val="1"/>
              <w:iCs w:val="1"/>
              <w:rtl w:val="0"/>
            </w:rPr>
            <w:t xml:space="preserve">24</w:t>
          </w:r>
          <w:r>
            <w:rPr>
              <w:rtl w:val="0"/>
            </w:rPr>
            <w:t xml:space="preserve">, 2546–2554. https://proceedings.neurips.cc/paper/2011/hash/86e8f7ab32cfd12577bc2619bc635690-Abstract.html</w:t>
          </w:r>
        </w:p>
        <w:p>
          <w:pPr>
            <w:spacing w:after="160" w:lineRule="auto"/>
            <w:ind w:left="720" w:hanging="720"/>
            <w:jc w:val="left"/>
            <w:rPr/>
          </w:pPr>
          <w:r>
            <w:rPr>
              <w:rtl w:val="0"/>
            </w:rPr>
            <w:t xml:space="preserve">Bodily, R., &amp; Verbert, K. (2017). Review of research on student-facing learning analytics dashboards and educational recommender systems. </w:t>
          </w:r>
          <w:r>
            <w:rPr>
              <w:i w:val="1"/>
              <w:iCs w:val="1"/>
              <w:rtl w:val="0"/>
            </w:rPr>
            <w:t xml:space="preserve">IEEE Transactions on Learning Technologies</w:t>
          </w:r>
          <w:r>
            <w:rPr>
              <w:rtl w:val="0"/>
            </w:rPr>
            <w:t xml:space="preserve">, </w:t>
          </w:r>
          <w:r>
            <w:rPr>
              <w:i w:val="1"/>
              <w:iCs w:val="1"/>
              <w:rtl w:val="0"/>
            </w:rPr>
            <w:t xml:space="preserve">10</w:t>
          </w:r>
          <w:r>
            <w:rPr>
              <w:rtl w:val="0"/>
            </w:rPr>
            <w:t xml:space="preserve">(4), 405–418. https://doi.org/10.1109/TLT.2017.2740172</w:t>
          </w:r>
        </w:p>
        <w:p>
          <w:pPr>
            <w:spacing w:after="160" w:lineRule="auto"/>
            <w:ind w:left="720" w:hanging="720"/>
            <w:jc w:val="left"/>
            <w:rPr/>
          </w:pPr>
          <w:r>
            <w:rPr>
              <w:rtl w:val="0"/>
            </w:rPr>
            <w:t xml:space="preserve">Booch, G., Rumbaugh, J., &amp; Jacobson, I. (2005). </w:t>
          </w:r>
          <w:r>
            <w:rPr>
              <w:i w:val="1"/>
              <w:iCs w:val="1"/>
              <w:rtl w:val="0"/>
            </w:rPr>
            <w:t xml:space="preserve">The Unified Modeling Language user guide</w:t>
          </w:r>
          <w:r>
            <w:rPr>
              <w:rtl w:val="0"/>
            </w:rPr>
            <w:t xml:space="preserve"> (2nd ed.). Addison-Wesley.</w:t>
          </w:r>
        </w:p>
        <w:p>
          <w:pPr>
            <w:spacing w:after="160" w:lineRule="auto"/>
            <w:ind w:left="720" w:hanging="720"/>
            <w:jc w:val="left"/>
            <w:rPr/>
          </w:pPr>
          <w:r>
            <w:rPr>
              <w:rtl w:val="0"/>
            </w:rPr>
            <w:t xml:space="preserve">Brdnik, S., Podgorelec, V., &amp; Šumak, B. (2023). Assessing perceived trust and satisfaction with multiple explanation techniques in XAI-enhanced learning analytics. </w:t>
          </w:r>
          <w:r>
            <w:rPr>
              <w:i w:val="1"/>
              <w:iCs w:val="1"/>
              <w:rtl w:val="0"/>
            </w:rPr>
            <w:t xml:space="preserve">Electronics</w:t>
          </w:r>
          <w:r>
            <w:rPr>
              <w:rtl w:val="0"/>
            </w:rPr>
            <w:t xml:space="preserve">, </w:t>
          </w:r>
          <w:r>
            <w:rPr>
              <w:i w:val="1"/>
              <w:iCs w:val="1"/>
              <w:rtl w:val="0"/>
            </w:rPr>
            <w:t xml:space="preserve">12</w:t>
          </w:r>
          <w:r>
            <w:rPr>
              <w:rtl w:val="0"/>
            </w:rPr>
            <w:t xml:space="preserve">(12), 2594. https://doi.org/10.3390/electronics12122594</w:t>
          </w:r>
        </w:p>
        <w:p>
          <w:pPr>
            <w:spacing w:after="160" w:lineRule="auto"/>
            <w:ind w:left="720" w:hanging="720"/>
            <w:jc w:val="left"/>
            <w:rPr/>
          </w:pPr>
          <w:r>
            <w:rPr>
              <w:rtl w:val="0"/>
            </w:rPr>
            <w:t xml:space="preserve">Breiman, L. (2001). Random forests. </w:t>
          </w:r>
          <w:r>
            <w:rPr>
              <w:i w:val="1"/>
              <w:iCs w:val="1"/>
              <w:rtl w:val="0"/>
            </w:rPr>
            <w:t xml:space="preserve">Machine Learning</w:t>
          </w:r>
          <w:r>
            <w:rPr>
              <w:rtl w:val="0"/>
            </w:rPr>
            <w:t xml:space="preserve">, </w:t>
          </w:r>
          <w:r>
            <w:rPr>
              <w:i w:val="1"/>
              <w:iCs w:val="1"/>
              <w:rtl w:val="0"/>
            </w:rPr>
            <w:t xml:space="preserve">45</w:t>
          </w:r>
          <w:r>
            <w:rPr>
              <w:rtl w:val="0"/>
            </w:rPr>
            <w:t xml:space="preserve">(1), 5–32. https://doi.org/10.1023/A:1010933404324</w:t>
          </w:r>
        </w:p>
        <w:p>
          <w:pPr>
            <w:spacing w:after="160" w:lineRule="auto"/>
            <w:ind w:left="720" w:hanging="720"/>
            <w:jc w:val="left"/>
            <w:rPr/>
          </w:pPr>
          <w:r>
            <w:rPr>
              <w:rtl w:val="0"/>
            </w:rPr>
            <w:t xml:space="preserve">Cabral, L., Pinto, R., &amp; Gonçalves, G. (2025). AI-powered learning analytics dashboards: A systematic review of applications, techniques, and research gaps. </w:t>
          </w:r>
          <w:r>
            <w:rPr>
              <w:i w:val="1"/>
              <w:iCs w:val="1"/>
              <w:rtl w:val="0"/>
            </w:rPr>
            <w:t xml:space="preserve">Discover Education</w:t>
          </w:r>
          <w:r>
            <w:rPr>
              <w:rtl w:val="0"/>
            </w:rPr>
            <w:t xml:space="preserve">, </w:t>
          </w:r>
          <w:r>
            <w:rPr>
              <w:i w:val="1"/>
              <w:iCs w:val="1"/>
              <w:rtl w:val="0"/>
            </w:rPr>
            <w:t xml:space="preserve">4</w:t>
          </w:r>
          <w:r>
            <w:rPr>
              <w:rtl w:val="0"/>
            </w:rPr>
            <w:t xml:space="preserve">(1), Article 525. https://doi.org/10.1007/s44217-025-00964-y</w:t>
          </w:r>
        </w:p>
        <w:p>
          <w:pPr>
            <w:spacing w:after="160" w:lineRule="auto"/>
            <w:ind w:left="720" w:hanging="720"/>
            <w:jc w:val="left"/>
            <w:rPr/>
          </w:pPr>
          <w:r>
            <w:rPr>
              <w:rtl w:val="0"/>
            </w:rPr>
            <w:t xml:space="preserve">Chatti, M. A., Dyckhoff, A. L., Schroeder, U., &amp; Thüs, H. (2012). A reference model for learning analytics. </w:t>
          </w:r>
          <w:r>
            <w:rPr>
              <w:i w:val="1"/>
              <w:iCs w:val="1"/>
              <w:rtl w:val="0"/>
            </w:rPr>
            <w:t xml:space="preserve">International Journal of Technology Enhanced Learning</w:t>
          </w:r>
          <w:r>
            <w:rPr>
              <w:rtl w:val="0"/>
            </w:rPr>
            <w:t xml:space="preserve">, </w:t>
          </w:r>
          <w:r>
            <w:rPr>
              <w:i w:val="1"/>
              <w:iCs w:val="1"/>
              <w:rtl w:val="0"/>
            </w:rPr>
            <w:t xml:space="preserve">4</w:t>
          </w:r>
          <w:r>
            <w:rPr>
              <w:rtl w:val="0"/>
            </w:rPr>
            <w:t xml:space="preserve">(5/6), 318–331. https://doi.org/10.1504/IJTEL.2012.051815</w:t>
          </w:r>
        </w:p>
        <w:p>
          <w:pPr>
            <w:spacing w:after="160" w:lineRule="auto"/>
            <w:ind w:left="720" w:hanging="720"/>
            <w:jc w:val="left"/>
            <w:rPr/>
          </w:pPr>
          <w:r>
            <w:rPr>
              <w:rtl w:val="0"/>
            </w:rPr>
            <w:t xml:space="preserve">Chavan, P., &amp; Mitra, R. (2022). Tcherly: A teacher-facing dashboard for online video lectures. </w:t>
          </w:r>
          <w:r>
            <w:rPr>
              <w:i w:val="1"/>
              <w:iCs w:val="1"/>
              <w:rtl w:val="0"/>
            </w:rPr>
            <w:t xml:space="preserve">Journal of Learning Analytics</w:t>
          </w:r>
          <w:r>
            <w:rPr>
              <w:rtl w:val="0"/>
            </w:rPr>
            <w:t xml:space="preserve">, </w:t>
          </w:r>
          <w:r>
            <w:rPr>
              <w:i w:val="1"/>
              <w:iCs w:val="1"/>
              <w:rtl w:val="0"/>
            </w:rPr>
            <w:t xml:space="preserve">9</w:t>
          </w:r>
          <w:r>
            <w:rPr>
              <w:rtl w:val="0"/>
            </w:rPr>
            <w:t xml:space="preserve">(3), 125–151. https://doi.org/10.18608/jla.2022.7555</w:t>
          </w:r>
        </w:p>
        <w:p>
          <w:pPr>
            <w:spacing w:after="160" w:lineRule="auto"/>
            <w:ind w:left="720" w:hanging="720"/>
            <w:jc w:val="left"/>
            <w:rPr/>
          </w:pPr>
          <w:r>
            <w:rPr>
              <w:rtl w:val="0"/>
            </w:rPr>
            <w:t xml:space="preserve">Chawla, N. V., Bowyer, K. W., Hall, L. O., &amp; Kegelmeyer, W. P. (2002). SMOTE: Synthetic minority over-sampling technique. </w:t>
          </w:r>
          <w:r>
            <w:rPr>
              <w:i w:val="1"/>
              <w:iCs w:val="1"/>
              <w:rtl w:val="0"/>
            </w:rPr>
            <w:t xml:space="preserve">Journal of Artificial Intelligence Research</w:t>
          </w:r>
          <w:r>
            <w:rPr>
              <w:rtl w:val="0"/>
            </w:rPr>
            <w:t xml:space="preserve">, </w:t>
          </w:r>
          <w:r>
            <w:rPr>
              <w:i w:val="1"/>
              <w:iCs w:val="1"/>
              <w:rtl w:val="0"/>
            </w:rPr>
            <w:t xml:space="preserve">16</w:t>
          </w:r>
          <w:r>
            <w:rPr>
              <w:rtl w:val="0"/>
            </w:rPr>
            <w:t xml:space="preserve">, 321–357. https://doi.org/10.1613/jair.953</w:t>
          </w:r>
        </w:p>
        <w:p>
          <w:pPr>
            <w:spacing w:after="160" w:lineRule="auto"/>
            <w:ind w:left="720" w:hanging="720"/>
            <w:jc w:val="left"/>
            <w:rPr/>
          </w:pPr>
          <w:r>
            <w:rPr>
              <w:rtl w:val="0"/>
            </w:rPr>
            <w:t xml:space="preserve">Chen, F., &amp; Cui, Y. (2020). Utilizing student time series behaviour in learning management systems for early prediction of course performance. </w:t>
          </w:r>
          <w:r>
            <w:rPr>
              <w:i w:val="1"/>
              <w:iCs w:val="1"/>
              <w:rtl w:val="0"/>
            </w:rPr>
            <w:t xml:space="preserve">Journal of Learning Analytics</w:t>
          </w:r>
          <w:r>
            <w:rPr>
              <w:rtl w:val="0"/>
            </w:rPr>
            <w:t xml:space="preserve">, </w:t>
          </w:r>
          <w:r>
            <w:rPr>
              <w:i w:val="1"/>
              <w:iCs w:val="1"/>
              <w:rtl w:val="0"/>
            </w:rPr>
            <w:t xml:space="preserve">7</w:t>
          </w:r>
          <w:r>
            <w:rPr>
              <w:rtl w:val="0"/>
            </w:rPr>
            <w:t xml:space="preserve">(2), 1–17. https://doi.org/10.18608/jla.2020.72.1</w:t>
          </w:r>
        </w:p>
        <w:p>
          <w:pPr>
            <w:spacing w:after="160" w:lineRule="auto"/>
            <w:ind w:left="720" w:hanging="720"/>
            <w:jc w:val="left"/>
            <w:rPr/>
          </w:pPr>
          <w:r>
            <w:rPr>
              <w:rtl w:val="0"/>
            </w:rPr>
            <w:t xml:space="preserve">Chen, T., &amp; Guestrin, C. (2016). XGBoost: A scalable tree boosting system. </w:t>
          </w:r>
          <w:r>
            <w:rPr>
              <w:i w:val="1"/>
              <w:iCs w:val="1"/>
              <w:rtl w:val="0"/>
            </w:rPr>
            <w:t xml:space="preserve">Proceedings of the 22nd ACM SIGKDD International Conference on Knowledge Discovery and Data Mining</w:t>
          </w:r>
          <w:r>
            <w:rPr>
              <w:rtl w:val="0"/>
            </w:rPr>
            <w:t xml:space="preserve">, 785–794. https://doi.org/10.1145/2939672.2939785</w:t>
          </w:r>
        </w:p>
        <w:p>
          <w:pPr>
            <w:spacing w:after="160" w:lineRule="auto"/>
            <w:ind w:left="720" w:hanging="720"/>
            <w:jc w:val="left"/>
            <w:rPr/>
          </w:pPr>
          <w:r>
            <w:rPr>
              <w:rtl w:val="0"/>
            </w:rPr>
            <w:t xml:space="preserve">Chicco, D., &amp; Jurman, G. (2020). The advantages of the Matthews correlation coefficient (MCC) over F1 score and accuracy in binary classification evaluation. </w:t>
          </w:r>
          <w:r>
            <w:rPr>
              <w:i w:val="1"/>
              <w:iCs w:val="1"/>
              <w:rtl w:val="0"/>
            </w:rPr>
            <w:t xml:space="preserve">BMC Genomics</w:t>
          </w:r>
          <w:r>
            <w:rPr>
              <w:rtl w:val="0"/>
            </w:rPr>
            <w:t xml:space="preserve">, </w:t>
          </w:r>
          <w:r>
            <w:rPr>
              <w:i w:val="1"/>
              <w:iCs w:val="1"/>
              <w:rtl w:val="0"/>
            </w:rPr>
            <w:t xml:space="preserve">21</w:t>
          </w:r>
          <w:r>
            <w:rPr>
              <w:rtl w:val="0"/>
            </w:rPr>
            <w:t xml:space="preserve">(1), Article 6. https://doi.org/10.1186/s12864-019-6413-7</w:t>
          </w:r>
        </w:p>
        <w:p>
          <w:pPr>
            <w:spacing w:after="160" w:lineRule="auto"/>
            <w:ind w:left="720" w:hanging="720"/>
            <w:jc w:val="left"/>
            <w:rPr/>
          </w:pPr>
          <w:r>
            <w:rPr>
              <w:rtl w:val="0"/>
            </w:rPr>
            <w:t xml:space="preserve">Conati, C., Barral, O., Putnam, V., &amp; Rieger, L. (2021). Toward personalized XAI: A case study in intelligent tutoring systems. </w:t>
          </w:r>
          <w:r>
            <w:rPr>
              <w:i w:val="1"/>
              <w:iCs w:val="1"/>
              <w:rtl w:val="0"/>
            </w:rPr>
            <w:t xml:space="preserve">Artificial Intelligence</w:t>
          </w:r>
          <w:r>
            <w:rPr>
              <w:rtl w:val="0"/>
            </w:rPr>
            <w:t xml:space="preserve">, </w:t>
          </w:r>
          <w:r>
            <w:rPr>
              <w:i w:val="1"/>
              <w:iCs w:val="1"/>
              <w:rtl w:val="0"/>
            </w:rPr>
            <w:t xml:space="preserve">298</w:t>
          </w:r>
          <w:r>
            <w:rPr>
              <w:rtl w:val="0"/>
            </w:rPr>
            <w:t xml:space="preserve">, Article 103503. https://doi.org/10.1016/j.artint.2021.103503</w:t>
          </w:r>
        </w:p>
        <w:p>
          <w:pPr>
            <w:spacing w:after="160" w:lineRule="auto"/>
            <w:ind w:left="720" w:hanging="720"/>
            <w:jc w:val="left"/>
            <w:rPr/>
          </w:pPr>
          <w:r>
            <w:rPr>
              <w:rtl w:val="0"/>
            </w:rPr>
            <w:t xml:space="preserve">Davis, F. D. (1989). Perceived usefulness, perceived ease of use, and user acceptance of information technology. </w:t>
          </w:r>
          <w:r>
            <w:rPr>
              <w:i w:val="1"/>
              <w:iCs w:val="1"/>
              <w:rtl w:val="0"/>
            </w:rPr>
            <w:t xml:space="preserve">MIS Quarterly</w:t>
          </w:r>
          <w:r>
            <w:rPr>
              <w:rtl w:val="0"/>
            </w:rPr>
            <w:t xml:space="preserve">, </w:t>
          </w:r>
          <w:r>
            <w:rPr>
              <w:i w:val="1"/>
              <w:iCs w:val="1"/>
              <w:rtl w:val="0"/>
            </w:rPr>
            <w:t xml:space="preserve">13</w:t>
          </w:r>
          <w:r>
            <w:rPr>
              <w:rtl w:val="0"/>
            </w:rPr>
            <w:t xml:space="preserve">(3), 319–340. https://doi.org/10.2307/249008</w:t>
          </w:r>
        </w:p>
        <w:p>
          <w:pPr>
            <w:spacing w:after="160" w:lineRule="auto"/>
            <w:ind w:left="720" w:hanging="720"/>
            <w:jc w:val="left"/>
            <w:rPr/>
          </w:pPr>
          <w:r>
            <w:rPr>
              <w:rtl w:val="0"/>
            </w:rPr>
            <w:t xml:space="preserve">Doshi-Velez, F., &amp; Kim, B. (2017). </w:t>
          </w:r>
          <w:r>
            <w:rPr>
              <w:i w:val="1"/>
              <w:iCs w:val="1"/>
              <w:rtl w:val="0"/>
            </w:rPr>
            <w:t xml:space="preserve">Towards a rigorous science of interpretable machine learning</w:t>
          </w:r>
          <w:r>
            <w:rPr>
              <w:rtl w:val="0"/>
            </w:rPr>
            <w:t xml:space="preserve"> (arXiv:1702.08608). arXiv. https://doi.org/10.48550/arXiv.1702.08608</w:t>
          </w:r>
        </w:p>
        <w:p>
          <w:pPr>
            <w:spacing w:after="160" w:lineRule="auto"/>
            <w:ind w:left="720" w:hanging="720"/>
            <w:jc w:val="left"/>
            <w:rPr/>
          </w:pPr>
          <w:r>
            <w:rPr>
              <w:rtl w:val="0"/>
            </w:rPr>
            <w:t xml:space="preserve">Ehsan, U., Liao, Q. V., Muller, M., Riedl, M. O., &amp; Weisz, J. D. (2021). Expanding explainability: Towards social transparency in AI systems. </w:t>
          </w:r>
          <w:r>
            <w:rPr>
              <w:i w:val="1"/>
              <w:iCs w:val="1"/>
              <w:rtl w:val="0"/>
            </w:rPr>
            <w:t xml:space="preserve">Proceedings of the 2021 CHI Conference on Human Factors in Computing Systems</w:t>
          </w:r>
          <w:r>
            <w:rPr>
              <w:rtl w:val="0"/>
            </w:rPr>
            <w:t xml:space="preserve">, 1–19. https://doi.org/10.1145/3411764.3445188</w:t>
          </w:r>
        </w:p>
        <w:p>
          <w:pPr>
            <w:spacing w:after="160" w:lineRule="auto"/>
            <w:ind w:left="720" w:hanging="720"/>
            <w:jc w:val="left"/>
            <w:rPr/>
          </w:pPr>
          <w:r>
            <w:rPr>
              <w:rtl w:val="0"/>
            </w:rPr>
            <w:t xml:space="preserve">Ferguson, R. (2012). Learning analytics: Drivers, developments and challenges. </w:t>
          </w:r>
          <w:r>
            <w:rPr>
              <w:i w:val="1"/>
              <w:iCs w:val="1"/>
              <w:rtl w:val="0"/>
            </w:rPr>
            <w:t xml:space="preserve">International Journal of Technology Enhanced Learning</w:t>
          </w:r>
          <w:r>
            <w:rPr>
              <w:rtl w:val="0"/>
            </w:rPr>
            <w:t xml:space="preserve">, </w:t>
          </w:r>
          <w:r>
            <w:rPr>
              <w:i w:val="1"/>
              <w:iCs w:val="1"/>
              <w:rtl w:val="0"/>
            </w:rPr>
            <w:t xml:space="preserve">4</w:t>
          </w:r>
          <w:r>
            <w:rPr>
              <w:rtl w:val="0"/>
            </w:rPr>
            <w:t xml:space="preserve">(5/6), 304–317. https://doi.org/10.1504/IJTEL.2012.051816</w:t>
          </w:r>
        </w:p>
        <w:p>
          <w:pPr>
            <w:spacing w:after="160" w:lineRule="auto"/>
            <w:ind w:left="720" w:hanging="720"/>
            <w:jc w:val="left"/>
            <w:rPr/>
          </w:pPr>
          <w:r>
            <w:rPr>
              <w:rtl w:val="0"/>
            </w:rPr>
            <w:t xml:space="preserve">Fernández, A., García, S., Herrera, F., &amp; Chawla, N. V. (2018). SMOTE for learning from imbalanced data: Progress and challenges, marking the 15-year anniversary. </w:t>
          </w:r>
          <w:r>
            <w:rPr>
              <w:i w:val="1"/>
              <w:iCs w:val="1"/>
              <w:rtl w:val="0"/>
            </w:rPr>
            <w:t xml:space="preserve">Journal of Artificial Intelligence Research</w:t>
          </w:r>
          <w:r>
            <w:rPr>
              <w:rtl w:val="0"/>
            </w:rPr>
            <w:t xml:space="preserve">, </w:t>
          </w:r>
          <w:r>
            <w:rPr>
              <w:i w:val="1"/>
              <w:iCs w:val="1"/>
              <w:rtl w:val="0"/>
            </w:rPr>
            <w:t xml:space="preserve">61</w:t>
          </w:r>
          <w:r>
            <w:rPr>
              <w:rtl w:val="0"/>
            </w:rPr>
            <w:t xml:space="preserve">, 863–905. https://doi.org/10.1613/jair.1.11192</w:t>
          </w:r>
        </w:p>
        <w:p>
          <w:pPr>
            <w:spacing w:after="160" w:lineRule="auto"/>
            <w:ind w:left="720" w:hanging="720"/>
            <w:jc w:val="left"/>
            <w:rPr/>
          </w:pPr>
          <w:r>
            <w:rPr>
              <w:rtl w:val="0"/>
            </w:rPr>
            <w:t xml:space="preserve">Friedman, J. H. (2001). Greedy function approximation: A gradient boosting machine. </w:t>
          </w:r>
          <w:r>
            <w:rPr>
              <w:i w:val="1"/>
              <w:iCs w:val="1"/>
              <w:rtl w:val="0"/>
            </w:rPr>
            <w:t xml:space="preserve">The Annals of Statistics</w:t>
          </w:r>
          <w:r>
            <w:rPr>
              <w:rtl w:val="0"/>
            </w:rPr>
            <w:t xml:space="preserve">, </w:t>
          </w:r>
          <w:r>
            <w:rPr>
              <w:i w:val="1"/>
              <w:iCs w:val="1"/>
              <w:rtl w:val="0"/>
            </w:rPr>
            <w:t xml:space="preserve">29</w:t>
          </w:r>
          <w:r>
            <w:rPr>
              <w:rtl w:val="0"/>
            </w:rPr>
            <w:t xml:space="preserve">(5), 1189–1232. https://doi.org/10.1214/aos/1013203451</w:t>
          </w:r>
        </w:p>
        <w:p>
          <w:pPr>
            <w:spacing w:after="160" w:lineRule="auto"/>
            <w:ind w:left="720" w:hanging="720"/>
            <w:jc w:val="left"/>
            <w:rPr/>
          </w:pPr>
          <w:r>
            <w:rPr>
              <w:rtl w:val="0"/>
            </w:rPr>
            <w:t xml:space="preserve">Gašević, D., Dawson, S., &amp; Siemens, G. (2015). Let’s not forget: Learning analytics are about learning. </w:t>
          </w:r>
          <w:r>
            <w:rPr>
              <w:i w:val="1"/>
              <w:iCs w:val="1"/>
              <w:rtl w:val="0"/>
            </w:rPr>
            <w:t xml:space="preserve">TechTrends</w:t>
          </w:r>
          <w:r>
            <w:rPr>
              <w:rtl w:val="0"/>
            </w:rPr>
            <w:t xml:space="preserve">, </w:t>
          </w:r>
          <w:r>
            <w:rPr>
              <w:i w:val="1"/>
              <w:iCs w:val="1"/>
              <w:rtl w:val="0"/>
            </w:rPr>
            <w:t xml:space="preserve">59</w:t>
          </w:r>
          <w:r>
            <w:rPr>
              <w:rtl w:val="0"/>
            </w:rPr>
            <w:t xml:space="preserve">(1), 64–71. https://doi.org/10.1007/s11528-014-0822-x</w:t>
          </w:r>
        </w:p>
        <w:p>
          <w:pPr>
            <w:spacing w:after="160" w:lineRule="auto"/>
            <w:ind w:left="720" w:hanging="720"/>
            <w:jc w:val="left"/>
            <w:rPr/>
          </w:pPr>
          <w:r>
            <w:rPr>
              <w:rtl w:val="0"/>
            </w:rPr>
            <w:t xml:space="preserve">Guevara-Reyes, R., Ortiz-Garcés, I., Andrade, R., Cox-Riquetti, F., &amp; Villegas-Ch, W. (2025). Machine learning models for academic performance prediction: Interpretability and application in educational decision-making. </w:t>
          </w:r>
          <w:r>
            <w:rPr>
              <w:i w:val="1"/>
              <w:iCs w:val="1"/>
              <w:rtl w:val="0"/>
            </w:rPr>
            <w:t xml:space="preserve">Frontiers in Education</w:t>
          </w:r>
          <w:r>
            <w:rPr>
              <w:rtl w:val="0"/>
            </w:rPr>
            <w:t xml:space="preserve">, </w:t>
          </w:r>
          <w:r>
            <w:rPr>
              <w:i w:val="1"/>
              <w:iCs w:val="1"/>
              <w:rtl w:val="0"/>
            </w:rPr>
            <w:t xml:space="preserve">10</w:t>
          </w:r>
          <w:r>
            <w:rPr>
              <w:rtl w:val="0"/>
            </w:rPr>
            <w:t xml:space="preserve">, Article 1632315. https://doi.org/10.3389/feduc.2025.1632315</w:t>
          </w:r>
        </w:p>
        <w:p>
          <w:pPr>
            <w:spacing w:after="160" w:lineRule="auto"/>
            <w:ind w:left="720" w:hanging="720"/>
            <w:jc w:val="left"/>
            <w:rPr/>
          </w:pPr>
          <w:r>
            <w:rPr>
              <w:rtl w:val="0"/>
            </w:rPr>
            <w:t xml:space="preserve">Guidotti, R., Monreale, A., Ruggieri, S., Turini, F., Giannotti, F., &amp; Pedreschi, D. (2019). A survey of methods for explaining black box models. </w:t>
          </w:r>
          <w:r>
            <w:rPr>
              <w:i w:val="1"/>
              <w:iCs w:val="1"/>
              <w:rtl w:val="0"/>
            </w:rPr>
            <w:t xml:space="preserve">ACM Computing Surveys</w:t>
          </w:r>
          <w:r>
            <w:rPr>
              <w:rtl w:val="0"/>
            </w:rPr>
            <w:t xml:space="preserve">, </w:t>
          </w:r>
          <w:r>
            <w:rPr>
              <w:i w:val="1"/>
              <w:iCs w:val="1"/>
              <w:rtl w:val="0"/>
            </w:rPr>
            <w:t xml:space="preserve">51</w:t>
          </w:r>
          <w:r>
            <w:rPr>
              <w:rtl w:val="0"/>
            </w:rPr>
            <w:t xml:space="preserve">(5), Article 93. https://doi.org/10.1145/3236009</w:t>
          </w:r>
        </w:p>
        <w:p>
          <w:pPr>
            <w:spacing w:after="160" w:lineRule="auto"/>
            <w:ind w:left="720" w:hanging="720"/>
            <w:jc w:val="left"/>
            <w:rPr/>
          </w:pPr>
          <w:r>
            <w:rPr>
              <w:rtl w:val="0"/>
            </w:rPr>
            <w:t xml:space="preserve">Gunasekara, S., &amp; Saarela, M. (2024). Explainability in educational data mining and learning analytics: An umbrella review. In B. Paaßen &amp; C. Demmans Epp (Eds.), </w:t>
          </w:r>
          <w:r>
            <w:rPr>
              <w:i w:val="1"/>
              <w:iCs w:val="1"/>
              <w:rtl w:val="0"/>
            </w:rPr>
            <w:t xml:space="preserve">Proceedings of the 17th International Conference on Educational Data Mining</w:t>
          </w:r>
          <w:r>
            <w:rPr>
              <w:rtl w:val="0"/>
            </w:rPr>
            <w:t xml:space="preserve"> (pp. 887–892). International Educational Data Mining Society. https://doi.org/10.5281/zenodo.12729987</w:t>
          </w:r>
        </w:p>
        <w:p>
          <w:pPr>
            <w:spacing w:after="160" w:lineRule="auto"/>
            <w:ind w:left="720" w:hanging="720"/>
            <w:jc w:val="left"/>
            <w:rPr/>
          </w:pPr>
          <w:r>
            <w:rPr>
              <w:rtl w:val="0"/>
            </w:rPr>
            <w:t xml:space="preserve">Gunasekara, S., &amp; Saarela, M. (2025). Explainable AI in education: Techniques and qualitative assessment. </w:t>
          </w:r>
          <w:r>
            <w:rPr>
              <w:i w:val="1"/>
              <w:iCs w:val="1"/>
              <w:rtl w:val="0"/>
            </w:rPr>
            <w:t xml:space="preserve">Applied Sciences</w:t>
          </w:r>
          <w:r>
            <w:rPr>
              <w:rtl w:val="0"/>
            </w:rPr>
            <w:t xml:space="preserve">, </w:t>
          </w:r>
          <w:r>
            <w:rPr>
              <w:i w:val="1"/>
              <w:iCs w:val="1"/>
              <w:rtl w:val="0"/>
            </w:rPr>
            <w:t xml:space="preserve">15</w:t>
          </w:r>
          <w:r>
            <w:rPr>
              <w:rtl w:val="0"/>
            </w:rPr>
            <w:t xml:space="preserve">(3), 1239. https://doi.org/10.3390/app15031239</w:t>
          </w:r>
        </w:p>
        <w:p>
          <w:pPr>
            <w:spacing w:after="160" w:lineRule="auto"/>
            <w:ind w:left="720" w:hanging="720"/>
            <w:jc w:val="left"/>
            <w:rPr/>
          </w:pPr>
          <w:r>
            <w:rPr>
              <w:rtl w:val="0"/>
            </w:rPr>
            <w:t xml:space="preserve">Gundersen, O. E., &amp; Kjensmo, S. (2018). State of the art: Reproducibility in artificial intelligence. </w:t>
          </w:r>
          <w:r>
            <w:rPr>
              <w:i w:val="1"/>
              <w:iCs w:val="1"/>
              <w:rtl w:val="0"/>
            </w:rPr>
            <w:t xml:space="preserve">Proceedings of the AAAI Conference on Artificial Intelligence</w:t>
          </w:r>
          <w:r>
            <w:rPr>
              <w:rtl w:val="0"/>
            </w:rPr>
            <w:t xml:space="preserve">, </w:t>
          </w:r>
          <w:r>
            <w:rPr>
              <w:i w:val="1"/>
              <w:iCs w:val="1"/>
              <w:rtl w:val="0"/>
            </w:rPr>
            <w:t xml:space="preserve">32</w:t>
          </w:r>
          <w:r>
            <w:rPr>
              <w:rtl w:val="0"/>
            </w:rPr>
            <w:t xml:space="preserve">(1), 1644–1651. https://doi.org/10.1609/aaai.v32i1.11503</w:t>
          </w:r>
        </w:p>
        <w:p>
          <w:pPr>
            <w:spacing w:after="160" w:lineRule="auto"/>
            <w:ind w:left="720" w:hanging="720"/>
            <w:jc w:val="left"/>
            <w:rPr/>
          </w:pPr>
          <w:r>
            <w:rPr>
              <w:rtl w:val="0"/>
            </w:rPr>
            <w:t xml:space="preserve">Gunning, D., &amp; Aha, D. W. (2019). DARPA’s explainable artificial intelligence (XAI) program. </w:t>
          </w:r>
          <w:r>
            <w:rPr>
              <w:i w:val="1"/>
              <w:iCs w:val="1"/>
              <w:rtl w:val="0"/>
            </w:rPr>
            <w:t xml:space="preserve">AI Magazine</w:t>
          </w:r>
          <w:r>
            <w:rPr>
              <w:rtl w:val="0"/>
            </w:rPr>
            <w:t xml:space="preserve">, </w:t>
          </w:r>
          <w:r>
            <w:rPr>
              <w:i w:val="1"/>
              <w:iCs w:val="1"/>
              <w:rtl w:val="0"/>
            </w:rPr>
            <w:t xml:space="preserve">40</w:t>
          </w:r>
          <w:r>
            <w:rPr>
              <w:rtl w:val="0"/>
            </w:rPr>
            <w:t xml:space="preserve">(2), 44–58. https://doi.org/10.1609/aimag.v40i2.2850</w:t>
          </w:r>
        </w:p>
        <w:p>
          <w:pPr>
            <w:spacing w:after="160" w:lineRule="auto"/>
            <w:ind w:left="720" w:hanging="720"/>
            <w:jc w:val="left"/>
            <w:rPr/>
          </w:pPr>
          <w:r>
            <w:rPr>
              <w:rtl w:val="0"/>
            </w:rPr>
            <w:t xml:space="preserve">Guo, C., Pleiss, G., Sun, Y., &amp; Weinberger, K. Q. (2017). On calibration of modern neural networks. </w:t>
          </w:r>
          <w:r>
            <w:rPr>
              <w:i w:val="1"/>
              <w:iCs w:val="1"/>
              <w:rtl w:val="0"/>
            </w:rPr>
            <w:t xml:space="preserve">Proceedings of the 34th International Conference on Machine Learning, Proceedings of Machine Learning Research</w:t>
          </w:r>
          <w:r>
            <w:rPr>
              <w:rtl w:val="0"/>
            </w:rPr>
            <w:t xml:space="preserve">, </w:t>
          </w:r>
          <w:r>
            <w:rPr>
              <w:i w:val="1"/>
              <w:iCs w:val="1"/>
              <w:rtl w:val="0"/>
            </w:rPr>
            <w:t xml:space="preserve">70</w:t>
          </w:r>
          <w:r>
            <w:rPr>
              <w:rtl w:val="0"/>
            </w:rPr>
            <w:t xml:space="preserve">, 1321–1330. https://proceedings.mlr.press/v70/guo17a.html</w:t>
          </w:r>
        </w:p>
        <w:p>
          <w:pPr>
            <w:spacing w:after="160" w:lineRule="auto"/>
            <w:ind w:left="720" w:hanging="720"/>
            <w:jc w:val="left"/>
            <w:rPr/>
          </w:pPr>
          <w:r>
            <w:rPr>
              <w:rtl w:val="0"/>
            </w:rPr>
            <w:t xml:space="preserve">Gutiérrez, F., Seipp, K., Ochoa, X., Chiluiza, K., De Laet, T., &amp; Verbert, K. (2020). LADA: A learning analytics dashboard for academic advising. </w:t>
          </w:r>
          <w:r>
            <w:rPr>
              <w:i w:val="1"/>
              <w:iCs w:val="1"/>
              <w:rtl w:val="0"/>
            </w:rPr>
            <w:t xml:space="preserve">Computers in Human Behavior</w:t>
          </w:r>
          <w:r>
            <w:rPr>
              <w:rtl w:val="0"/>
            </w:rPr>
            <w:t xml:space="preserve">, </w:t>
          </w:r>
          <w:r>
            <w:rPr>
              <w:i w:val="1"/>
              <w:iCs w:val="1"/>
              <w:rtl w:val="0"/>
            </w:rPr>
            <w:t xml:space="preserve">107</w:t>
          </w:r>
          <w:r>
            <w:rPr>
              <w:rtl w:val="0"/>
            </w:rPr>
            <w:t xml:space="preserve">, Article 105826. https://doi.org/10.1016/j.chb.2018.12.004</w:t>
          </w:r>
        </w:p>
        <w:p>
          <w:pPr>
            <w:spacing w:after="160" w:lineRule="auto"/>
            <w:ind w:left="720" w:hanging="720"/>
            <w:jc w:val="left"/>
            <w:rPr/>
          </w:pPr>
          <w:r>
            <w:rPr>
              <w:rtl w:val="0"/>
            </w:rPr>
            <w:t xml:space="preserve">Haque, A. B., Islam, A. K. M. N., &amp; Mikalef, P. (2023). Explainable artificial intelligence (XAI) from a user perspective: A synthesis of prior literature and problematizing avenues for future research. </w:t>
          </w:r>
          <w:r>
            <w:rPr>
              <w:i w:val="1"/>
              <w:iCs w:val="1"/>
              <w:rtl w:val="0"/>
            </w:rPr>
            <w:t xml:space="preserve">Technological Forecasting and Social Change</w:t>
          </w:r>
          <w:r>
            <w:rPr>
              <w:rtl w:val="0"/>
            </w:rPr>
            <w:t xml:space="preserve">, </w:t>
          </w:r>
          <w:r>
            <w:rPr>
              <w:i w:val="1"/>
              <w:iCs w:val="1"/>
              <w:rtl w:val="0"/>
            </w:rPr>
            <w:t xml:space="preserve">186</w:t>
          </w:r>
          <w:r>
            <w:rPr>
              <w:rtl w:val="0"/>
            </w:rPr>
            <w:t xml:space="preserve">, Article 122120. https://doi.org/10.1016/j.techfore.2022.122120</w:t>
          </w:r>
        </w:p>
        <w:p>
          <w:pPr>
            <w:spacing w:after="160" w:lineRule="auto"/>
            <w:ind w:left="720" w:hanging="720"/>
            <w:jc w:val="left"/>
            <w:rPr/>
          </w:pPr>
          <w:r>
            <w:rPr>
              <w:rtl w:val="0"/>
            </w:rPr>
            <w:t xml:space="preserve">Hardt, M., Price, E., &amp; Srebro, N. (2016). Equality of opportunity in supervised learning. </w:t>
          </w:r>
          <w:r>
            <w:rPr>
              <w:i w:val="1"/>
              <w:iCs w:val="1"/>
              <w:rtl w:val="0"/>
            </w:rPr>
            <w:t xml:space="preserve">Advances in Neural Information Processing Systems</w:t>
          </w:r>
          <w:r>
            <w:rPr>
              <w:rtl w:val="0"/>
            </w:rPr>
            <w:t xml:space="preserve">, </w:t>
          </w:r>
          <w:r>
            <w:rPr>
              <w:i w:val="1"/>
              <w:iCs w:val="1"/>
              <w:rtl w:val="0"/>
            </w:rPr>
            <w:t xml:space="preserve">29</w:t>
          </w:r>
          <w:r>
            <w:rPr>
              <w:rtl w:val="0"/>
            </w:rPr>
            <w:t xml:space="preserve">, 3315–3323. https://proceedings.neurips.cc/paper/2016/hash/6a9659feb1216f14f7384ba499518b38-Abstract.html</w:t>
          </w:r>
        </w:p>
        <w:p>
          <w:pPr>
            <w:spacing w:after="160" w:lineRule="auto"/>
            <w:ind w:left="720" w:hanging="720"/>
            <w:jc w:val="left"/>
            <w:rPr/>
          </w:pPr>
          <w:r>
            <w:rPr>
              <w:rtl w:val="0"/>
            </w:rPr>
            <w:t xml:space="preserve">Hassan, S.-U., Waheed, H., Aljohani, N. R., Ali, M., Ventura, S., &amp; Herrera, F. (2019). Virtual learning environment to predict withdrawal by leveraging deep learning. </w:t>
          </w:r>
          <w:r>
            <w:rPr>
              <w:i w:val="1"/>
              <w:iCs w:val="1"/>
              <w:rtl w:val="0"/>
            </w:rPr>
            <w:t xml:space="preserve">International Journal of Intelligent Systems</w:t>
          </w:r>
          <w:r>
            <w:rPr>
              <w:rtl w:val="0"/>
            </w:rPr>
            <w:t xml:space="preserve">, </w:t>
          </w:r>
          <w:r>
            <w:rPr>
              <w:i w:val="1"/>
              <w:iCs w:val="1"/>
              <w:rtl w:val="0"/>
            </w:rPr>
            <w:t xml:space="preserve">34</w:t>
          </w:r>
          <w:r>
            <w:rPr>
              <w:rtl w:val="0"/>
            </w:rPr>
            <w:t xml:space="preserve">(8), 1935–1952. https://doi.org/10.1002/int.22129</w:t>
          </w:r>
        </w:p>
        <w:p>
          <w:pPr>
            <w:spacing w:after="160" w:lineRule="auto"/>
            <w:ind w:left="720" w:hanging="720"/>
            <w:jc w:val="left"/>
            <w:rPr/>
          </w:pPr>
          <w:r>
            <w:rPr>
              <w:rtl w:val="0"/>
            </w:rPr>
            <w:t xml:space="preserve">Hernández-Leo, D., Martinez-Maldonado, R., Pardo, A., Muñoz-Cristóbal, J. A., &amp; Rodríguez-Triana, M. J. (2019). Analytics for learning design: A layered framework and tools. </w:t>
          </w:r>
          <w:r>
            <w:rPr>
              <w:i w:val="1"/>
              <w:iCs w:val="1"/>
              <w:rtl w:val="0"/>
            </w:rPr>
            <w:t xml:space="preserve">British Journal of Educational Technology</w:t>
          </w:r>
          <w:r>
            <w:rPr>
              <w:rtl w:val="0"/>
            </w:rPr>
            <w:t xml:space="preserve">, </w:t>
          </w:r>
          <w:r>
            <w:rPr>
              <w:i w:val="1"/>
              <w:iCs w:val="1"/>
              <w:rtl w:val="0"/>
            </w:rPr>
            <w:t xml:space="preserve">50</w:t>
          </w:r>
          <w:r>
            <w:rPr>
              <w:rtl w:val="0"/>
            </w:rPr>
            <w:t xml:space="preserve">(1), 139–152. https://doi.org/10.1111/bjet.12645</w:t>
          </w:r>
        </w:p>
        <w:p>
          <w:pPr>
            <w:spacing w:after="160" w:lineRule="auto"/>
            <w:ind w:left="720" w:hanging="720"/>
            <w:jc w:val="left"/>
            <w:rPr/>
          </w:pPr>
          <w:r>
            <w:rPr>
              <w:rtl w:val="0"/>
            </w:rPr>
            <w:t xml:space="preserve">Hevner, A. R., March, S. T., Park, J., &amp; Ram, S. (2004). Design science in information systems research. </w:t>
          </w:r>
          <w:r>
            <w:rPr>
              <w:i w:val="1"/>
              <w:iCs w:val="1"/>
              <w:rtl w:val="0"/>
            </w:rPr>
            <w:t xml:space="preserve">MIS Quarterly</w:t>
          </w:r>
          <w:r>
            <w:rPr>
              <w:rtl w:val="0"/>
            </w:rPr>
            <w:t xml:space="preserve">, </w:t>
          </w:r>
          <w:r>
            <w:rPr>
              <w:i w:val="1"/>
              <w:iCs w:val="1"/>
              <w:rtl w:val="0"/>
            </w:rPr>
            <w:t xml:space="preserve">28</w:t>
          </w:r>
          <w:r>
            <w:rPr>
              <w:rtl w:val="0"/>
            </w:rPr>
            <w:t xml:space="preserve">(1), 75–106. https://doi.org/10.2307/25148625</w:t>
          </w:r>
        </w:p>
        <w:p>
          <w:pPr>
            <w:spacing w:after="160" w:lineRule="auto"/>
            <w:ind w:left="720" w:hanging="720"/>
            <w:jc w:val="left"/>
            <w:rPr/>
          </w:pPr>
          <w:r>
            <w:rPr>
              <w:rtl w:val="0"/>
            </w:rPr>
            <w:t xml:space="preserve">Hlosta, M., Zdrahal, Z., &amp; Zendulka, J. (2017). Ouroboros: Early identification of at-risk students without models based on legacy data. </w:t>
          </w:r>
          <w:r>
            <w:rPr>
              <w:i w:val="1"/>
              <w:iCs w:val="1"/>
              <w:rtl w:val="0"/>
            </w:rPr>
            <w:t xml:space="preserve">Proceedings of the Seventh International Learning Analytics &amp; Knowledge Conference</w:t>
          </w:r>
          <w:r>
            <w:rPr>
              <w:rtl w:val="0"/>
            </w:rPr>
            <w:t xml:space="preserve">, 6–15. https://doi.org/10.1145/3027385.3027449</w:t>
          </w:r>
        </w:p>
        <w:p>
          <w:pPr>
            <w:spacing w:after="160" w:lineRule="auto"/>
            <w:ind w:left="720" w:hanging="720"/>
            <w:jc w:val="left"/>
            <w:rPr/>
          </w:pPr>
          <w:r>
            <w:rPr>
              <w:rtl w:val="0"/>
            </w:rPr>
            <w:t xml:space="preserve">Hooshyar, D., &amp; Yang, Y. (2024). Problems with SHAP and LIME in interpretable AI for education: A comparative study of post-hoc explanations and neural-symbolic rule extraction. </w:t>
          </w:r>
          <w:r>
            <w:rPr>
              <w:i w:val="1"/>
              <w:iCs w:val="1"/>
              <w:rtl w:val="0"/>
            </w:rPr>
            <w:t xml:space="preserve">IEEE Access</w:t>
          </w:r>
          <w:r>
            <w:rPr>
              <w:rtl w:val="0"/>
            </w:rPr>
            <w:t xml:space="preserve">, </w:t>
          </w:r>
          <w:r>
            <w:rPr>
              <w:i w:val="1"/>
              <w:iCs w:val="1"/>
              <w:rtl w:val="0"/>
            </w:rPr>
            <w:t xml:space="preserve">12</w:t>
          </w:r>
          <w:r>
            <w:rPr>
              <w:rtl w:val="0"/>
            </w:rPr>
            <w:t xml:space="preserve">, 137472–137490. https://doi.org/10.1109/ACCESS.2024.3463948</w:t>
          </w:r>
        </w:p>
        <w:p>
          <w:pPr>
            <w:spacing w:after="160" w:lineRule="auto"/>
            <w:ind w:left="720" w:hanging="720"/>
            <w:jc w:val="left"/>
            <w:rPr/>
          </w:pPr>
          <w:r>
            <w:rPr>
              <w:rtl w:val="0"/>
            </w:rPr>
            <w:t xml:space="preserve">Humble, J., &amp; Farley, D. (2010). </w:t>
          </w:r>
          <w:r>
            <w:rPr>
              <w:i w:val="1"/>
              <w:iCs w:val="1"/>
              <w:rtl w:val="0"/>
            </w:rPr>
            <w:t xml:space="preserve">Continuous delivery: Reliable software releases through build, test, and deployment automation</w:t>
          </w:r>
          <w:r>
            <w:rPr>
              <w:rtl w:val="0"/>
            </w:rPr>
            <w:t xml:space="preserve">. Addison-Wesley.</w:t>
          </w:r>
        </w:p>
        <w:p>
          <w:pPr>
            <w:spacing w:after="160" w:lineRule="auto"/>
            <w:ind w:left="720" w:hanging="720"/>
            <w:jc w:val="left"/>
            <w:rPr/>
          </w:pPr>
          <w:r>
            <w:rPr>
              <w:rtl w:val="0"/>
            </w:rPr>
            <w:t xml:space="preserve">Hussain, M., Zhu, W., Zhang, W., &amp; Abidi, S. M. R. (2018). Student engagement predictions in an e-learning system and their impact on student course assessment scores. </w:t>
          </w:r>
          <w:r>
            <w:rPr>
              <w:i w:val="1"/>
              <w:iCs w:val="1"/>
              <w:rtl w:val="0"/>
            </w:rPr>
            <w:t xml:space="preserve">Computational Intelligence and Neuroscience</w:t>
          </w:r>
          <w:r>
            <w:rPr>
              <w:rtl w:val="0"/>
            </w:rPr>
            <w:t xml:space="preserve">, </w:t>
          </w:r>
          <w:r>
            <w:rPr>
              <w:i w:val="1"/>
              <w:iCs w:val="1"/>
              <w:rtl w:val="0"/>
            </w:rPr>
            <w:t xml:space="preserve">2018</w:t>
          </w:r>
          <w:r>
            <w:rPr>
              <w:rtl w:val="0"/>
            </w:rPr>
            <w:t xml:space="preserve">, Article 6347186. https://doi.org/10.1155/2018/6347186</w:t>
          </w:r>
        </w:p>
        <w:p>
          <w:pPr>
            <w:spacing w:after="160" w:lineRule="auto"/>
            <w:ind w:left="720" w:hanging="720"/>
            <w:jc w:val="left"/>
            <w:rPr/>
          </w:pPr>
          <w:r>
            <w:rPr>
              <w:rtl w:val="0"/>
            </w:rPr>
            <w:t xml:space="preserve">Islam, Md. M., Sojib, F. H., Mihad, Md. F. H., Hasan, M., &amp; Rahman, M. (2025). The integration of explainable AI in educational data mining for student academic performance prediction and support system. </w:t>
          </w:r>
          <w:r>
            <w:rPr>
              <w:i w:val="1"/>
              <w:iCs w:val="1"/>
              <w:rtl w:val="0"/>
            </w:rPr>
            <w:t xml:space="preserve">Telematics and Informatics Reports</w:t>
          </w:r>
          <w:r>
            <w:rPr>
              <w:rtl w:val="0"/>
            </w:rPr>
            <w:t xml:space="preserve">, </w:t>
          </w:r>
          <w:r>
            <w:rPr>
              <w:i w:val="1"/>
              <w:iCs w:val="1"/>
              <w:rtl w:val="0"/>
            </w:rPr>
            <w:t xml:space="preserve">18</w:t>
          </w:r>
          <w:r>
            <w:rPr>
              <w:rtl w:val="0"/>
            </w:rPr>
            <w:t xml:space="preserve">, Article 100203. https://doi.org/10.1016/j.teler.2025.100203</w:t>
          </w:r>
        </w:p>
        <w:p>
          <w:pPr>
            <w:spacing w:after="160" w:lineRule="auto"/>
            <w:ind w:left="720" w:hanging="720"/>
            <w:jc w:val="left"/>
            <w:rPr/>
          </w:pPr>
          <w:r>
            <w:rPr>
              <w:rtl w:val="0"/>
            </w:rPr>
            <w:t xml:space="preserve">Jin, L., Wang, Y., Song, H., &amp; So, H.-J. (2024). Predictive modelling with the Open University Learning Analytics Dataset (OULAD): A systematic literature review. In A. M. Olney, I.-A. Chounta, Z. Liu, O. C. Santos, &amp; I. I. Bittencourt (Eds.), </w:t>
          </w:r>
          <w:r>
            <w:rPr>
              <w:i w:val="1"/>
              <w:iCs w:val="1"/>
              <w:rtl w:val="0"/>
            </w:rPr>
            <w:t xml:space="preserve">Artificial intelligence in education. Posters and late breaking results, workshops and tutorials, industry and innovation tracks, practitioners, doctoral consortium and blue sky</w:t>
          </w:r>
          <w:r>
            <w:rPr>
              <w:rtl w:val="0"/>
            </w:rPr>
            <w:t xml:space="preserve"> (pp. 477–484). Springer. https://doi.org/10.1007/978-3-031-64315-6_46</w:t>
          </w:r>
        </w:p>
        <w:p>
          <w:pPr>
            <w:spacing w:after="160" w:lineRule="auto"/>
            <w:ind w:left="720" w:hanging="720"/>
            <w:jc w:val="left"/>
            <w:rPr/>
          </w:pPr>
          <w:r>
            <w:rPr>
              <w:rtl w:val="0"/>
            </w:rPr>
            <w:t xml:space="preserve">Jones, M., Bradley, J., &amp; Sakimura, N. (2015). </w:t>
          </w:r>
          <w:r>
            <w:rPr>
              <w:i w:val="1"/>
              <w:iCs w:val="1"/>
              <w:rtl w:val="0"/>
            </w:rPr>
            <w:t xml:space="preserve">JSON Web Token (JWT)</w:t>
          </w:r>
          <w:r>
            <w:rPr>
              <w:rtl w:val="0"/>
            </w:rPr>
            <w:t xml:space="preserve"> [RFC 7519]. Internet Engineering Task Force. https://doi.org/10.17487/RFC7519</w:t>
          </w:r>
        </w:p>
        <w:p>
          <w:pPr>
            <w:spacing w:after="160" w:lineRule="auto"/>
            <w:ind w:left="720" w:hanging="720"/>
            <w:jc w:val="left"/>
            <w:rPr/>
          </w:pPr>
          <w:r>
            <w:rPr>
              <w:rtl w:val="0"/>
            </w:rPr>
            <w:t xml:space="preserve">Kaliisa, R., &amp; Dolonen, J. A. (2023). CADA: A teacher-facing learning analytics dashboard to foster teachers’ awareness of students’ participation and discourse patterns in online discussions. </w:t>
          </w:r>
          <w:r>
            <w:rPr>
              <w:i w:val="1"/>
              <w:iCs w:val="1"/>
              <w:rtl w:val="0"/>
            </w:rPr>
            <w:t xml:space="preserve">Technology, Knowledge and Learning</w:t>
          </w:r>
          <w:r>
            <w:rPr>
              <w:rtl w:val="0"/>
            </w:rPr>
            <w:t xml:space="preserve">, </w:t>
          </w:r>
          <w:r>
            <w:rPr>
              <w:i w:val="1"/>
              <w:iCs w:val="1"/>
              <w:rtl w:val="0"/>
            </w:rPr>
            <w:t xml:space="preserve">28</w:t>
          </w:r>
          <w:r>
            <w:rPr>
              <w:rtl w:val="0"/>
            </w:rPr>
            <w:t xml:space="preserve">(3), 937–958. https://doi.org/10.1007/s10758-022-09598-7</w:t>
          </w:r>
        </w:p>
        <w:p>
          <w:pPr>
            <w:spacing w:after="160" w:lineRule="auto"/>
            <w:ind w:left="720" w:hanging="720"/>
            <w:jc w:val="left"/>
            <w:rPr/>
          </w:pPr>
          <w:r>
            <w:rPr>
              <w:rtl w:val="0"/>
            </w:rPr>
            <w:t xml:space="preserve">Kaliisa, R., Jivet, I., &amp; Prinsloo, P. (2023). A checklist to guide the planning, designing, implementation, and evaluation of learning analytics dashboards. </w:t>
          </w:r>
          <w:r>
            <w:rPr>
              <w:i w:val="1"/>
              <w:iCs w:val="1"/>
              <w:rtl w:val="0"/>
            </w:rPr>
            <w:t xml:space="preserve">International Journal of Educational Technology in Higher Education</w:t>
          </w:r>
          <w:r>
            <w:rPr>
              <w:rtl w:val="0"/>
            </w:rPr>
            <w:t xml:space="preserve">, </w:t>
          </w:r>
          <w:r>
            <w:rPr>
              <w:i w:val="1"/>
              <w:iCs w:val="1"/>
              <w:rtl w:val="0"/>
            </w:rPr>
            <w:t xml:space="preserve">20</w:t>
          </w:r>
          <w:r>
            <w:rPr>
              <w:rtl w:val="0"/>
            </w:rPr>
            <w:t xml:space="preserve">(1), Article 28. https://doi.org/10.1186/s41239-023-00394-6</w:t>
          </w:r>
        </w:p>
        <w:p>
          <w:pPr>
            <w:spacing w:after="160" w:lineRule="auto"/>
            <w:ind w:left="720" w:hanging="720"/>
            <w:jc w:val="left"/>
            <w:rPr/>
          </w:pPr>
          <w:r>
            <w:rPr>
              <w:rtl w:val="0"/>
            </w:rPr>
            <w:t xml:space="preserve">Khosravi, H., Buckingham Shum, S., Chen, G., Conati, C., Tsai, Y.-S., Kay, J., Knight, S., Martinez-Maldonado, R., Sadiq, S., &amp; Gašević, D. (2022). Explainable artificial intelligence in education. </w:t>
          </w:r>
          <w:r>
            <w:rPr>
              <w:i w:val="1"/>
              <w:iCs w:val="1"/>
              <w:rtl w:val="0"/>
            </w:rPr>
            <w:t xml:space="preserve">Computers and Education: Artificial Intelligence</w:t>
          </w:r>
          <w:r>
            <w:rPr>
              <w:rtl w:val="0"/>
            </w:rPr>
            <w:t xml:space="preserve">, </w:t>
          </w:r>
          <w:r>
            <w:rPr>
              <w:i w:val="1"/>
              <w:iCs w:val="1"/>
              <w:rtl w:val="0"/>
            </w:rPr>
            <w:t xml:space="preserve">3</w:t>
          </w:r>
          <w:r>
            <w:rPr>
              <w:rtl w:val="0"/>
            </w:rPr>
            <w:t xml:space="preserve">, Article 100074. https://doi.org/10.1016/j.caeai.2022.100074</w:t>
          </w:r>
        </w:p>
        <w:p>
          <w:pPr>
            <w:spacing w:after="160" w:lineRule="auto"/>
            <w:ind w:left="720" w:hanging="720"/>
            <w:jc w:val="left"/>
            <w:rPr/>
          </w:pPr>
          <w:r>
            <w:rPr>
              <w:rtl w:val="0"/>
            </w:rPr>
            <w:t xml:space="preserve">Kim, J., Maathuis, H., &amp; Sent, D. (2024). Human-centered evaluation of explainable AI applications: A systematic review. </w:t>
          </w:r>
          <w:r>
            <w:rPr>
              <w:i w:val="1"/>
              <w:iCs w:val="1"/>
              <w:rtl w:val="0"/>
            </w:rPr>
            <w:t xml:space="preserve">Frontiers in Artificial Intelligence</w:t>
          </w:r>
          <w:r>
            <w:rPr>
              <w:rtl w:val="0"/>
            </w:rPr>
            <w:t xml:space="preserve">, </w:t>
          </w:r>
          <w:r>
            <w:rPr>
              <w:i w:val="1"/>
              <w:iCs w:val="1"/>
              <w:rtl w:val="0"/>
            </w:rPr>
            <w:t xml:space="preserve">7</w:t>
          </w:r>
          <w:r>
            <w:rPr>
              <w:rtl w:val="0"/>
            </w:rPr>
            <w:t xml:space="preserve">, Article 1456486. https://doi.org/10.3389/frai.2024.1456486</w:t>
          </w:r>
        </w:p>
        <w:p>
          <w:pPr>
            <w:spacing w:after="160" w:lineRule="auto"/>
            <w:ind w:left="720" w:hanging="720"/>
            <w:jc w:val="left"/>
            <w:rPr/>
          </w:pPr>
          <w:r>
            <w:rPr>
              <w:rtl w:val="0"/>
            </w:rPr>
            <w:t xml:space="preserve">Kostopoulos, G., Davrazos, G., &amp; Kotsiantis, S. (2024). Explainable artificial intelligence-based decision support systems: A recent review. </w:t>
          </w:r>
          <w:r>
            <w:rPr>
              <w:i w:val="1"/>
              <w:iCs w:val="1"/>
              <w:rtl w:val="0"/>
            </w:rPr>
            <w:t xml:space="preserve">Electronics</w:t>
          </w:r>
          <w:r>
            <w:rPr>
              <w:rtl w:val="0"/>
            </w:rPr>
            <w:t xml:space="preserve">, </w:t>
          </w:r>
          <w:r>
            <w:rPr>
              <w:i w:val="1"/>
              <w:iCs w:val="1"/>
              <w:rtl w:val="0"/>
            </w:rPr>
            <w:t xml:space="preserve">13</w:t>
          </w:r>
          <w:r>
            <w:rPr>
              <w:rtl w:val="0"/>
            </w:rPr>
            <w:t xml:space="preserve">(14), 2842. https://doi.org/10.3390/electronics13142842</w:t>
          </w:r>
        </w:p>
        <w:p>
          <w:pPr>
            <w:spacing w:after="160" w:lineRule="auto"/>
            <w:ind w:left="720" w:hanging="720"/>
            <w:jc w:val="left"/>
            <w:rPr/>
          </w:pPr>
          <w:r>
            <w:rPr>
              <w:rtl w:val="0"/>
            </w:rPr>
            <w:t xml:space="preserve">Kouki, P., Schaffer, J., Pujara, J., O’Donovan, J., &amp; Getoor, L. (2020). Generating and understanding personalized explanations in hybrid recommender systems. </w:t>
          </w:r>
          <w:r>
            <w:rPr>
              <w:i w:val="1"/>
              <w:iCs w:val="1"/>
              <w:rtl w:val="0"/>
            </w:rPr>
            <w:t xml:space="preserve">ACM Transactions on Interactive Intelligent Systems</w:t>
          </w:r>
          <w:r>
            <w:rPr>
              <w:rtl w:val="0"/>
            </w:rPr>
            <w:t xml:space="preserve">, </w:t>
          </w:r>
          <w:r>
            <w:rPr>
              <w:i w:val="1"/>
              <w:iCs w:val="1"/>
              <w:rtl w:val="0"/>
            </w:rPr>
            <w:t xml:space="preserve">10</w:t>
          </w:r>
          <w:r>
            <w:rPr>
              <w:rtl w:val="0"/>
            </w:rPr>
            <w:t xml:space="preserve">(4), Article 31. https://doi.org/10.1145/3365843</w:t>
          </w:r>
        </w:p>
        <w:p>
          <w:pPr>
            <w:spacing w:after="160" w:lineRule="auto"/>
            <w:ind w:left="720" w:hanging="720"/>
            <w:jc w:val="left"/>
            <w:rPr/>
          </w:pPr>
          <w:r>
            <w:rPr>
              <w:rtl w:val="0"/>
            </w:rPr>
            <w:t xml:space="preserve">Krstajic, D., Buturovic, L. J., Leahy, D. E., &amp; Thomas, S. (2014). Cross-validation pitfalls when selecting and assessing regression and classification models. </w:t>
          </w:r>
          <w:r>
            <w:rPr>
              <w:i w:val="1"/>
              <w:iCs w:val="1"/>
              <w:rtl w:val="0"/>
            </w:rPr>
            <w:t xml:space="preserve">Journal of Cheminformatics</w:t>
          </w:r>
          <w:r>
            <w:rPr>
              <w:rtl w:val="0"/>
            </w:rPr>
            <w:t xml:space="preserve">, </w:t>
          </w:r>
          <w:r>
            <w:rPr>
              <w:i w:val="1"/>
              <w:iCs w:val="1"/>
              <w:rtl w:val="0"/>
            </w:rPr>
            <w:t xml:space="preserve">6</w:t>
          </w:r>
          <w:r>
            <w:rPr>
              <w:rtl w:val="0"/>
            </w:rPr>
            <w:t xml:space="preserve">(1), Article 10. https://doi.org/10.1186/1758-2946-6-10</w:t>
          </w:r>
        </w:p>
        <w:p>
          <w:pPr>
            <w:spacing w:after="160" w:lineRule="auto"/>
            <w:ind w:left="720" w:hanging="720"/>
            <w:jc w:val="left"/>
            <w:rPr/>
          </w:pPr>
          <w:r>
            <w:rPr>
              <w:rtl w:val="0"/>
            </w:rPr>
            <w:t xml:space="preserve">Kuzilek, J., Hlosta, M., &amp; Zdrahal, Z. (2017). Open University Learning Analytics dataset. </w:t>
          </w:r>
          <w:r>
            <w:rPr>
              <w:i w:val="1"/>
              <w:iCs w:val="1"/>
              <w:rtl w:val="0"/>
            </w:rPr>
            <w:t xml:space="preserve">Scientific Data</w:t>
          </w:r>
          <w:r>
            <w:rPr>
              <w:rtl w:val="0"/>
            </w:rPr>
            <w:t xml:space="preserve">, </w:t>
          </w:r>
          <w:r>
            <w:rPr>
              <w:i w:val="1"/>
              <w:iCs w:val="1"/>
              <w:rtl w:val="0"/>
            </w:rPr>
            <w:t xml:space="preserve">4</w:t>
          </w:r>
          <w:r>
            <w:rPr>
              <w:rtl w:val="0"/>
            </w:rPr>
            <w:t xml:space="preserve">(1), Article 170171. https://doi.org/10.1038/sdata.2017.171</w:t>
          </w:r>
        </w:p>
        <w:p>
          <w:pPr>
            <w:spacing w:after="160" w:lineRule="auto"/>
            <w:ind w:left="720" w:hanging="720"/>
            <w:jc w:val="left"/>
            <w:rPr/>
          </w:pPr>
          <w:r>
            <w:rPr>
              <w:rtl w:val="0"/>
            </w:rPr>
            <w:t xml:space="preserve">Larrabee Sønderlund, A., Hughes, E., &amp; Smith, J. (2019). The efficacy of learning analytics interventions in higher education: A systematic review. </w:t>
          </w:r>
          <w:r>
            <w:rPr>
              <w:i w:val="1"/>
              <w:iCs w:val="1"/>
              <w:rtl w:val="0"/>
            </w:rPr>
            <w:t xml:space="preserve">British Journal of Educational Technology</w:t>
          </w:r>
          <w:r>
            <w:rPr>
              <w:rtl w:val="0"/>
            </w:rPr>
            <w:t xml:space="preserve">, </w:t>
          </w:r>
          <w:r>
            <w:rPr>
              <w:i w:val="1"/>
              <w:iCs w:val="1"/>
              <w:rtl w:val="0"/>
            </w:rPr>
            <w:t xml:space="preserve">50</w:t>
          </w:r>
          <w:r>
            <w:rPr>
              <w:rtl w:val="0"/>
            </w:rPr>
            <w:t xml:space="preserve">(5), 2594–2618. https://doi.org/10.1111/bjet.12720</w:t>
          </w:r>
        </w:p>
        <w:p>
          <w:pPr>
            <w:spacing w:after="160" w:lineRule="auto"/>
            <w:ind w:left="720" w:hanging="720"/>
            <w:jc w:val="left"/>
            <w:rPr/>
          </w:pPr>
          <w:r>
            <w:rPr>
              <w:rtl w:val="0"/>
            </w:rPr>
            <w:t xml:space="preserve">Leitner, P., Ebner, M., &amp; Ebner, M. (2019). Learning analytics challenges to overcome in higher education institutions. In D. Ifenthaler, D.-K. Mah, &amp; J. Y.-K. Yau (Eds.), </w:t>
          </w:r>
          <w:r>
            <w:rPr>
              <w:i w:val="1"/>
              <w:iCs w:val="1"/>
              <w:rtl w:val="0"/>
            </w:rPr>
            <w:t xml:space="preserve">Utilizing learning analytics to support study success</w:t>
          </w:r>
          <w:r>
            <w:rPr>
              <w:rtl w:val="0"/>
            </w:rPr>
            <w:t xml:space="preserve"> (pp. 91–104). Springer. https://doi.org/10.1007/978-3-319-64792-0_6</w:t>
          </w:r>
        </w:p>
        <w:p>
          <w:pPr>
            <w:spacing w:after="160" w:lineRule="auto"/>
            <w:ind w:left="720" w:hanging="720"/>
            <w:jc w:val="left"/>
            <w:rPr/>
          </w:pPr>
          <w:r>
            <w:rPr>
              <w:rtl w:val="0"/>
            </w:rPr>
            <w:t xml:space="preserve">Li, K. C., Wong, B. T. M., &amp; Chan, H. T. (2024). Prediction of at-risk students using learning analytics: A literature review. In S. K. S. Cheung, F. L. Wang, N. Paoprasert, P. Charnsethikul, K. C. Li, &amp; K. Phusavat (Eds.), </w:t>
          </w:r>
          <w:r>
            <w:rPr>
              <w:i w:val="1"/>
              <w:iCs w:val="1"/>
              <w:rtl w:val="0"/>
            </w:rPr>
            <w:t xml:space="preserve">Technology in education. Innovative practices for the new normal</w:t>
          </w:r>
          <w:r>
            <w:rPr>
              <w:rtl w:val="0"/>
            </w:rPr>
            <w:t xml:space="preserve"> (pp. 119–128). Springer. https://doi.org/10.1007/978-981-99-8255-4_11</w:t>
          </w:r>
        </w:p>
        <w:p>
          <w:pPr>
            <w:spacing w:after="160" w:lineRule="auto"/>
            <w:ind w:left="720" w:hanging="720"/>
            <w:jc w:val="left"/>
            <w:rPr/>
          </w:pPr>
          <w:r>
            <w:rPr>
              <w:rtl w:val="0"/>
            </w:rPr>
            <w:t xml:space="preserve">Liao, Q. V., &amp; Varshney, K. R. (2022). </w:t>
          </w:r>
          <w:r>
            <w:rPr>
              <w:i w:val="1"/>
              <w:iCs w:val="1"/>
              <w:rtl w:val="0"/>
            </w:rPr>
            <w:t xml:space="preserve">Human-centered explainable AI (XAI): From algorithms to user experiences</w:t>
          </w:r>
          <w:r>
            <w:rPr>
              <w:rtl w:val="0"/>
            </w:rPr>
            <w:t xml:space="preserve"> (arXiv:2110.10790). arXiv. https://doi.org/10.48550/arXiv.2110.10790</w:t>
          </w:r>
        </w:p>
        <w:p>
          <w:pPr>
            <w:spacing w:after="160" w:lineRule="auto"/>
            <w:ind w:left="720" w:hanging="720"/>
            <w:jc w:val="left"/>
            <w:rPr/>
          </w:pPr>
          <w:r>
            <w:rPr>
              <w:rtl w:val="0"/>
            </w:rPr>
            <w:t xml:space="preserve">Lipton, Z. C. (2018). The mythos of model interpretability. </w:t>
          </w:r>
          <w:r>
            <w:rPr>
              <w:i w:val="1"/>
              <w:iCs w:val="1"/>
              <w:rtl w:val="0"/>
            </w:rPr>
            <w:t xml:space="preserve">Communications of the ACM</w:t>
          </w:r>
          <w:r>
            <w:rPr>
              <w:rtl w:val="0"/>
            </w:rPr>
            <w:t xml:space="preserve">, </w:t>
          </w:r>
          <w:r>
            <w:rPr>
              <w:i w:val="1"/>
              <w:iCs w:val="1"/>
              <w:rtl w:val="0"/>
            </w:rPr>
            <w:t xml:space="preserve">61</w:t>
          </w:r>
          <w:r>
            <w:rPr>
              <w:rtl w:val="0"/>
            </w:rPr>
            <w:t xml:space="preserve">(10), 36–43. https://doi.org/10.1145/3233231</w:t>
          </w:r>
        </w:p>
        <w:p>
          <w:pPr>
            <w:spacing w:after="160" w:lineRule="auto"/>
            <w:ind w:left="720" w:hanging="720"/>
            <w:jc w:val="left"/>
            <w:rPr/>
          </w:pPr>
          <w:r>
            <w:rPr>
              <w:rtl w:val="0"/>
            </w:rPr>
            <w:t xml:space="preserve">Lundberg, S. M., Erion, G., Chen, H., DeGrave, A., Prutkin, J. M., Nair, B., Katz, R., Himmelfarb, J., Bansal, N., &amp; Lee, S.-I. (2020). From local explanations to global understanding with explainable AI for trees. </w:t>
          </w:r>
          <w:r>
            <w:rPr>
              <w:i w:val="1"/>
              <w:iCs w:val="1"/>
              <w:rtl w:val="0"/>
            </w:rPr>
            <w:t xml:space="preserve">Nature Machine Intelligence</w:t>
          </w:r>
          <w:r>
            <w:rPr>
              <w:rtl w:val="0"/>
            </w:rPr>
            <w:t xml:space="preserve">, </w:t>
          </w:r>
          <w:r>
            <w:rPr>
              <w:i w:val="1"/>
              <w:iCs w:val="1"/>
              <w:rtl w:val="0"/>
            </w:rPr>
            <w:t xml:space="preserve">2</w:t>
          </w:r>
          <w:r>
            <w:rPr>
              <w:rtl w:val="0"/>
            </w:rPr>
            <w:t xml:space="preserve">(1), 56–67. https://doi.org/10.1038/s42256-019-0138-9</w:t>
          </w:r>
        </w:p>
        <w:p>
          <w:pPr>
            <w:spacing w:after="160" w:lineRule="auto"/>
            <w:ind w:left="720" w:hanging="720"/>
            <w:jc w:val="left"/>
            <w:rPr/>
          </w:pPr>
          <w:r>
            <w:rPr>
              <w:rtl w:val="0"/>
            </w:rPr>
            <w:t xml:space="preserve">Lundberg, S. M., &amp; Lee, S.-I. (2017). A unified approach to interpreting model predictions. </w:t>
          </w:r>
          <w:r>
            <w:rPr>
              <w:i w:val="1"/>
              <w:iCs w:val="1"/>
              <w:rtl w:val="0"/>
            </w:rPr>
            <w:t xml:space="preserve">Advances in Neural Information Processing Systems</w:t>
          </w:r>
          <w:r>
            <w:rPr>
              <w:rtl w:val="0"/>
            </w:rPr>
            <w:t xml:space="preserve">, </w:t>
          </w:r>
          <w:r>
            <w:rPr>
              <w:i w:val="1"/>
              <w:iCs w:val="1"/>
              <w:rtl w:val="0"/>
            </w:rPr>
            <w:t xml:space="preserve">30</w:t>
          </w:r>
          <w:r>
            <w:rPr>
              <w:rtl w:val="0"/>
            </w:rPr>
            <w:t xml:space="preserve">, 4765–4774. https://proceedings.neurips.cc/paper/2017/hash/8a20a8621978632d76c43dfd28b67767-Abstract.html</w:t>
          </w:r>
        </w:p>
        <w:p>
          <w:pPr>
            <w:spacing w:after="160" w:lineRule="auto"/>
            <w:ind w:left="720" w:hanging="720"/>
            <w:jc w:val="left"/>
            <w:rPr/>
          </w:pPr>
          <w:r>
            <w:rPr>
              <w:rtl w:val="0"/>
            </w:rPr>
            <w:t xml:space="preserve">Marangunić, N., &amp; Granić, A. (2015). Technology acceptance model: A literature review from 1986 to 2013. </w:t>
          </w:r>
          <w:r>
            <w:rPr>
              <w:i w:val="1"/>
              <w:iCs w:val="1"/>
              <w:rtl w:val="0"/>
            </w:rPr>
            <w:t xml:space="preserve">Universal Access in the Information Society</w:t>
          </w:r>
          <w:r>
            <w:rPr>
              <w:rtl w:val="0"/>
            </w:rPr>
            <w:t xml:space="preserve">, </w:t>
          </w:r>
          <w:r>
            <w:rPr>
              <w:i w:val="1"/>
              <w:iCs w:val="1"/>
              <w:rtl w:val="0"/>
            </w:rPr>
            <w:t xml:space="preserve">14</w:t>
          </w:r>
          <w:r>
            <w:rPr>
              <w:rtl w:val="0"/>
            </w:rPr>
            <w:t xml:space="preserve">(1), 81–95. https://doi.org/10.1007/s10209-014-0348-1</w:t>
          </w:r>
        </w:p>
        <w:p>
          <w:pPr>
            <w:spacing w:after="160" w:lineRule="auto"/>
            <w:ind w:left="720" w:hanging="720"/>
            <w:jc w:val="left"/>
            <w:rPr/>
          </w:pPr>
          <w:r>
            <w:rPr>
              <w:rtl w:val="0"/>
            </w:rPr>
            <w:t xml:space="preserve">Martin, R. C. (2017). </w:t>
          </w:r>
          <w:r>
            <w:rPr>
              <w:i w:val="1"/>
              <w:iCs w:val="1"/>
              <w:rtl w:val="0"/>
            </w:rPr>
            <w:t xml:space="preserve">Clean architecture: A craftsman’s guide to software structure and design</w:t>
          </w:r>
          <w:r>
            <w:rPr>
              <w:rtl w:val="0"/>
            </w:rPr>
            <w:t xml:space="preserve">. Prentice Hall.</w:t>
          </w:r>
        </w:p>
        <w:p>
          <w:pPr>
            <w:spacing w:after="160" w:lineRule="auto"/>
            <w:ind w:left="720" w:hanging="720"/>
            <w:jc w:val="left"/>
            <w:rPr/>
          </w:pPr>
          <w:r>
            <w:rPr>
              <w:rtl w:val="0"/>
            </w:rPr>
            <w:t xml:space="preserve">Matcha, W., Uzir, N. A., Gašević, D., &amp; Pardo, A. (2020). A systematic review of empirical studies on learning analytics dashboards: A self-regulated learning perspective. </w:t>
          </w:r>
          <w:r>
            <w:rPr>
              <w:i w:val="1"/>
              <w:iCs w:val="1"/>
              <w:rtl w:val="0"/>
            </w:rPr>
            <w:t xml:space="preserve">IEEE Transactions on Learning Technologies</w:t>
          </w:r>
          <w:r>
            <w:rPr>
              <w:rtl w:val="0"/>
            </w:rPr>
            <w:t xml:space="preserve">, </w:t>
          </w:r>
          <w:r>
            <w:rPr>
              <w:i w:val="1"/>
              <w:iCs w:val="1"/>
              <w:rtl w:val="0"/>
            </w:rPr>
            <w:t xml:space="preserve">13</w:t>
          </w:r>
          <w:r>
            <w:rPr>
              <w:rtl w:val="0"/>
            </w:rPr>
            <w:t xml:space="preserve">(2), 226–245. https://doi.org/10.1109/TLT.2019.2916802</w:t>
          </w:r>
        </w:p>
        <w:p>
          <w:pPr>
            <w:spacing w:after="160" w:lineRule="auto"/>
            <w:ind w:left="720" w:hanging="720"/>
            <w:jc w:val="left"/>
            <w:rPr/>
          </w:pPr>
          <w:r>
            <w:rPr>
              <w:rtl w:val="0"/>
            </w:rPr>
            <w:t xml:space="preserve">Meta Open Source. (2024). </w:t>
          </w:r>
          <w:r>
            <w:rPr>
              <w:i w:val="1"/>
              <w:iCs w:val="1"/>
              <w:rtl w:val="0"/>
            </w:rPr>
            <w:t xml:space="preserve">React documentation</w:t>
          </w:r>
          <w:r>
            <w:rPr>
              <w:rtl w:val="0"/>
            </w:rPr>
            <w:t xml:space="preserve">. https://react.dev</w:t>
          </w:r>
        </w:p>
        <w:p>
          <w:pPr>
            <w:spacing w:after="160" w:lineRule="auto"/>
            <w:ind w:left="720" w:hanging="720"/>
            <w:jc w:val="left"/>
            <w:rPr/>
          </w:pPr>
          <w:r>
            <w:rPr>
              <w:rtl w:val="0"/>
            </w:rPr>
            <w:t xml:space="preserve">Miller, T. (2019). Explanation in artificial intelligence: Insights from the social sciences. </w:t>
          </w:r>
          <w:r>
            <w:rPr>
              <w:i w:val="1"/>
              <w:iCs w:val="1"/>
              <w:rtl w:val="0"/>
            </w:rPr>
            <w:t xml:space="preserve">Artificial Intelligence</w:t>
          </w:r>
          <w:r>
            <w:rPr>
              <w:rtl w:val="0"/>
            </w:rPr>
            <w:t xml:space="preserve">, </w:t>
          </w:r>
          <w:r>
            <w:rPr>
              <w:i w:val="1"/>
              <w:iCs w:val="1"/>
              <w:rtl w:val="0"/>
            </w:rPr>
            <w:t xml:space="preserve">267</w:t>
          </w:r>
          <w:r>
            <w:rPr>
              <w:rtl w:val="0"/>
            </w:rPr>
            <w:t xml:space="preserve">, 1–38. https://doi.org/10.1016/j.artint.2018.07.007</w:t>
          </w:r>
        </w:p>
        <w:p>
          <w:pPr>
            <w:spacing w:after="160" w:lineRule="auto"/>
            <w:ind w:left="720" w:hanging="720"/>
            <w:jc w:val="left"/>
            <w:rPr/>
          </w:pPr>
          <w:r>
            <w:rPr>
              <w:rtl w:val="0"/>
            </w:rPr>
            <w:t xml:space="preserve">Mitchell, M., Wu, S., Zaldivar, A., Barnes, P., Vasserman, L., Hutchinson, B., Spitzer, E., Raji, I. D., &amp; Gebru, T. (2019). Model cards for model reporting. </w:t>
          </w:r>
          <w:r>
            <w:rPr>
              <w:i w:val="1"/>
              <w:iCs w:val="1"/>
              <w:rtl w:val="0"/>
            </w:rPr>
            <w:t xml:space="preserve">Proceedings of the Conference on Fairness, Accountability, and Transparency</w:t>
          </w:r>
          <w:r>
            <w:rPr>
              <w:rtl w:val="0"/>
            </w:rPr>
            <w:t xml:space="preserve">, 220–229. https://doi.org/10.1145/3287560.3287596</w:t>
          </w:r>
        </w:p>
        <w:p>
          <w:pPr>
            <w:spacing w:after="160" w:lineRule="auto"/>
            <w:ind w:left="720" w:hanging="720"/>
            <w:jc w:val="left"/>
            <w:rPr/>
          </w:pPr>
          <w:r>
            <w:rPr>
              <w:rtl w:val="0"/>
            </w:rPr>
            <w:t xml:space="preserve">Miteva, D., &amp; Stefanova, E. (2022). eAnalytics: A model of a learning analytics visualization system. </w:t>
          </w:r>
          <w:r>
            <w:rPr>
              <w:i w:val="1"/>
              <w:iCs w:val="1"/>
              <w:rtl w:val="0"/>
            </w:rPr>
            <w:t xml:space="preserve">Annual of Sofia University St. Kliment Ohridski, Faculty of Mathematics and Informatics</w:t>
          </w:r>
          <w:r>
            <w:rPr>
              <w:rtl w:val="0"/>
            </w:rPr>
            <w:t xml:space="preserve">, </w:t>
          </w:r>
          <w:r>
            <w:rPr>
              <w:i w:val="1"/>
              <w:iCs w:val="1"/>
              <w:rtl w:val="0"/>
            </w:rPr>
            <w:t xml:space="preserve">109</w:t>
          </w:r>
          <w:r>
            <w:rPr>
              <w:rtl w:val="0"/>
            </w:rPr>
            <w:t xml:space="preserve">, 99–119. https://doi.org/10.60063/gsu.fmi.109.99-119</w:t>
          </w:r>
        </w:p>
        <w:p>
          <w:pPr>
            <w:spacing w:after="160" w:lineRule="auto"/>
            <w:ind w:left="720" w:hanging="720"/>
            <w:jc w:val="left"/>
            <w:rPr/>
          </w:pPr>
          <w:r>
            <w:rPr>
              <w:rtl w:val="0"/>
            </w:rPr>
            <w:t xml:space="preserve">Mohseni, S., Zarei, N., &amp; Ragan, E. D. (2021). A multidisciplinary survey and framework for design and evaluation of explainable AI systems. </w:t>
          </w:r>
          <w:r>
            <w:rPr>
              <w:i w:val="1"/>
              <w:iCs w:val="1"/>
              <w:rtl w:val="0"/>
            </w:rPr>
            <w:t xml:space="preserve">ACM Transactions on Interactive Intelligent Systems</w:t>
          </w:r>
          <w:r>
            <w:rPr>
              <w:rtl w:val="0"/>
            </w:rPr>
            <w:t xml:space="preserve">, </w:t>
          </w:r>
          <w:r>
            <w:rPr>
              <w:i w:val="1"/>
              <w:iCs w:val="1"/>
              <w:rtl w:val="0"/>
            </w:rPr>
            <w:t xml:space="preserve">11</w:t>
          </w:r>
          <w:r>
            <w:rPr>
              <w:rtl w:val="0"/>
            </w:rPr>
            <w:t xml:space="preserve">(3–4), Article 24. https://doi.org/10.1145/3387166</w:t>
          </w:r>
        </w:p>
        <w:p>
          <w:pPr>
            <w:spacing w:after="160" w:lineRule="auto"/>
            <w:ind w:left="720" w:hanging="720"/>
            <w:jc w:val="left"/>
            <w:rPr/>
          </w:pPr>
          <w:r>
            <w:rPr>
              <w:rtl w:val="0"/>
            </w:rPr>
            <w:t xml:space="preserve">Molenaar, I., &amp; Knoop-van Campen, C. A. N. (2019). How teachers make dashboard information actionable. </w:t>
          </w:r>
          <w:r>
            <w:rPr>
              <w:i w:val="1"/>
              <w:iCs w:val="1"/>
              <w:rtl w:val="0"/>
            </w:rPr>
            <w:t xml:space="preserve">IEEE Transactions on Learning Technologies</w:t>
          </w:r>
          <w:r>
            <w:rPr>
              <w:rtl w:val="0"/>
            </w:rPr>
            <w:t xml:space="preserve">, </w:t>
          </w:r>
          <w:r>
            <w:rPr>
              <w:i w:val="1"/>
              <w:iCs w:val="1"/>
              <w:rtl w:val="0"/>
            </w:rPr>
            <w:t xml:space="preserve">12</w:t>
          </w:r>
          <w:r>
            <w:rPr>
              <w:rtl w:val="0"/>
            </w:rPr>
            <w:t xml:space="preserve">(3), 347–355. https://doi.org/10.1109/TLT.2018.2851585</w:t>
          </w:r>
        </w:p>
        <w:p>
          <w:pPr>
            <w:spacing w:after="160" w:lineRule="auto"/>
            <w:ind w:left="720" w:hanging="720"/>
            <w:jc w:val="left"/>
            <w:rPr/>
          </w:pPr>
          <w:r>
            <w:rPr>
              <w:rtl w:val="0"/>
            </w:rPr>
            <w:t xml:space="preserve">Munzner, T. (2014). </w:t>
          </w:r>
          <w:r>
            <w:rPr>
              <w:i w:val="1"/>
              <w:iCs w:val="1"/>
              <w:rtl w:val="0"/>
            </w:rPr>
            <w:t xml:space="preserve">Visualization analysis and design</w:t>
          </w:r>
          <w:r>
            <w:rPr>
              <w:rtl w:val="0"/>
            </w:rPr>
            <w:t xml:space="preserve">. A K Peters/CRC Press. https://doi.org/10.1201/b17511</w:t>
          </w:r>
        </w:p>
        <w:p>
          <w:pPr>
            <w:spacing w:after="160" w:lineRule="auto"/>
            <w:ind w:left="720" w:hanging="720"/>
            <w:jc w:val="left"/>
            <w:rPr/>
          </w:pPr>
          <w:r>
            <w:rPr>
              <w:rtl w:val="0"/>
            </w:rPr>
            <w:t xml:space="preserve">Niculescu-Mizil, A., &amp; Caruana, R. (2005). Predicting good probabilities with supervised learning. </w:t>
          </w:r>
          <w:r>
            <w:rPr>
              <w:i w:val="1"/>
              <w:iCs w:val="1"/>
              <w:rtl w:val="0"/>
            </w:rPr>
            <w:t xml:space="preserve">Proceedings of the 22nd International Conference on Machine Learning</w:t>
          </w:r>
          <w:r>
            <w:rPr>
              <w:rtl w:val="0"/>
            </w:rPr>
            <w:t xml:space="preserve">, 625–632. https://doi.org/10.1145/1102351.1102430</w:t>
          </w:r>
        </w:p>
        <w:p>
          <w:pPr>
            <w:spacing w:after="160" w:lineRule="auto"/>
            <w:ind w:left="720" w:hanging="720"/>
            <w:jc w:val="left"/>
            <w:rPr/>
          </w:pPr>
          <w:r>
            <w:rPr>
              <w:rtl w:val="0"/>
            </w:rPr>
            <w:t xml:space="preserve">Nielsen, J. (1994). </w:t>
          </w:r>
          <w:r>
            <w:rPr>
              <w:i w:val="1"/>
              <w:iCs w:val="1"/>
              <w:rtl w:val="0"/>
            </w:rPr>
            <w:t xml:space="preserve">Usability engineering</w:t>
          </w:r>
          <w:r>
            <w:rPr>
              <w:rtl w:val="0"/>
            </w:rPr>
            <w:t xml:space="preserve">. Morgan Kaufmann.</w:t>
          </w:r>
        </w:p>
        <w:p>
          <w:pPr>
            <w:spacing w:after="160" w:lineRule="auto"/>
            <w:ind w:left="720" w:hanging="720"/>
            <w:jc w:val="left"/>
            <w:rPr/>
          </w:pPr>
          <w:r>
            <w:rPr>
              <w:rtl w:val="0"/>
            </w:rPr>
            <w:t xml:space="preserve">Nnadi, L. C., Watanobe, Y., Rahman, Md. M., &amp; John-Otumu, A. M. (2024). Prediction of students’ adaptability using explainable AI in educational machine learning models. </w:t>
          </w:r>
          <w:r>
            <w:rPr>
              <w:i w:val="1"/>
              <w:iCs w:val="1"/>
              <w:rtl w:val="0"/>
            </w:rPr>
            <w:t xml:space="preserve">Applied Sciences</w:t>
          </w:r>
          <w:r>
            <w:rPr>
              <w:rtl w:val="0"/>
            </w:rPr>
            <w:t xml:space="preserve">, </w:t>
          </w:r>
          <w:r>
            <w:rPr>
              <w:i w:val="1"/>
              <w:iCs w:val="1"/>
              <w:rtl w:val="0"/>
            </w:rPr>
            <w:t xml:space="preserve">14</w:t>
          </w:r>
          <w:r>
            <w:rPr>
              <w:rtl w:val="0"/>
            </w:rPr>
            <w:t xml:space="preserve">(12), 5141. https://doi.org/10.3390/app14125141</w:t>
          </w:r>
        </w:p>
        <w:p>
          <w:pPr>
            <w:spacing w:after="160" w:lineRule="auto"/>
            <w:ind w:left="720" w:hanging="720"/>
            <w:jc w:val="left"/>
            <w:rPr/>
          </w:pPr>
          <w:r>
            <w:rPr>
              <w:rtl w:val="0"/>
            </w:rPr>
            <w:t xml:space="preserve">Pedregosa, F., Varoquaux, G., Gramfort, A., Michel, V., Thirion, B., Grisel, O., Blondel, M., Prettenhofer, P., Weiss, R., Dubourg, V., Vanderplas, J., Passos, A., Cournapeau, D., Brucher, M., Perrot, M., &amp; Duchesnay, É. (2011). Scikit-learn: Machine learning in Python. </w:t>
          </w:r>
          <w:r>
            <w:rPr>
              <w:i w:val="1"/>
              <w:iCs w:val="1"/>
              <w:rtl w:val="0"/>
            </w:rPr>
            <w:t xml:space="preserve">Journal of Machine Learning Research</w:t>
          </w:r>
          <w:r>
            <w:rPr>
              <w:rtl w:val="0"/>
            </w:rPr>
            <w:t xml:space="preserve">, </w:t>
          </w:r>
          <w:r>
            <w:rPr>
              <w:i w:val="1"/>
              <w:iCs w:val="1"/>
              <w:rtl w:val="0"/>
            </w:rPr>
            <w:t xml:space="preserve">12</w:t>
          </w:r>
          <w:r>
            <w:rPr>
              <w:rtl w:val="0"/>
            </w:rPr>
            <w:t xml:space="preserve">, 2825–2830. https://jmlr.org/papers/v12/pedregosa11a.html</w:t>
          </w:r>
        </w:p>
        <w:p>
          <w:pPr>
            <w:spacing w:after="160" w:lineRule="auto"/>
            <w:ind w:left="720" w:hanging="720"/>
            <w:jc w:val="left"/>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w:t>
          </w:r>
          <w:r>
            <w:rPr>
              <w:rtl w:val="0"/>
            </w:rPr>
            <w:t xml:space="preserve">, </w:t>
          </w:r>
          <w:r>
            <w:rPr>
              <w:i w:val="1"/>
              <w:iCs w:val="1"/>
              <w:rtl w:val="0"/>
            </w:rPr>
            <w:t xml:space="preserve">24</w:t>
          </w:r>
          <w:r>
            <w:rPr>
              <w:rtl w:val="0"/>
            </w:rPr>
            <w:t xml:space="preserve">(3), 45–77. https://doi.org/10.2753/MIS0742-1222240302</w:t>
          </w:r>
        </w:p>
        <w:p>
          <w:pPr>
            <w:spacing w:after="160" w:lineRule="auto"/>
            <w:ind w:left="720" w:hanging="720"/>
            <w:jc w:val="left"/>
            <w:rPr/>
          </w:pPr>
          <w:r>
            <w:rPr>
              <w:rtl w:val="0"/>
            </w:rPr>
            <w:t xml:space="preserve">Pelánek, R. (2018). The details matter: Methodological nuances in the evaluation of student models. </w:t>
          </w:r>
          <w:r>
            <w:rPr>
              <w:i w:val="1"/>
              <w:iCs w:val="1"/>
              <w:rtl w:val="0"/>
            </w:rPr>
            <w:t xml:space="preserve">User Modeling and User-Adapted Interaction</w:t>
          </w:r>
          <w:r>
            <w:rPr>
              <w:rtl w:val="0"/>
            </w:rPr>
            <w:t xml:space="preserve">, </w:t>
          </w:r>
          <w:r>
            <w:rPr>
              <w:i w:val="1"/>
              <w:iCs w:val="1"/>
              <w:rtl w:val="0"/>
            </w:rPr>
            <w:t xml:space="preserve">28</w:t>
          </w:r>
          <w:r>
            <w:rPr>
              <w:rtl w:val="0"/>
            </w:rPr>
            <w:t xml:space="preserve">(3), 207–235. https://doi.org/10.1007/s11257-018-9204-y</w:t>
          </w:r>
        </w:p>
        <w:p>
          <w:pPr>
            <w:spacing w:after="160" w:lineRule="auto"/>
            <w:ind w:left="720" w:hanging="720"/>
            <w:jc w:val="left"/>
            <w:rPr/>
          </w:pPr>
          <w:r>
            <w:rPr>
              <w:rtl w:val="0"/>
            </w:rPr>
            <w:t xml:space="preserve">Poursabzi-Sangdeh, F., Goldstein, D. G., Hofman, J. M., Wortman Vaughan, J., &amp; Wallach, H. (2021). Manipulating and measuring model interpretability. </w:t>
          </w:r>
          <w:r>
            <w:rPr>
              <w:i w:val="1"/>
              <w:iCs w:val="1"/>
              <w:rtl w:val="0"/>
            </w:rPr>
            <w:t xml:space="preserve">Proceedings of the 2021 CHI Conference on Human Factors in Computing Systems</w:t>
          </w:r>
          <w:r>
            <w:rPr>
              <w:rtl w:val="0"/>
            </w:rPr>
            <w:t xml:space="preserve">, Article 237. https://doi.org/10.1145/3411764.3445315</w:t>
          </w:r>
        </w:p>
        <w:p>
          <w:pPr>
            <w:spacing w:after="160" w:lineRule="auto"/>
            <w:ind w:left="720" w:hanging="720"/>
            <w:jc w:val="left"/>
            <w:rPr/>
          </w:pPr>
          <w:r>
            <w:rPr>
              <w:rtl w:val="0"/>
            </w:rPr>
            <w:t xml:space="preserve">Prati, R. C., Batista, G. E. A. P. A., &amp; Silva, D. F. (2015). Class imbalance revisited: A new experimental setup to assess the performance of treatment methods. </w:t>
          </w:r>
          <w:r>
            <w:rPr>
              <w:i w:val="1"/>
              <w:iCs w:val="1"/>
              <w:rtl w:val="0"/>
            </w:rPr>
            <w:t xml:space="preserve">Knowledge and Information Systems</w:t>
          </w:r>
          <w:r>
            <w:rPr>
              <w:rtl w:val="0"/>
            </w:rPr>
            <w:t xml:space="preserve">, </w:t>
          </w:r>
          <w:r>
            <w:rPr>
              <w:i w:val="1"/>
              <w:iCs w:val="1"/>
              <w:rtl w:val="0"/>
            </w:rPr>
            <w:t xml:space="preserve">45</w:t>
          </w:r>
          <w:r>
            <w:rPr>
              <w:rtl w:val="0"/>
            </w:rPr>
            <w:t xml:space="preserve">(1), 247–270. https://doi.org/10.1007/s10115-014-0794-3</w:t>
          </w:r>
        </w:p>
        <w:p>
          <w:pPr>
            <w:spacing w:after="160" w:lineRule="auto"/>
            <w:ind w:left="720" w:hanging="720"/>
            <w:jc w:val="left"/>
            <w:rPr/>
          </w:pPr>
          <w:r>
            <w:rPr>
              <w:rtl w:val="0"/>
            </w:rPr>
            <w:t xml:space="preserve">Prinsloo, P., &amp; Slade, S. (2017). An elephant in the learning analytics room: The obligation to act. </w:t>
          </w:r>
          <w:r>
            <w:rPr>
              <w:i w:val="1"/>
              <w:iCs w:val="1"/>
              <w:rtl w:val="0"/>
            </w:rPr>
            <w:t xml:space="preserve">Proceedings of the Seventh International Learning Analytics &amp; Knowledge Conference</w:t>
          </w:r>
          <w:r>
            <w:rPr>
              <w:rtl w:val="0"/>
            </w:rPr>
            <w:t xml:space="preserve">, 46–55. https://doi.org/10.1145/3027385.3027406</w:t>
          </w:r>
        </w:p>
        <w:p>
          <w:pPr>
            <w:spacing w:after="160" w:lineRule="auto"/>
            <w:ind w:left="720" w:hanging="720"/>
            <w:jc w:val="left"/>
            <w:rPr/>
          </w:pPr>
          <w:r>
            <w:rPr>
              <w:rtl w:val="0"/>
            </w:rPr>
            <w:t xml:space="preserve">Rebelo Marcolino, M., Reis Porto, T., Thompsen Primo, T., Targino, R., Ramos, V., Marques Queiroga, E., Munoz, R., &amp; Cechinel, C. (2025). Student dropout prediction through machine learning optimization: Insights from Moodle log data. </w:t>
          </w:r>
          <w:r>
            <w:rPr>
              <w:i w:val="1"/>
              <w:iCs w:val="1"/>
              <w:rtl w:val="0"/>
            </w:rPr>
            <w:t xml:space="preserve">Scientific Reports</w:t>
          </w:r>
          <w:r>
            <w:rPr>
              <w:rtl w:val="0"/>
            </w:rPr>
            <w:t xml:space="preserve">, </w:t>
          </w:r>
          <w:r>
            <w:rPr>
              <w:i w:val="1"/>
              <w:iCs w:val="1"/>
              <w:rtl w:val="0"/>
            </w:rPr>
            <w:t xml:space="preserve">15</w:t>
          </w:r>
          <w:r>
            <w:rPr>
              <w:rtl w:val="0"/>
            </w:rPr>
            <w:t xml:space="preserve">(1), Article 9840. https://doi.org/10.1038/s41598-025-93918-1</w:t>
          </w:r>
        </w:p>
        <w:p>
          <w:pPr>
            <w:spacing w:after="160" w:lineRule="auto"/>
            <w:ind w:left="720" w:hanging="720"/>
            <w:jc w:val="left"/>
            <w:rPr/>
          </w:pPr>
          <w:r>
            <w:rPr>
              <w:rtl w:val="0"/>
            </w:rPr>
            <w:t xml:space="preserve">Ribeiro, M. T., Singh, S., &amp; Guestrin, C. (2016). “Why should I trust you?”: Explaining the predictions of any classifier. </w:t>
          </w:r>
          <w:r>
            <w:rPr>
              <w:i w:val="1"/>
              <w:iCs w:val="1"/>
              <w:rtl w:val="0"/>
            </w:rPr>
            <w:t xml:space="preserve">Proceedings of the 22nd ACM SIGKDD International Conference on Knowledge Discovery and Data Mining</w:t>
          </w:r>
          <w:r>
            <w:rPr>
              <w:rtl w:val="0"/>
            </w:rPr>
            <w:t xml:space="preserve">, 1135–1144. https://doi.org/10.1145/2939672.2939778</w:t>
          </w:r>
        </w:p>
        <w:p>
          <w:pPr>
            <w:spacing w:after="160" w:lineRule="auto"/>
            <w:ind w:left="720" w:hanging="720"/>
            <w:jc w:val="left"/>
            <w:rPr/>
          </w:pPr>
          <w:r>
            <w:rPr>
              <w:rtl w:val="0"/>
            </w:rPr>
            <w:t xml:space="preserve">Rudin, C. (2019). Stop explaining black box machine learning models for high stakes decisions and use interpretable models instead. </w:t>
          </w:r>
          <w:r>
            <w:rPr>
              <w:i w:val="1"/>
              <w:iCs w:val="1"/>
              <w:rtl w:val="0"/>
            </w:rPr>
            <w:t xml:space="preserve">Nature Machine Intelligence</w:t>
          </w:r>
          <w:r>
            <w:rPr>
              <w:rtl w:val="0"/>
            </w:rPr>
            <w:t xml:space="preserve">, </w:t>
          </w:r>
          <w:r>
            <w:rPr>
              <w:i w:val="1"/>
              <w:iCs w:val="1"/>
              <w:rtl w:val="0"/>
            </w:rPr>
            <w:t xml:space="preserve">1</w:t>
          </w:r>
          <w:r>
            <w:rPr>
              <w:rtl w:val="0"/>
            </w:rPr>
            <w:t xml:space="preserve">(5), 206–215. https://doi.org/10.1038/s42256-019-0048-x</w:t>
          </w:r>
        </w:p>
        <w:p>
          <w:pPr>
            <w:spacing w:after="160" w:lineRule="auto"/>
            <w:ind w:left="720" w:hanging="720"/>
            <w:jc w:val="left"/>
            <w:rPr/>
          </w:pPr>
          <w:r>
            <w:rPr>
              <w:rtl w:val="0"/>
            </w:rPr>
            <w:t xml:space="preserve">Salih, A. M., Raisi-Estabragh, Z., Boscolo Galazzo, I., Radeva, P., Petersen, S. E., Lekadir, K., &amp; Menegaz, G. (2025). A perspective on explainable artificial intelligence methods: SHAP and LIME. </w:t>
          </w:r>
          <w:r>
            <w:rPr>
              <w:i w:val="1"/>
              <w:iCs w:val="1"/>
              <w:rtl w:val="0"/>
            </w:rPr>
            <w:t xml:space="preserve">Advanced Intelligent Systems</w:t>
          </w:r>
          <w:r>
            <w:rPr>
              <w:rtl w:val="0"/>
            </w:rPr>
            <w:t xml:space="preserve">, </w:t>
          </w:r>
          <w:r>
            <w:rPr>
              <w:i w:val="1"/>
              <w:iCs w:val="1"/>
              <w:rtl w:val="0"/>
            </w:rPr>
            <w:t xml:space="preserve">7</w:t>
          </w:r>
          <w:r>
            <w:rPr>
              <w:rtl w:val="0"/>
            </w:rPr>
            <w:t xml:space="preserve">(1), Article 2400304. https://doi.org/10.1002/aisy.202400304</w:t>
          </w:r>
        </w:p>
        <w:p>
          <w:pPr>
            <w:spacing w:after="160" w:lineRule="auto"/>
            <w:ind w:left="720" w:hanging="720"/>
            <w:jc w:val="left"/>
            <w:rPr/>
          </w:pPr>
          <w:r>
            <w:rPr>
              <w:rtl w:val="0"/>
            </w:rPr>
            <w:t xml:space="preserve">Saltzer, J. H., &amp; Schroeder, M. D. (1975). The protection of information in computer systems. </w:t>
          </w:r>
          <w:r>
            <w:rPr>
              <w:i w:val="1"/>
              <w:iCs w:val="1"/>
              <w:rtl w:val="0"/>
            </w:rPr>
            <w:t xml:space="preserve">Proceedings of the IEEE</w:t>
          </w:r>
          <w:r>
            <w:rPr>
              <w:rtl w:val="0"/>
            </w:rPr>
            <w:t xml:space="preserve">, </w:t>
          </w:r>
          <w:r>
            <w:rPr>
              <w:i w:val="1"/>
              <w:iCs w:val="1"/>
              <w:rtl w:val="0"/>
            </w:rPr>
            <w:t xml:space="preserve">63</w:t>
          </w:r>
          <w:r>
            <w:rPr>
              <w:rtl w:val="0"/>
            </w:rPr>
            <w:t xml:space="preserve">(9), 1278–1308. https://doi.org/10.1109/PROC.1975.9939</w:t>
          </w:r>
        </w:p>
        <w:p>
          <w:pPr>
            <w:spacing w:after="160" w:lineRule="auto"/>
            <w:ind w:left="720" w:hanging="720"/>
            <w:jc w:val="left"/>
            <w:rPr/>
          </w:pPr>
          <w:r>
            <w:rPr>
              <w:rtl w:val="0"/>
            </w:rPr>
            <w:t xml:space="preserve">Santos, M. S., Soares, J. P., Abreu, P. H., Araujo, H., &amp; Santos, J. (2018). Cross-validation for imbalanced datasets: Avoiding overoptimistic and overfitting approaches. </w:t>
          </w:r>
          <w:r>
            <w:rPr>
              <w:i w:val="1"/>
              <w:iCs w:val="1"/>
              <w:rtl w:val="0"/>
            </w:rPr>
            <w:t xml:space="preserve">IEEE Computational Intelligence Magazine</w:t>
          </w:r>
          <w:r>
            <w:rPr>
              <w:rtl w:val="0"/>
            </w:rPr>
            <w:t xml:space="preserve">, </w:t>
          </w:r>
          <w:r>
            <w:rPr>
              <w:i w:val="1"/>
              <w:iCs w:val="1"/>
              <w:rtl w:val="0"/>
            </w:rPr>
            <w:t xml:space="preserve">13</w:t>
          </w:r>
          <w:r>
            <w:rPr>
              <w:rtl w:val="0"/>
            </w:rPr>
            <w:t xml:space="preserve">(4), 59–76. https://doi.org/10.1109/MCI.2018.2866730</w:t>
          </w:r>
        </w:p>
        <w:p>
          <w:pPr>
            <w:spacing w:after="160" w:lineRule="auto"/>
            <w:ind w:left="720" w:hanging="720"/>
            <w:jc w:val="left"/>
            <w:rPr/>
          </w:pPr>
          <w:r>
            <w:rPr>
              <w:rtl w:val="0"/>
            </w:rPr>
            <w:t xml:space="preserve">Satyanarayan, A., Moritz, D., Wongsuphasawat, K., &amp; Heer, J. (2017). Vega-Lite: A grammar of interactive graphics. </w:t>
          </w:r>
          <w:r>
            <w:rPr>
              <w:i w:val="1"/>
              <w:iCs w:val="1"/>
              <w:rtl w:val="0"/>
            </w:rPr>
            <w:t xml:space="preserve">IEEE Transactions on Visualization and Computer Graphics</w:t>
          </w:r>
          <w:r>
            <w:rPr>
              <w:rtl w:val="0"/>
            </w:rPr>
            <w:t xml:space="preserve">, </w:t>
          </w:r>
          <w:r>
            <w:rPr>
              <w:i w:val="1"/>
              <w:iCs w:val="1"/>
              <w:rtl w:val="0"/>
            </w:rPr>
            <w:t xml:space="preserve">23</w:t>
          </w:r>
          <w:r>
            <w:rPr>
              <w:rtl w:val="0"/>
            </w:rPr>
            <w:t xml:space="preserve">(1), 341–350. https://doi.org/10.1109/TVCG.2016.2599030</w:t>
          </w:r>
        </w:p>
        <w:p>
          <w:pPr>
            <w:spacing w:after="160" w:lineRule="auto"/>
            <w:ind w:left="720" w:hanging="720"/>
            <w:jc w:val="left"/>
            <w:rPr/>
          </w:pPr>
          <w:r>
            <w:rPr>
              <w:rtl w:val="0"/>
            </w:rPr>
            <w:t xml:space="preserve">Schreiber, G., Akkermans, H., Anjewierden, A., de Hoog, R., Shadbolt, N. R., Van de Velde, W., &amp; Wielinga, B. J. (2000). </w:t>
          </w:r>
          <w:r>
            <w:rPr>
              <w:i w:val="1"/>
              <w:iCs w:val="1"/>
              <w:rtl w:val="0"/>
            </w:rPr>
            <w:t xml:space="preserve">Knowledge engineering and management: The CommonKADS methodology</w:t>
          </w:r>
          <w:r>
            <w:rPr>
              <w:rtl w:val="0"/>
            </w:rPr>
            <w:t xml:space="preserve">. MIT Press. https://doi.org/10.7551/mitpress/4073.001.0001</w:t>
          </w:r>
        </w:p>
        <w:p>
          <w:pPr>
            <w:spacing w:after="160" w:lineRule="auto"/>
            <w:ind w:left="720" w:hanging="720"/>
            <w:jc w:val="left"/>
            <w:rPr/>
          </w:pPr>
          <w:r>
            <w:rPr>
              <w:rtl w:val="0"/>
            </w:rPr>
            <w:t xml:space="preserve">Schwendimann, B. A., Rodríguez-Triana, M. J., Vozniuk, A., Prieto, L. P., Boroujeni, M. S., Holzer, A., Gillet, D., &amp; Dillenbourg, P. (2017). Perceiving learning at a glance: A systematic literature review of learning dashboard research. </w:t>
          </w:r>
          <w:r>
            <w:rPr>
              <w:i w:val="1"/>
              <w:iCs w:val="1"/>
              <w:rtl w:val="0"/>
            </w:rPr>
            <w:t xml:space="preserve">IEEE Transactions on Learning Technologies</w:t>
          </w:r>
          <w:r>
            <w:rPr>
              <w:rtl w:val="0"/>
            </w:rPr>
            <w:t xml:space="preserve">, </w:t>
          </w:r>
          <w:r>
            <w:rPr>
              <w:i w:val="1"/>
              <w:iCs w:val="1"/>
              <w:rtl w:val="0"/>
            </w:rPr>
            <w:t xml:space="preserve">10</w:t>
          </w:r>
          <w:r>
            <w:rPr>
              <w:rtl w:val="0"/>
            </w:rPr>
            <w:t xml:space="preserve">(1), 30–41. https://doi.org/10.1109/TLT.2016.2599522</w:t>
          </w:r>
        </w:p>
        <w:p>
          <w:pPr>
            <w:spacing w:after="160" w:lineRule="auto"/>
            <w:ind w:left="720" w:hanging="720"/>
            <w:jc w:val="left"/>
            <w:rPr/>
          </w:pPr>
          <w:r>
            <w:rPr>
              <w:rtl w:val="0"/>
            </w:rPr>
            <w:t xml:space="preserve">Sculley, D., Holt, G., Golovin, D., Davydov, E., Phillips, T., Ebner, D., Chaudhary, V., Young, M., Crespo, J.-F., &amp; Dennison, D. (2015). Hidden technical debt in machine learning systems. </w:t>
          </w:r>
          <w:r>
            <w:rPr>
              <w:i w:val="1"/>
              <w:iCs w:val="1"/>
              <w:rtl w:val="0"/>
            </w:rPr>
            <w:t xml:space="preserve">Advances in Neural Information Processing Systems</w:t>
          </w:r>
          <w:r>
            <w:rPr>
              <w:rtl w:val="0"/>
            </w:rPr>
            <w:t xml:space="preserve">, </w:t>
          </w:r>
          <w:r>
            <w:rPr>
              <w:i w:val="1"/>
              <w:iCs w:val="1"/>
              <w:rtl w:val="0"/>
            </w:rPr>
            <w:t xml:space="preserve">28</w:t>
          </w:r>
          <w:r>
            <w:rPr>
              <w:rtl w:val="0"/>
            </w:rPr>
            <w:t xml:space="preserve">, 2503–2511. https://proceedings.neurips.cc/paper/2015/hash/86df7dcfd896fcaf2674f757a2463eba-Abstract.html</w:t>
          </w:r>
        </w:p>
        <w:p>
          <w:pPr>
            <w:spacing w:after="160" w:lineRule="auto"/>
            <w:ind w:left="720" w:hanging="720"/>
            <w:jc w:val="left"/>
            <w:rPr/>
          </w:pPr>
          <w:r>
            <w:rPr>
              <w:rtl w:val="0"/>
            </w:rPr>
            <w:t xml:space="preserve">Sedrakyan, G., Malmberg, J., Verbert, K., Järvelä, S., &amp; Kirschner, P. A. (2020). Linking learning behavior analytics and learning science concepts: Designing a learning analytics dashboard for feedback to support learning regulation. </w:t>
          </w:r>
          <w:r>
            <w:rPr>
              <w:i w:val="1"/>
              <w:iCs w:val="1"/>
              <w:rtl w:val="0"/>
            </w:rPr>
            <w:t xml:space="preserve">Computers in Human Behavior</w:t>
          </w:r>
          <w:r>
            <w:rPr>
              <w:rtl w:val="0"/>
            </w:rPr>
            <w:t xml:space="preserve">, </w:t>
          </w:r>
          <w:r>
            <w:rPr>
              <w:i w:val="1"/>
              <w:iCs w:val="1"/>
              <w:rtl w:val="0"/>
            </w:rPr>
            <w:t xml:space="preserve">107</w:t>
          </w:r>
          <w:r>
            <w:rPr>
              <w:rtl w:val="0"/>
            </w:rPr>
            <w:t xml:space="preserve">, Article 105512. https://doi.org/10.1016/j.chb.2018.05.004</w:t>
          </w:r>
        </w:p>
        <w:p>
          <w:pPr>
            <w:spacing w:after="160" w:lineRule="auto"/>
            <w:ind w:left="720" w:hanging="720"/>
            <w:jc w:val="left"/>
            <w:rPr/>
          </w:pPr>
          <w:r>
            <w:rPr>
              <w:rtl w:val="0"/>
            </w:rPr>
            <w:t xml:space="preserve">Siemens, G., &amp; Long, P. (2011). Penetrating the fog: Analytics in learning and education. </w:t>
          </w:r>
          <w:r>
            <w:rPr>
              <w:i w:val="1"/>
              <w:iCs w:val="1"/>
              <w:rtl w:val="0"/>
            </w:rPr>
            <w:t xml:space="preserve">EDUCAUSE Review</w:t>
          </w:r>
          <w:r>
            <w:rPr>
              <w:rtl w:val="0"/>
            </w:rPr>
            <w:t xml:space="preserve">, </w:t>
          </w:r>
          <w:r>
            <w:rPr>
              <w:i w:val="1"/>
              <w:iCs w:val="1"/>
              <w:rtl w:val="0"/>
            </w:rPr>
            <w:t xml:space="preserve">46</w:t>
          </w:r>
          <w:r>
            <w:rPr>
              <w:rtl w:val="0"/>
            </w:rPr>
            <w:t xml:space="preserve">(5), 30–40. https://er.educause.edu/articles/2011/9/penetrating-the-fog-analytics-in-learning-and-education</w:t>
          </w:r>
        </w:p>
        <w:p>
          <w:pPr>
            <w:spacing w:after="160" w:lineRule="auto"/>
            <w:ind w:left="720" w:hanging="720"/>
            <w:jc w:val="left"/>
            <w:rPr/>
          </w:pPr>
          <w:r>
            <w:rPr>
              <w:rtl w:val="0"/>
            </w:rPr>
            <w:t xml:space="preserve">Slack, D., Hilgard, S., Jia, E., Singh, S., &amp; Lakkaraju, H. (2020). Fooling LIME and SHAP: Adversarial attacks on post hoc explanation methods. </w:t>
          </w:r>
          <w:r>
            <w:rPr>
              <w:i w:val="1"/>
              <w:iCs w:val="1"/>
              <w:rtl w:val="0"/>
            </w:rPr>
            <w:t xml:space="preserve">Proceedings of the AAAI/ACM Conference on AI, Ethics, and Society</w:t>
          </w:r>
          <w:r>
            <w:rPr>
              <w:rtl w:val="0"/>
            </w:rPr>
            <w:t xml:space="preserve">, 180–186. https://doi.org/10.1145/3375627.3375830</w:t>
          </w:r>
        </w:p>
        <w:p>
          <w:pPr>
            <w:spacing w:after="160" w:lineRule="auto"/>
            <w:ind w:left="720" w:hanging="720"/>
            <w:jc w:val="left"/>
            <w:rPr/>
          </w:pPr>
          <w:r>
            <w:rPr>
              <w:rtl w:val="0"/>
            </w:rPr>
            <w:t xml:space="preserve">Slade, S., &amp; Prinsloo, P. (2013). Learning analytics: Ethical issues and dilemmas. </w:t>
          </w:r>
          <w:r>
            <w:rPr>
              <w:i w:val="1"/>
              <w:iCs w:val="1"/>
              <w:rtl w:val="0"/>
            </w:rPr>
            <w:t xml:space="preserve">American Behavioral Scientist</w:t>
          </w:r>
          <w:r>
            <w:rPr>
              <w:rtl w:val="0"/>
            </w:rPr>
            <w:t xml:space="preserve">, </w:t>
          </w:r>
          <w:r>
            <w:rPr>
              <w:i w:val="1"/>
              <w:iCs w:val="1"/>
              <w:rtl w:val="0"/>
            </w:rPr>
            <w:t xml:space="preserve">57</w:t>
          </w:r>
          <w:r>
            <w:rPr>
              <w:rtl w:val="0"/>
            </w:rPr>
            <w:t xml:space="preserve">(10), 1510–1529. https://doi.org/10.1177/0002764213479366</w:t>
          </w:r>
        </w:p>
        <w:p>
          <w:pPr>
            <w:spacing w:after="160" w:lineRule="auto"/>
            <w:ind w:left="720" w:hanging="720"/>
            <w:jc w:val="left"/>
            <w:rPr/>
          </w:pPr>
          <w:r>
            <w:rPr>
              <w:rtl w:val="0"/>
            </w:rPr>
            <w:t xml:space="preserve">Sokol, K., &amp; Flach, P. (2020). Explainability fact sheets: A framework for systematic assessment of explainable approaches. </w:t>
          </w:r>
          <w:r>
            <w:rPr>
              <w:i w:val="1"/>
              <w:iCs w:val="1"/>
              <w:rtl w:val="0"/>
            </w:rPr>
            <w:t xml:space="preserve">Proceedings of the 2020 Conference on Fairness, Accountability, and Transparency</w:t>
          </w:r>
          <w:r>
            <w:rPr>
              <w:rtl w:val="0"/>
            </w:rPr>
            <w:t xml:space="preserve">, 56–67. https://doi.org/10.1145/3351095.3372870</w:t>
          </w:r>
        </w:p>
        <w:p>
          <w:pPr>
            <w:spacing w:after="160" w:lineRule="auto"/>
            <w:ind w:left="720" w:hanging="720"/>
            <w:jc w:val="left"/>
            <w:rPr/>
          </w:pPr>
          <w:r>
            <w:rPr>
              <w:rtl w:val="0"/>
            </w:rPr>
            <w:t xml:space="preserve">Springer, A., &amp; Whittaker, S. (2020). Progressive disclosure: When, why, and how do users want algorithmic transparency information? </w:t>
          </w:r>
          <w:r>
            <w:rPr>
              <w:i w:val="1"/>
              <w:iCs w:val="1"/>
              <w:rtl w:val="0"/>
            </w:rPr>
            <w:t xml:space="preserve">ACM Transactions on Interactive Intelligent Systems</w:t>
          </w:r>
          <w:r>
            <w:rPr>
              <w:rtl w:val="0"/>
            </w:rPr>
            <w:t xml:space="preserve">, </w:t>
          </w:r>
          <w:r>
            <w:rPr>
              <w:i w:val="1"/>
              <w:iCs w:val="1"/>
              <w:rtl w:val="0"/>
            </w:rPr>
            <w:t xml:space="preserve">10</w:t>
          </w:r>
          <w:r>
            <w:rPr>
              <w:rtl w:val="0"/>
            </w:rPr>
            <w:t xml:space="preserve">(4), 1–32. https://doi.org/10.1145/3374218</w:t>
          </w:r>
        </w:p>
        <w:p>
          <w:pPr>
            <w:spacing w:after="160" w:lineRule="auto"/>
            <w:ind w:left="720" w:hanging="720"/>
            <w:jc w:val="left"/>
            <w:rPr/>
          </w:pPr>
          <w:r>
            <w:rPr>
              <w:rtl w:val="0"/>
            </w:rPr>
            <w:t xml:space="preserve">Studer, R., Benjamins, V. R., &amp; Fensel, D. (1998). Knowledge engineering: Principles and methods. </w:t>
          </w:r>
          <w:r>
            <w:rPr>
              <w:i w:val="1"/>
              <w:iCs w:val="1"/>
              <w:rtl w:val="0"/>
            </w:rPr>
            <w:t xml:space="preserve">Data &amp; Knowledge Engineering</w:t>
          </w:r>
          <w:r>
            <w:rPr>
              <w:rtl w:val="0"/>
            </w:rPr>
            <w:t xml:space="preserve">, </w:t>
          </w:r>
          <w:r>
            <w:rPr>
              <w:i w:val="1"/>
              <w:iCs w:val="1"/>
              <w:rtl w:val="0"/>
            </w:rPr>
            <w:t xml:space="preserve">25</w:t>
          </w:r>
          <w:r>
            <w:rPr>
              <w:rtl w:val="0"/>
            </w:rPr>
            <w:t xml:space="preserve">(1–2), 161–197. https://doi.org/10.1016/S0169-023X(97)00056-6</w:t>
          </w:r>
        </w:p>
        <w:p>
          <w:pPr>
            <w:spacing w:after="160" w:lineRule="auto"/>
            <w:ind w:left="720" w:hanging="720"/>
            <w:jc w:val="left"/>
            <w:rPr/>
          </w:pPr>
          <w:r>
            <w:rPr>
              <w:rtl w:val="0"/>
            </w:rPr>
            <w:t xml:space="preserve">Susnjak, T., Ramaswami, G. S., &amp; Mathrani, A. (2022). Learning analytics dashboard: A tool for providing actionable insights to learners. </w:t>
          </w:r>
          <w:r>
            <w:rPr>
              <w:i w:val="1"/>
              <w:iCs w:val="1"/>
              <w:rtl w:val="0"/>
            </w:rPr>
            <w:t xml:space="preserve">International Journal of Educational Technology in Higher Education</w:t>
          </w:r>
          <w:r>
            <w:rPr>
              <w:rtl w:val="0"/>
            </w:rPr>
            <w:t xml:space="preserve">, </w:t>
          </w:r>
          <w:r>
            <w:rPr>
              <w:i w:val="1"/>
              <w:iCs w:val="1"/>
              <w:rtl w:val="0"/>
            </w:rPr>
            <w:t xml:space="preserve">19</w:t>
          </w:r>
          <w:r>
            <w:rPr>
              <w:rtl w:val="0"/>
            </w:rPr>
            <w:t xml:space="preserve">(1), Article 12. https://doi.org/10.1186/s41239-021-00313-7</w:t>
          </w:r>
        </w:p>
        <w:p>
          <w:pPr>
            <w:spacing w:after="160" w:lineRule="auto"/>
            <w:ind w:left="720" w:hanging="720"/>
            <w:jc w:val="left"/>
            <w:rPr/>
          </w:pPr>
          <w:r>
            <w:rPr>
              <w:rtl w:val="0"/>
            </w:rPr>
            <w:t xml:space="preserve">Tinto, V. (1975). Dropout from higher education: A theoretical synthesis of recent research. </w:t>
          </w:r>
          <w:r>
            <w:rPr>
              <w:i w:val="1"/>
              <w:iCs w:val="1"/>
              <w:rtl w:val="0"/>
            </w:rPr>
            <w:t xml:space="preserve">Review of Educational Research</w:t>
          </w:r>
          <w:r>
            <w:rPr>
              <w:rtl w:val="0"/>
            </w:rPr>
            <w:t xml:space="preserve">, </w:t>
          </w:r>
          <w:r>
            <w:rPr>
              <w:i w:val="1"/>
              <w:iCs w:val="1"/>
              <w:rtl w:val="0"/>
            </w:rPr>
            <w:t xml:space="preserve">45</w:t>
          </w:r>
          <w:r>
            <w:rPr>
              <w:rtl w:val="0"/>
            </w:rPr>
            <w:t xml:space="preserve">(1), 89–125. https://doi.org/10.3102/00346543045001089</w:t>
          </w:r>
        </w:p>
        <w:p>
          <w:pPr>
            <w:spacing w:after="160" w:lineRule="auto"/>
            <w:ind w:left="720" w:hanging="720"/>
            <w:jc w:val="left"/>
            <w:rPr/>
          </w:pPr>
          <w:r>
            <w:rPr>
              <w:rtl w:val="0"/>
            </w:rPr>
            <w:t xml:space="preserve">Tsai, Y.-S., &amp; Gašević, D. (2017). Learning analytics in higher education: Challenges and policies. </w:t>
          </w:r>
          <w:r>
            <w:rPr>
              <w:i w:val="1"/>
              <w:iCs w:val="1"/>
              <w:rtl w:val="0"/>
            </w:rPr>
            <w:t xml:space="preserve">Proceedings of the Seventh International Learning Analytics &amp; Knowledge Conference</w:t>
          </w:r>
          <w:r>
            <w:rPr>
              <w:rtl w:val="0"/>
            </w:rPr>
            <w:t xml:space="preserve">, 233–242. https://doi.org/10.1145/3027385.3027400</w:t>
          </w:r>
        </w:p>
        <w:p>
          <w:pPr>
            <w:spacing w:after="160" w:lineRule="auto"/>
            <w:ind w:left="720" w:hanging="720"/>
            <w:jc w:val="left"/>
            <w:rPr/>
          </w:pPr>
          <w:r>
            <w:rPr>
              <w:rtl w:val="0"/>
            </w:rPr>
            <w:t xml:space="preserve">van Buuren, S. (2018). </w:t>
          </w:r>
          <w:r>
            <w:rPr>
              <w:i w:val="1"/>
              <w:iCs w:val="1"/>
              <w:rtl w:val="0"/>
            </w:rPr>
            <w:t xml:space="preserve">Flexible imputation of missing data</w:t>
          </w:r>
          <w:r>
            <w:rPr>
              <w:rtl w:val="0"/>
            </w:rPr>
            <w:t xml:space="preserve"> (2nd ed.). CRC Press. https://doi.org/10.1201/9780429492259</w:t>
          </w:r>
        </w:p>
        <w:p>
          <w:pPr>
            <w:spacing w:after="160" w:lineRule="auto"/>
            <w:ind w:left="720" w:hanging="720"/>
            <w:jc w:val="left"/>
            <w:rPr/>
          </w:pPr>
          <w:r>
            <w:rPr>
              <w:rtl w:val="0"/>
            </w:rPr>
            <w:t xml:space="preserve">Venkatesh, V., &amp; Bala, H. (2008). Technology acceptance model 3 and a research agenda on interventions. </w:t>
          </w:r>
          <w:r>
            <w:rPr>
              <w:i w:val="1"/>
              <w:iCs w:val="1"/>
              <w:rtl w:val="0"/>
            </w:rPr>
            <w:t xml:space="preserve">Decision Sciences</w:t>
          </w:r>
          <w:r>
            <w:rPr>
              <w:rtl w:val="0"/>
            </w:rPr>
            <w:t xml:space="preserve">, </w:t>
          </w:r>
          <w:r>
            <w:rPr>
              <w:i w:val="1"/>
              <w:iCs w:val="1"/>
              <w:rtl w:val="0"/>
            </w:rPr>
            <w:t xml:space="preserve">39</w:t>
          </w:r>
          <w:r>
            <w:rPr>
              <w:rtl w:val="0"/>
            </w:rPr>
            <w:t xml:space="preserve">(2), 273–315. https://doi.org/10.1111/j.1540-5915.2008.00192.x</w:t>
          </w:r>
        </w:p>
        <w:p>
          <w:pPr>
            <w:spacing w:after="160" w:lineRule="auto"/>
            <w:ind w:left="720" w:hanging="720"/>
            <w:jc w:val="left"/>
            <w:rPr/>
          </w:pPr>
          <w:r>
            <w:rPr>
              <w:rtl w:val="0"/>
            </w:rPr>
            <w:t xml:space="preserve">Verbert, K., Duval, E., Klerkx, J., Govaerts, S., &amp; Santos, J. L. (2013). Learning analytics dashboard applications. </w:t>
          </w:r>
          <w:r>
            <w:rPr>
              <w:i w:val="1"/>
              <w:iCs w:val="1"/>
              <w:rtl w:val="0"/>
            </w:rPr>
            <w:t xml:space="preserve">American Behavioral Scientist</w:t>
          </w:r>
          <w:r>
            <w:rPr>
              <w:rtl w:val="0"/>
            </w:rPr>
            <w:t xml:space="preserve">, </w:t>
          </w:r>
          <w:r>
            <w:rPr>
              <w:i w:val="1"/>
              <w:iCs w:val="1"/>
              <w:rtl w:val="0"/>
            </w:rPr>
            <w:t xml:space="preserve">57</w:t>
          </w:r>
          <w:r>
            <w:rPr>
              <w:rtl w:val="0"/>
            </w:rPr>
            <w:t xml:space="preserve">(10), 1500–1509. https://doi.org/10.1177/0002764213479363</w:t>
          </w:r>
        </w:p>
        <w:p>
          <w:pPr>
            <w:spacing w:after="160" w:lineRule="auto"/>
            <w:ind w:left="720" w:hanging="720"/>
            <w:jc w:val="left"/>
            <w:rPr/>
          </w:pPr>
          <w:r>
            <w:rPr>
              <w:rtl w:val="0"/>
            </w:rPr>
            <w:t xml:space="preserve">Verbert, K., Ochoa, X., De Croon, R., Dourado, R. A., &amp; De Laet, T. (2020). Learning analytics dashboards: The past, the present and the future. </w:t>
          </w:r>
          <w:r>
            <w:rPr>
              <w:i w:val="1"/>
              <w:iCs w:val="1"/>
              <w:rtl w:val="0"/>
            </w:rPr>
            <w:t xml:space="preserve">Proceedings of the Tenth International Conference on Learning Analytics &amp; Knowledge</w:t>
          </w:r>
          <w:r>
            <w:rPr>
              <w:rtl w:val="0"/>
            </w:rPr>
            <w:t xml:space="preserve">, 35–40. https://doi.org/10.1145/3375462.3375504</w:t>
          </w:r>
        </w:p>
        <w:p>
          <w:pPr>
            <w:spacing w:after="160" w:lineRule="auto"/>
            <w:ind w:left="720" w:hanging="720"/>
            <w:jc w:val="left"/>
            <w:rPr/>
          </w:pPr>
          <w:r>
            <w:rPr>
              <w:rtl w:val="0"/>
            </w:rPr>
            <w:t xml:space="preserve">Viberg, O., Hatakka, M., Bälter, O., &amp; Mavroudi, A. (2018). The current landscape of learning analytics in higher education. </w:t>
          </w:r>
          <w:r>
            <w:rPr>
              <w:i w:val="1"/>
              <w:iCs w:val="1"/>
              <w:rtl w:val="0"/>
            </w:rPr>
            <w:t xml:space="preserve">Computers in Human Behavior</w:t>
          </w:r>
          <w:r>
            <w:rPr>
              <w:rtl w:val="0"/>
            </w:rPr>
            <w:t xml:space="preserve">, </w:t>
          </w:r>
          <w:r>
            <w:rPr>
              <w:i w:val="1"/>
              <w:iCs w:val="1"/>
              <w:rtl w:val="0"/>
            </w:rPr>
            <w:t xml:space="preserve">89</w:t>
          </w:r>
          <w:r>
            <w:rPr>
              <w:rtl w:val="0"/>
            </w:rPr>
            <w:t xml:space="preserve">, 98–110. https://doi.org/10.1016/j.chb.2018.07.027</w:t>
          </w:r>
        </w:p>
        <w:p>
          <w:pPr>
            <w:spacing w:after="160" w:lineRule="auto"/>
            <w:ind w:left="720" w:hanging="720"/>
            <w:jc w:val="left"/>
            <w:rPr/>
          </w:pPr>
          <w:r>
            <w:rPr>
              <w:rtl w:val="0"/>
            </w:rPr>
            <w:t xml:space="preserve">Visani, G., Bagli, E., Chesani, F., Poluzzi, A., &amp; Capuzzo, D. (2022). Statistical stability indices for LIME: Obtaining reliable explanations for machine learning models. </w:t>
          </w:r>
          <w:r>
            <w:rPr>
              <w:i w:val="1"/>
              <w:iCs w:val="1"/>
              <w:rtl w:val="0"/>
            </w:rPr>
            <w:t xml:space="preserve">Journal of the Operational Research Society</w:t>
          </w:r>
          <w:r>
            <w:rPr>
              <w:rtl w:val="0"/>
            </w:rPr>
            <w:t xml:space="preserve">, </w:t>
          </w:r>
          <w:r>
            <w:rPr>
              <w:i w:val="1"/>
              <w:iCs w:val="1"/>
              <w:rtl w:val="0"/>
            </w:rPr>
            <w:t xml:space="preserve">73</w:t>
          </w:r>
          <w:r>
            <w:rPr>
              <w:rtl w:val="0"/>
            </w:rPr>
            <w:t xml:space="preserve">(1), 91–101. https://doi.org/10.1080/01605682.2020.1865846</w:t>
          </w:r>
        </w:p>
        <w:p>
          <w:pPr>
            <w:spacing w:after="160" w:lineRule="auto"/>
            <w:ind w:left="720" w:hanging="720"/>
            <w:jc w:val="left"/>
            <w:rPr/>
          </w:pPr>
          <w:r>
            <w:rPr>
              <w:rtl w:val="0"/>
            </w:rPr>
            <w:t xml:space="preserve">Wachter, S., Mittelstadt, B., &amp; Russell, C. (2018). Counterfactual explanations without opening the black box: Automated decisions and the GDPR. </w:t>
          </w:r>
          <w:r>
            <w:rPr>
              <w:i w:val="1"/>
              <w:iCs w:val="1"/>
              <w:rtl w:val="0"/>
            </w:rPr>
            <w:t xml:space="preserve">Harvard Journal of Law &amp; Technology</w:t>
          </w:r>
          <w:r>
            <w:rPr>
              <w:rtl w:val="0"/>
            </w:rPr>
            <w:t xml:space="preserve">, </w:t>
          </w:r>
          <w:r>
            <w:rPr>
              <w:i w:val="1"/>
              <w:iCs w:val="1"/>
              <w:rtl w:val="0"/>
            </w:rPr>
            <w:t xml:space="preserve">31</w:t>
          </w:r>
          <w:r>
            <w:rPr>
              <w:rtl w:val="0"/>
            </w:rPr>
            <w:t xml:space="preserve">(2), 841–887.</w:t>
          </w:r>
        </w:p>
        <w:p>
          <w:pPr>
            <w:spacing w:after="160" w:lineRule="auto"/>
            <w:ind w:left="720" w:hanging="720"/>
            <w:jc w:val="left"/>
            <w:rPr/>
          </w:pPr>
          <w:r>
            <w:rPr>
              <w:rtl w:val="0"/>
            </w:rPr>
            <w:t xml:space="preserve">Waheed, H., Hassan, S.-U., Aljohani, N. R., Hardman, J., Alelyani, S., &amp; Nawaz, R. (2020). Predicting academic performance of students from VLE big data using deep learning models. </w:t>
          </w:r>
          <w:r>
            <w:rPr>
              <w:i w:val="1"/>
              <w:iCs w:val="1"/>
              <w:rtl w:val="0"/>
            </w:rPr>
            <w:t xml:space="preserve">Computers in Human Behavior</w:t>
          </w:r>
          <w:r>
            <w:rPr>
              <w:rtl w:val="0"/>
            </w:rPr>
            <w:t xml:space="preserve">, </w:t>
          </w:r>
          <w:r>
            <w:rPr>
              <w:i w:val="1"/>
              <w:iCs w:val="1"/>
              <w:rtl w:val="0"/>
            </w:rPr>
            <w:t xml:space="preserve">104</w:t>
          </w:r>
          <w:r>
            <w:rPr>
              <w:rtl w:val="0"/>
            </w:rPr>
            <w:t xml:space="preserve">, Article 106189. https://doi.org/10.1016/j.chb.2019.106189</w:t>
          </w:r>
        </w:p>
        <w:p>
          <w:pPr>
            <w:spacing w:after="160" w:lineRule="auto"/>
            <w:ind w:left="720" w:hanging="720"/>
            <w:jc w:val="left"/>
            <w:rPr/>
          </w:pPr>
          <w:r>
            <w:rPr>
              <w:rtl w:val="0"/>
            </w:rPr>
            <w:t xml:space="preserve">Wang, Y. (2025). Artificial intelligence in student management systems to enhance academic performance monitoring and intervention. </w:t>
          </w:r>
          <w:r>
            <w:rPr>
              <w:i w:val="1"/>
              <w:iCs w:val="1"/>
              <w:rtl w:val="0"/>
            </w:rPr>
            <w:t xml:space="preserve">Scientific Reports</w:t>
          </w:r>
          <w:r>
            <w:rPr>
              <w:rtl w:val="0"/>
            </w:rPr>
            <w:t xml:space="preserve">, </w:t>
          </w:r>
          <w:r>
            <w:rPr>
              <w:i w:val="1"/>
              <w:iCs w:val="1"/>
              <w:rtl w:val="0"/>
            </w:rPr>
            <w:t xml:space="preserve">15</w:t>
          </w:r>
          <w:r>
            <w:rPr>
              <w:rtl w:val="0"/>
            </w:rPr>
            <w:t xml:space="preserve">(1), Article 35122. https://doi.org/10.1038/s41598-025-19159-4</w:t>
          </w:r>
        </w:p>
        <w:p>
          <w:pPr>
            <w:spacing w:after="160" w:lineRule="auto"/>
            <w:ind w:left="720" w:hanging="720"/>
            <w:jc w:val="left"/>
            <w:rPr/>
          </w:pPr>
          <w:r>
            <w:rPr>
              <w:rtl w:val="0"/>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Pr>
              <w:i w:val="1"/>
              <w:iCs w:val="1"/>
              <w:rtl w:val="0"/>
            </w:rPr>
            <w:t xml:space="preserve">Scientific Data</w:t>
          </w:r>
          <w:r>
            <w:rPr>
              <w:rtl w:val="0"/>
            </w:rPr>
            <w:t xml:space="preserve">, </w:t>
          </w:r>
          <w:r>
            <w:rPr>
              <w:i w:val="1"/>
              <w:iCs w:val="1"/>
              <w:rtl w:val="0"/>
            </w:rPr>
            <w:t xml:space="preserve">3</w:t>
          </w:r>
          <w:r>
            <w:rPr>
              <w:rtl w:val="0"/>
            </w:rPr>
            <w:t xml:space="preserve">(1), Article 160018. https://doi.org/10.1038/sdata.2016.18</w:t>
          </w:r>
        </w:p>
        <w:p>
          <w:pPr>
            <w:spacing w:after="160" w:lineRule="auto"/>
            <w:ind w:left="720" w:hanging="720"/>
            <w:jc w:val="left"/>
            <w:rPr/>
          </w:pPr>
          <w:r>
            <w:rPr>
              <w:rtl w:val="0"/>
            </w:rPr>
            <w:t xml:space="preserve">Yu, R., Li, Q., Fischer, C., Doroudi, S., &amp; Xu, D. (2020). Towards accurate and fair prediction of college success: Evaluating different sources of student data. In A. N. Rafferty, J. Whitehill, V. Cavalli-Sforza, &amp; C. Romero (Eds.), </w:t>
          </w:r>
          <w:r>
            <w:rPr>
              <w:i w:val="1"/>
              <w:iCs w:val="1"/>
              <w:rtl w:val="0"/>
            </w:rPr>
            <w:t xml:space="preserve">Proceedings of the 13th International Conference on Educational Data Mining</w:t>
          </w:r>
          <w:r>
            <w:rPr>
              <w:rtl w:val="0"/>
            </w:rPr>
            <w:t xml:space="preserve"> (pp. 292–301). International Educational Data Mining Society.</w:t>
          </w:r>
        </w:p>
      </w:sdtContent>
    </w:sdt>
    <w:p w:rsidR="00000000" w:rsidDel="00000000" w:rsidP="00000000" w:rsidRDefault="00000000" w:rsidRPr="00000000" w14:paraId="000003E9">
      <w:pPr>
        <w:pStyle w:val="Heading1"/>
        <w:keepNext w:val="0"/>
        <w:keepLines w:val="0"/>
        <w:pageBreakBefore w:val="1"/>
        <w:spacing w:after="240" w:lineRule="auto"/>
        <w:jc w:val="center"/>
        <w:rPr/>
      </w:pPr>
      <w:bookmarkStart w:colFirst="0" w:colLast="0" w:name="_heading=h.2hmw005ol31z" w:id="92"/>
      <w:bookmarkEnd w:id="92"/>
      <w:r>
        <w:rPr>
          <w:color w:val="000000"/>
          <w:rtl w:val="0"/>
        </w:rPr>
        <w:t xml:space="preserve">LIST OF FIGURES</w:t>
      </w:r>
      <w:r>
        <w:rPr>
          <w:rtl w:val="0"/>
        </w:rPr>
      </w:r>
    </w:p>
    <w:p w:rsidR="00000000" w:rsidDel="00000000" w:rsidP="00000000" w:rsidRDefault="00000000" w:rsidRPr="00000000" w14:paraId="000003EA">
      <w:pPr>
        <w:tabs>
          <w:tab w:val="right" w:leader="none" w:pos="9350"/>
        </w:tabs>
        <w:spacing w:after="120" w:lineRule="auto"/>
        <w:ind w:left="1276" w:hanging="1276"/>
        <w:rPr/>
      </w:pPr>
      <w:r>
        <w:rPr>
          <w:rtl w:val="0"/>
        </w:rPr>
        <w:t xml:space="preserve">Figure 3.1 CommonKADS six-model suite adopted in this study (adapted from Schreiber et al., 2000)</w:t>
        <w:tab/>
        <w:t xml:space="preserve">23</w:t>
      </w:r>
    </w:p>
    <w:p w:rsidR="00000000" w:rsidDel="00000000" w:rsidP="00000000" w:rsidRDefault="00000000" w:rsidRPr="00000000" w14:paraId="000003EB">
      <w:pPr>
        <w:tabs>
          <w:tab w:val="right" w:leader="none" w:pos="9350"/>
        </w:tabs>
        <w:spacing w:after="120" w:lineRule="auto"/>
        <w:ind w:left="1276" w:hanging="1276"/>
        <w:rPr/>
      </w:pPr>
      <w:r>
        <w:rPr>
          <w:rtl w:val="0"/>
        </w:rPr>
        <w:t xml:space="preserve">Figure 3.2 Research process flowchart, from problem identification through evaluation and derivation of design guidelines</w:t>
        <w:tab/>
        <w:t xml:space="preserve">26</w:t>
      </w:r>
    </w:p>
    <w:p w:rsidR="00000000" w:rsidDel="00000000" w:rsidP="00000000" w:rsidRDefault="00000000" w:rsidRPr="00000000" w14:paraId="000003EC">
      <w:pPr>
        <w:tabs>
          <w:tab w:val="right" w:leader="none" w:pos="9350"/>
        </w:tabs>
        <w:spacing w:after="120" w:lineRule="auto"/>
        <w:ind w:left="1276" w:hanging="1276"/>
        <w:rPr/>
      </w:pPr>
      <w:r>
        <w:rPr>
          <w:rtl w:val="0"/>
        </w:rPr>
        <w:t xml:space="preserve">Figure 3.3 Layered system architecture separating data, prediction, explanation, personalization and presentation concerns</w:t>
        <w:tab/>
        <w:t xml:space="preserve">27</w:t>
      </w:r>
    </w:p>
    <w:p w:rsidR="00000000" w:rsidDel="00000000" w:rsidP="00000000" w:rsidRDefault="00000000" w:rsidRPr="00000000" w14:paraId="000003ED">
      <w:pPr>
        <w:tabs>
          <w:tab w:val="right" w:leader="none" w:pos="9350"/>
        </w:tabs>
        <w:spacing w:after="120" w:lineRule="auto"/>
        <w:ind w:left="1276" w:hanging="1276"/>
        <w:rPr/>
      </w:pPr>
      <w:r>
        <w:rPr>
          <w:rtl w:val="0"/>
        </w:rPr>
        <w:t xml:space="preserve">Figure 3.4 Dual-service explainability pipeline: global TreeSHAP is pre-computed and cached, while LIME (and local SHAP) are generated on demand</w:t>
        <w:tab/>
        <w:t xml:space="preserve">29</w:t>
      </w:r>
    </w:p>
    <w:p w:rsidR="00000000" w:rsidDel="00000000" w:rsidP="00000000" w:rsidRDefault="00000000" w:rsidRPr="00000000" w14:paraId="000003EE">
      <w:pPr>
        <w:tabs>
          <w:tab w:val="right" w:leader="none" w:pos="9350"/>
        </w:tabs>
        <w:spacing w:after="120" w:lineRule="auto"/>
        <w:ind w:left="1276" w:hanging="1276"/>
        <w:rPr/>
      </w:pPr>
      <w:r>
        <w:rPr>
          <w:rtl w:val="0"/>
        </w:rPr>
        <w:t xml:space="preserve">Figure 3.5 Mapping of shared prediction and explanation outputs to instructor, advisor and administrator dashboard views</w:t>
        <w:tab/>
        <w:t xml:space="preserve">30</w:t>
      </w:r>
    </w:p>
    <w:p w:rsidR="00000000" w:rsidDel="00000000" w:rsidP="00000000" w:rsidRDefault="00000000" w:rsidRPr="00000000" w14:paraId="000003EF">
      <w:pPr>
        <w:tabs>
          <w:tab w:val="right" w:leader="none" w:pos="9350"/>
        </w:tabs>
        <w:spacing w:after="120" w:lineRule="auto"/>
        <w:ind w:left="1276" w:hanging="1276"/>
        <w:rPr/>
      </w:pPr>
      <w:r>
        <w:rPr>
          <w:rtl w:val="0"/>
        </w:rPr>
        <w:t xml:space="preserve">Figure 4.1 System architecture, showing the data, prediction, explainability, interface, and presentation layers, the model development environment, and the two LMS integration paths tested</w:t>
        <w:tab/>
        <w:t xml:space="preserve">44</w:t>
      </w:r>
    </w:p>
    <w:p w:rsidR="00000000" w:rsidDel="00000000" w:rsidP="00000000" w:rsidRDefault="00000000" w:rsidRPr="00000000" w14:paraId="000003F0">
      <w:pPr>
        <w:tabs>
          <w:tab w:val="right" w:leader="none" w:pos="9350"/>
        </w:tabs>
        <w:spacing w:after="120" w:lineRule="auto"/>
        <w:ind w:left="1276" w:hanging="1276"/>
        <w:rPr/>
      </w:pPr>
      <w:r>
        <w:rPr>
          <w:rtl w:val="0"/>
        </w:rPr>
        <w:t xml:space="preserve">Figure 4.2 Screenshot from the prototype development: Google Colab pre-training of the OULAD dataset</w:t>
        <w:tab/>
        <w:t xml:space="preserve">46</w:t>
      </w:r>
    </w:p>
    <w:p w:rsidR="00000000" w:rsidDel="00000000" w:rsidP="00000000" w:rsidRDefault="00000000" w:rsidRPr="00000000" w14:paraId="000003F1">
      <w:pPr>
        <w:tabs>
          <w:tab w:val="right" w:leader="none" w:pos="9350"/>
        </w:tabs>
        <w:spacing w:after="120" w:lineRule="auto"/>
        <w:ind w:left="1276" w:hanging="1276"/>
        <w:rPr/>
      </w:pPr>
      <w:r>
        <w:rPr>
          <w:rtl w:val="0"/>
        </w:rPr>
        <w:t xml:space="preserve">Figure 4.3 Held-out performance of the prototype XGBoost classifier, computed out-of-fold with GroupKFold grouped by course presentation across all 32,593 OULAD student-module-presentation observations</w:t>
        <w:tab/>
        <w:t xml:space="preserve">50</w:t>
      </w:r>
    </w:p>
    <w:p w:rsidR="00000000" w:rsidDel="00000000" w:rsidP="00000000" w:rsidRDefault="00000000" w:rsidRPr="00000000" w14:paraId="000003F2">
      <w:pPr>
        <w:tabs>
          <w:tab w:val="right" w:leader="none" w:pos="9350"/>
        </w:tabs>
        <w:spacing w:after="120" w:lineRule="auto"/>
        <w:ind w:left="1276" w:hanging="1276"/>
        <w:rPr/>
      </w:pPr>
      <w:r>
        <w:rPr>
          <w:rtl w:val="0"/>
        </w:rPr>
        <w:t xml:space="preserve">Figure 4.4 Screenshot from the prototype development: instructor view, per-student SHAP and LIME reasoning trail, shown side by side for a single OULAD student</w:t>
        <w:tab/>
        <w:t xml:space="preserve">53</w:t>
      </w:r>
    </w:p>
    <w:p w:rsidR="00000000" w:rsidDel="00000000" w:rsidP="00000000" w:rsidRDefault="00000000" w:rsidRPr="00000000" w14:paraId="000003F3">
      <w:pPr>
        <w:tabs>
          <w:tab w:val="right" w:leader="none" w:pos="9350"/>
        </w:tabs>
        <w:spacing w:after="120" w:lineRule="auto"/>
        <w:ind w:left="1276" w:hanging="1276"/>
        <w:rPr/>
      </w:pPr>
      <w:r>
        <w:rPr>
          <w:rtl w:val="0"/>
        </w:rPr>
        <w:t xml:space="preserve">Figure 4.5 Screenshot from the prototype development: advisor view, cohort-averaged reasoning trail for students flagged at or above the watch threshold</w:t>
        <w:tab/>
        <w:t xml:space="preserve">53</w:t>
      </w:r>
    </w:p>
    <w:p w:rsidR="00000000" w:rsidDel="00000000" w:rsidP="00000000" w:rsidRDefault="00000000" w:rsidRPr="00000000" w14:paraId="000003F4">
      <w:pPr>
        <w:tabs>
          <w:tab w:val="right" w:leader="none" w:pos="9350"/>
        </w:tabs>
        <w:spacing w:after="120" w:lineRule="auto"/>
        <w:ind w:left="1276" w:hanging="1276"/>
        <w:rPr/>
      </w:pPr>
      <w:r>
        <w:rPr>
          <w:rtl w:val="0"/>
        </w:rPr>
        <w:t xml:space="preserve">Figure 4.6 Screenshot from the prototype development: administrator view, institution-wide model performance summary and full-population reasoning trail</w:t>
        <w:tab/>
        <w:t xml:space="preserve">54</w:t>
      </w:r>
    </w:p>
    <w:p w:rsidR="00000000" w:rsidDel="00000000" w:rsidP="00000000" w:rsidRDefault="00000000" w:rsidRPr="00000000" w14:paraId="000003F5">
      <w:pPr>
        <w:tabs>
          <w:tab w:val="right" w:leader="none" w:pos="9350"/>
        </w:tabs>
        <w:spacing w:after="120" w:lineRule="auto"/>
        <w:ind w:left="1276" w:hanging="1276"/>
        <w:rPr/>
      </w:pPr>
      <w:r>
        <w:rPr>
          <w:rtl w:val="0"/>
        </w:rPr>
        <w:t xml:space="preserve">Figure 4.7 Screenshot from the prototype development: authentication and role resolution, (a) Moodle login page (role and course context come from Moodle), (b) dashboard sign-in inside a Canvas course</w:t>
        <w:tab/>
        <w:t xml:space="preserve">55</w:t>
      </w:r>
    </w:p>
    <w:p w:rsidR="00000000" w:rsidDel="00000000" w:rsidP="00000000" w:rsidRDefault="00000000" w:rsidRPr="00000000" w14:paraId="000003F6">
      <w:pPr>
        <w:tabs>
          <w:tab w:val="right" w:leader="none" w:pos="9350"/>
        </w:tabs>
        <w:spacing w:after="120" w:lineRule="auto"/>
        <w:ind w:left="1276" w:hanging="1276"/>
        <w:rPr/>
      </w:pPr>
      <w:r>
        <w:rPr>
          <w:rtl w:val="0"/>
        </w:rPr>
        <w:t xml:space="preserve">Figure 4.8 Screenshot from the prototype development: At-risk insights page of the Moodle plugin in course FFF-2014J, with the SHAP and LIME reasoning trail for one student</w:t>
        <w:tab/>
        <w:t xml:space="preserve">57</w:t>
      </w:r>
    </w:p>
    <w:p w:rsidR="00000000" w:rsidDel="00000000" w:rsidP="00000000" w:rsidRDefault="00000000" w:rsidRPr="00000000" w14:paraId="000003F7">
      <w:pPr>
        <w:tabs>
          <w:tab w:val="right" w:leader="none" w:pos="9350"/>
        </w:tabs>
        <w:spacing w:after="120" w:lineRule="auto"/>
        <w:ind w:left="1276" w:hanging="1276"/>
        <w:rPr/>
      </w:pPr>
      <w:r>
        <w:rPr>
          <w:rtl w:val="0"/>
        </w:rPr>
        <w:t xml:space="preserve">Figure 4.9 Screenshot from the prototype development: Canvas course FFF-2014J with the dashboard embedded through an External URL module item</w:t>
        <w:tab/>
        <w:t xml:space="preserve">58</w:t>
      </w:r>
    </w:p>
    <w:p w:rsidR="00000000" w:rsidDel="00000000" w:rsidP="00000000" w:rsidRDefault="00000000" w:rsidRPr="00000000" w14:paraId="000003F8">
      <w:pPr>
        <w:tabs>
          <w:tab w:val="right" w:leader="none" w:pos="9350"/>
        </w:tabs>
        <w:spacing w:after="120" w:lineRule="auto"/>
        <w:ind w:left="1276" w:hanging="1276"/>
        <w:rPr/>
      </w:pPr>
      <w:r>
        <w:rPr>
          <w:rtl w:val="0"/>
        </w:rPr>
        <w:t xml:space="preserve">Figure 5.1 XGBoost out-of-fold accuracy, precision, recall, and F1-score (left) and the corresponding out-of-fold confusion matrix at the 0.5 decision threshold (right), across all 32,593 OULAD student-module-presentation observations</w:t>
        <w:tab/>
        <w:t xml:space="preserve">62</w:t>
      </w:r>
    </w:p>
    <w:p w:rsidR="00000000" w:rsidDel="00000000" w:rsidP="00000000" w:rsidRDefault="00000000" w:rsidRPr="00000000" w14:paraId="000003F9">
      <w:pPr>
        <w:tabs>
          <w:tab w:val="right" w:leader="none" w:pos="9350"/>
        </w:tabs>
        <w:spacing w:after="120" w:lineRule="auto"/>
        <w:ind w:left="1276" w:hanging="1276"/>
        <w:rPr/>
      </w:pPr>
      <w:r>
        <w:rPr>
          <w:rtl w:val="0"/>
        </w:rPr>
        <w:t xml:space="preserve">Figure 5.2 XGBoost, Random Forest, and Gradient Boosting compared on the four required metrics under the identical protocol</w:t>
        <w:tab/>
        <w:t xml:space="preserve">63</w:t>
      </w:r>
    </w:p>
    <w:p w:rsidR="00000000" w:rsidDel="00000000" w:rsidP="00000000" w:rsidRDefault="00000000" w:rsidRPr="00000000" w14:paraId="000003FA">
      <w:pPr>
        <w:tabs>
          <w:tab w:val="right" w:leader="none" w:pos="9350"/>
        </w:tabs>
        <w:spacing w:after="120" w:lineRule="auto"/>
        <w:ind w:left="1276" w:hanging="1276"/>
        <w:rPr/>
      </w:pPr>
      <w:r>
        <w:rPr>
          <w:rtl w:val="0"/>
        </w:rPr>
        <w:t xml:space="preserve">Figure 5.3 XGBoost out-of-fold accuracy, precision, recall, and F1-score for each held-out course presentation</w:t>
        <w:tab/>
        <w:t xml:space="preserve">64</w:t>
      </w:r>
    </w:p>
    <w:p w:rsidR="00000000" w:rsidDel="00000000" w:rsidP="00000000" w:rsidRDefault="00000000" w:rsidRPr="00000000" w14:paraId="000003FB">
      <w:pPr>
        <w:tabs>
          <w:tab w:val="right" w:leader="none" w:pos="9350"/>
        </w:tabs>
        <w:spacing w:after="120" w:lineRule="auto"/>
        <w:ind w:left="1276" w:hanging="1276"/>
        <w:rPr/>
      </w:pPr>
      <w:r>
        <w:rPr>
          <w:rtl w:val="0"/>
        </w:rPr>
        <w:t xml:space="preserve">Figure 5.4 Top 15 global TreeSHAP features by mean absolute SHAP value</w:t>
        <w:tab/>
        <w:t xml:space="preserve">66</w:t>
      </w:r>
    </w:p>
    <w:p w:rsidR="00000000" w:rsidDel="00000000" w:rsidP="00000000" w:rsidRDefault="00000000" w:rsidRPr="00000000" w14:paraId="000003FC">
      <w:pPr>
        <w:tabs>
          <w:tab w:val="right" w:leader="none" w:pos="9350"/>
        </w:tabs>
        <w:spacing w:after="120" w:lineRule="auto"/>
        <w:ind w:left="1276" w:hanging="1276"/>
        <w:rPr/>
      </w:pPr>
      <w:r>
        <w:rPr>
          <w:rtl w:val="0"/>
        </w:rPr>
        <w:t xml:space="preserve">Figure 5.5 SHAP global top 10 (left) and LIME aggregate top 10 (right), shown side by side</w:t>
        <w:tab/>
        <w:t xml:space="preserve">68</w:t>
      </w:r>
    </w:p>
    <w:p w:rsidR="00000000" w:rsidDel="00000000" w:rsidP="00000000" w:rsidRDefault="00000000" w:rsidRPr="00000000" w14:paraId="000003FD">
      <w:pPr>
        <w:tabs>
          <w:tab w:val="right" w:leader="none" w:pos="9350"/>
        </w:tabs>
        <w:spacing w:after="120" w:lineRule="auto"/>
        <w:ind w:left="1276" w:hanging="1276"/>
        <w:rPr/>
      </w:pPr>
      <w:r>
        <w:rPr>
          <w:rtl w:val="0"/>
        </w:rPr>
        <w:t xml:space="preserve">Figure 6.1 Relationship between Prediction, Explanation, Human Interpretation and Intervention</w:t>
        <w:tab/>
        <w:t xml:space="preserve">86</w:t>
      </w:r>
    </w:p>
    <w:p w:rsidR="00000000" w:rsidDel="00000000" w:rsidP="00000000" w:rsidRDefault="00000000" w:rsidRPr="00000000" w14:paraId="000003FE">
      <w:pPr>
        <w:pStyle w:val="Heading1"/>
        <w:keepNext w:val="0"/>
        <w:keepLines w:val="0"/>
        <w:pageBreakBefore w:val="1"/>
        <w:spacing w:after="240" w:lineRule="auto"/>
        <w:jc w:val="center"/>
        <w:rPr/>
      </w:pPr>
      <w:bookmarkStart w:colFirst="0" w:colLast="0" w:name="_heading=h.4x0vackt7uq" w:id="93"/>
      <w:bookmarkEnd w:id="93"/>
      <w:r>
        <w:rPr>
          <w:color w:val="000000"/>
          <w:rtl w:val="0"/>
        </w:rPr>
        <w:t xml:space="preserve">LIST OF TABLES</w:t>
      </w:r>
      <w:r>
        <w:rPr>
          <w:rtl w:val="0"/>
        </w:rPr>
      </w:r>
    </w:p>
    <w:p w:rsidR="00000000" w:rsidDel="00000000" w:rsidP="00000000" w:rsidRDefault="00000000" w:rsidRPr="00000000" w14:paraId="000003FF">
      <w:pPr>
        <w:tabs>
          <w:tab w:val="right" w:leader="none" w:pos="9350"/>
        </w:tabs>
        <w:spacing w:after="120" w:lineRule="auto"/>
        <w:ind w:left="1276" w:hanging="1276"/>
        <w:rPr/>
      </w:pPr>
      <w:r>
        <w:rPr>
          <w:rtl w:val="0"/>
        </w:rPr>
        <w:t xml:space="preserve">Table 3.1 Instantiation of the CommonKADS models in this study</w:t>
        <w:tab/>
        <w:t xml:space="preserve">22</w:t>
      </w:r>
    </w:p>
    <w:p w:rsidR="00000000" w:rsidDel="00000000" w:rsidP="00000000" w:rsidRDefault="00000000" w:rsidRPr="00000000" w14:paraId="00000400">
      <w:pPr>
        <w:tabs>
          <w:tab w:val="right" w:leader="none" w:pos="9350"/>
        </w:tabs>
        <w:spacing w:after="120" w:lineRule="auto"/>
        <w:ind w:left="1276" w:hanging="1276"/>
        <w:rPr/>
      </w:pPr>
      <w:r>
        <w:rPr>
          <w:rtl w:val="0"/>
        </w:rPr>
        <w:t xml:space="preserve">Table 3.2 Role-based dashboard design: decisions, information needs, components, and explanation granularity</w:t>
        <w:tab/>
        <w:t xml:space="preserve">36</w:t>
      </w:r>
    </w:p>
    <w:p w:rsidR="00000000" w:rsidDel="00000000" w:rsidP="00000000" w:rsidRDefault="00000000" w:rsidRPr="00000000" w14:paraId="00000401">
      <w:pPr>
        <w:tabs>
          <w:tab w:val="right" w:leader="none" w:pos="9350"/>
        </w:tabs>
        <w:spacing w:after="120" w:lineRule="auto"/>
        <w:ind w:left="1276" w:hanging="1276"/>
        <w:rPr/>
      </w:pPr>
      <w:r>
        <w:rPr>
          <w:rtl w:val="0"/>
        </w:rPr>
        <w:t xml:space="preserve">Table 4.1 Frameworks and libraries used by architectural layers</w:t>
        <w:tab/>
        <w:t xml:space="preserve">46</w:t>
      </w:r>
    </w:p>
    <w:p w:rsidR="00000000" w:rsidDel="00000000" w:rsidP="00000000" w:rsidRDefault="00000000" w:rsidRPr="00000000" w14:paraId="00000402">
      <w:pPr>
        <w:tabs>
          <w:tab w:val="right" w:leader="none" w:pos="9350"/>
        </w:tabs>
        <w:spacing w:after="120" w:lineRule="auto"/>
        <w:ind w:left="1276" w:hanging="1276"/>
        <w:rPr/>
      </w:pPr>
      <w:r>
        <w:rPr>
          <w:rtl w:val="0"/>
        </w:rPr>
        <w:t xml:space="preserve">Table 5.1 Held-out (out-of-fold) performance of the prototype XGBoost classifier, GroupKFold by course presentation</w:t>
        <w:tab/>
        <w:t xml:space="preserve">61</w:t>
      </w:r>
    </w:p>
    <w:p w:rsidR="00000000" w:rsidDel="00000000" w:rsidP="00000000" w:rsidRDefault="00000000" w:rsidRPr="00000000" w14:paraId="00000403">
      <w:pPr>
        <w:tabs>
          <w:tab w:val="right" w:leader="none" w:pos="9350"/>
        </w:tabs>
        <w:spacing w:after="120" w:lineRule="auto"/>
        <w:ind w:left="1276" w:hanging="1276"/>
        <w:rPr/>
      </w:pPr>
      <w:r>
        <w:rPr>
          <w:rtl w:val="0"/>
        </w:rPr>
        <w:t xml:space="preserve">Table 5.2 Ensemble comparison under the identical GroupKFold(code_presentation) protocol. XGBoost is the prototype model; Random Forest and Gradient Boosting were evaluated for comparison only and are not used in the prototype</w:t>
        <w:tab/>
        <w:t xml:space="preserve">63</w:t>
      </w:r>
    </w:p>
    <w:p w:rsidR="00000000" w:rsidDel="00000000" w:rsidP="00000000" w:rsidRDefault="00000000" w:rsidRPr="00000000" w14:paraId="00000404">
      <w:pPr>
        <w:tabs>
          <w:tab w:val="right" w:leader="none" w:pos="9350"/>
        </w:tabs>
        <w:spacing w:after="120" w:lineRule="auto"/>
        <w:ind w:left="1276" w:hanging="1276"/>
        <w:rPr/>
      </w:pPr>
      <w:r>
        <w:rPr>
          <w:rtl w:val="0"/>
        </w:rPr>
        <w:t xml:space="preserve">Table 5.3 XGBoost out-of-fold performance with each course presentation held out in turn</w:t>
        <w:tab/>
        <w:t xml:space="preserve">64</w:t>
      </w:r>
    </w:p>
    <w:p w:rsidR="00000000" w:rsidDel="00000000" w:rsidP="00000000" w:rsidRDefault="00000000" w:rsidRPr="00000000" w14:paraId="00000405">
      <w:pPr>
        <w:tabs>
          <w:tab w:val="right" w:leader="none" w:pos="9350"/>
        </w:tabs>
        <w:spacing w:after="120" w:lineRule="auto"/>
        <w:ind w:left="1276" w:hanging="1276"/>
        <w:rPr/>
      </w:pPr>
      <w:r>
        <w:rPr>
          <w:rtl w:val="0"/>
        </w:rPr>
        <w:t xml:space="preserve">Table 5.4 Top 15 features by global TreeSHAP importance (mean absolute SHAP value, log-odds units), all 32,593 observations</w:t>
        <w:tab/>
        <w:t xml:space="preserve">65</w:t>
      </w:r>
    </w:p>
    <w:p w:rsidR="00000000" w:rsidDel="00000000" w:rsidP="00000000" w:rsidRDefault="00000000" w:rsidRPr="00000000" w14:paraId="00000406">
      <w:pPr>
        <w:tabs>
          <w:tab w:val="right" w:leader="none" w:pos="9350"/>
        </w:tabs>
        <w:spacing w:after="120" w:lineRule="auto"/>
        <w:ind w:left="1276" w:hanging="1276"/>
        <w:rPr/>
      </w:pPr>
      <w:r>
        <w:rPr>
          <w:rtl w:val="0"/>
        </w:rPr>
        <w:t xml:space="preserve">Table 5.5 Top 10 features by mean absolute LIME weight, aggregated over 40 sampled instances (seed 42)</w:t>
        <w:tab/>
        <w:t xml:space="preserve">67</w:t>
      </w:r>
    </w:p>
    <w:p w:rsidR="00000000" w:rsidDel="00000000" w:rsidP="00000000" w:rsidRDefault="00000000" w:rsidRPr="00000000" w14:paraId="00000407">
      <w:pPr>
        <w:tabs>
          <w:tab w:val="right" w:leader="none" w:pos="9350"/>
        </w:tabs>
        <w:spacing w:after="120" w:lineRule="auto"/>
        <w:ind w:left="1276" w:hanging="1276"/>
        <w:rPr/>
      </w:pPr>
      <w:r>
        <w:rPr>
          <w:rtl w:val="0"/>
        </w:rPr>
        <w:t xml:space="preserve">Table 5.6 Comparison between the methodology originally specified in Chapter 3 and the implementation evaluated in this chapter</w:t>
        <w:tab/>
        <w:t xml:space="preserve">69</w:t>
      </w:r>
    </w:p>
    <w:p w:rsidR="00000000" w:rsidDel="00000000" w:rsidP="00000000" w:rsidRDefault="00000000" w:rsidRPr="00000000" w14:paraId="00000408">
      <w:pPr>
        <w:tabs>
          <w:tab w:val="right" w:leader="none" w:pos="9350"/>
        </w:tabs>
        <w:spacing w:after="120" w:lineRule="auto"/>
        <w:ind w:left="1276" w:hanging="1276"/>
        <w:rPr/>
      </w:pPr>
      <w:r>
        <w:rPr>
          <w:rtl w:val="0"/>
        </w:rPr>
        <w:t xml:space="preserve">Table 6.1 Transferability of the components of the role-aware XAI framework</w:t>
        <w:tab/>
        <w:t xml:space="preserve">92</w:t>
      </w:r>
    </w:p>
    <w:p w:rsidR="00000000" w:rsidDel="00000000" w:rsidP="00000000" w:rsidRDefault="00000000" w:rsidRPr="00000000" w14:paraId="00000409">
      <w:pPr>
        <w:tabs>
          <w:tab w:val="right" w:leader="none" w:pos="9350"/>
        </w:tabs>
        <w:spacing w:after="120" w:lineRule="auto"/>
        <w:ind w:left="1276" w:hanging="1276"/>
        <w:rPr/>
      </w:pPr>
      <w:r>
        <w:rPr>
          <w:rtl w:val="0"/>
        </w:rPr>
        <w:t xml:space="preserve">Table A.1 Reproducibility details of the evaluated pipeline</w:t>
        <w:tab/>
        <w:t xml:space="preserve">116</w:t>
      </w:r>
    </w:p>
    <w:p w:rsidR="00000000" w:rsidDel="00000000" w:rsidP="00000000" w:rsidRDefault="00000000" w:rsidRPr="00000000" w14:paraId="0000040A">
      <w:pPr>
        <w:tabs>
          <w:tab w:val="right" w:leader="none" w:pos="9350"/>
        </w:tabs>
        <w:spacing w:after="120" w:lineRule="auto"/>
        <w:ind w:left="1276" w:hanging="1276"/>
        <w:rPr/>
      </w:pPr>
      <w:r>
        <w:rPr>
          <w:rtl w:val="0"/>
        </w:rPr>
        <w:t xml:space="preserve">Table B.1 Feature definitions, source tables, calculation, and temporal availability</w:t>
        <w:tab/>
        <w:t xml:space="preserve">117</w:t>
      </w:r>
    </w:p>
    <w:p w:rsidR="00000000" w:rsidDel="00000000" w:rsidP="00000000" w:rsidRDefault="00000000" w:rsidRPr="00000000" w14:paraId="0000040B">
      <w:pPr>
        <w:pStyle w:val="Heading1"/>
        <w:keepNext w:val="0"/>
        <w:keepLines w:val="0"/>
        <w:pageBreakBefore w:val="1"/>
        <w:spacing w:after="240" w:lineRule="auto"/>
        <w:jc w:val="center"/>
        <w:rPr/>
      </w:pPr>
      <w:bookmarkStart w:colFirst="0" w:colLast="0" w:name="_heading=h.sewmzyy8azjm" w:id="94"/>
      <w:bookmarkEnd w:id="94"/>
      <w:r>
        <w:rPr>
          <w:color w:val="000000"/>
          <w:rtl w:val="0"/>
        </w:rPr>
        <w:t xml:space="preserve">ABBREVIATIONS</w:t>
      </w:r>
      <w:r>
        <w:rPr>
          <w:rtl w:val="0"/>
        </w:rPr>
      </w:r>
    </w:p>
    <w:p w:rsidR="00000000" w:rsidDel="00000000" w:rsidP="00000000" w:rsidRDefault="00000000" w:rsidRPr="00000000" w14:paraId="0000040C">
      <w:pPr>
        <w:spacing w:after="120" w:lineRule="auto"/>
        <w:ind w:left="2160" w:hanging="2160"/>
        <w:rPr/>
      </w:pPr>
      <w:r>
        <w:rPr>
          <w:b w:val="1"/>
          <w:bCs w:val="1"/>
          <w:rtl w:val="0"/>
        </w:rPr>
        <w:t xml:space="preserve">AI</w:t>
      </w:r>
      <w:r>
        <w:rPr>
          <w:rtl w:val="0"/>
        </w:rPr>
        <w:tab/>
        <w:t xml:space="preserve">Artificial Intelligence</w:t>
      </w:r>
    </w:p>
    <w:p w:rsidR="00000000" w:rsidDel="00000000" w:rsidP="00000000" w:rsidRDefault="00000000" w:rsidRPr="00000000" w14:paraId="0000040D">
      <w:pPr>
        <w:spacing w:after="120" w:lineRule="auto"/>
        <w:ind w:left="2160" w:hanging="2160"/>
        <w:rPr/>
      </w:pPr>
      <w:r>
        <w:rPr>
          <w:b w:val="1"/>
          <w:bCs w:val="1"/>
          <w:rtl w:val="0"/>
        </w:rPr>
        <w:t xml:space="preserve">API</w:t>
      </w:r>
      <w:r>
        <w:rPr>
          <w:rtl w:val="0"/>
        </w:rPr>
        <w:tab/>
        <w:t xml:space="preserve">Application Programming Interface</w:t>
      </w:r>
    </w:p>
    <w:p w:rsidR="00000000" w:rsidDel="00000000" w:rsidP="00000000" w:rsidRDefault="00000000" w:rsidRPr="00000000" w14:paraId="0000040E">
      <w:pPr>
        <w:spacing w:after="120" w:lineRule="auto"/>
        <w:ind w:left="2160" w:hanging="2160"/>
        <w:rPr/>
      </w:pPr>
      <w:r>
        <w:rPr>
          <w:b w:val="1"/>
          <w:bCs w:val="1"/>
          <w:rtl w:val="0"/>
        </w:rPr>
        <w:t xml:space="preserve">AUC</w:t>
      </w:r>
      <w:r>
        <w:rPr>
          <w:rtl w:val="0"/>
        </w:rPr>
        <w:tab/>
        <w:t xml:space="preserve">Area Under the Curve</w:t>
      </w:r>
    </w:p>
    <w:p w:rsidR="00000000" w:rsidDel="00000000" w:rsidP="00000000" w:rsidRDefault="00000000" w:rsidRPr="00000000" w14:paraId="0000040F">
      <w:pPr>
        <w:spacing w:after="120" w:lineRule="auto"/>
        <w:ind w:left="2160" w:hanging="2160"/>
        <w:rPr/>
      </w:pPr>
      <w:r>
        <w:rPr>
          <w:b w:val="1"/>
          <w:bCs w:val="1"/>
          <w:rtl w:val="0"/>
        </w:rPr>
        <w:t xml:space="preserve">CommonKADS</w:t>
      </w:r>
      <w:r>
        <w:rPr>
          <w:rtl w:val="0"/>
        </w:rPr>
        <w:tab/>
      </w:r>
      <w:r>
        <w:rPr>
          <w:rtl w:val="0"/>
        </w:rPr>
        <w:t xml:space="preserve">Knowledge engineering methodology adopted in this study </w:t>
      </w:r>
      <w:sdt>
        <w:sdtPr>
          <w:rPr>
            <w:rtl w:val="0"/>
          </w:rPr>
          <w:tag w:val="MENDELEY_CITATION_v3_eyJjaXRhdGlvbklEIjogIk1FTkRFTEVZX0NJVEFUSU9OXzQ2ZTY4NTI5LWJkMDAtNWNjYS04NDZlLTQ2YmNiN2EwNzIxNyIsICJwcm9wZXJ0aWVzIjogeyJub3RlSW5kZXgiOiAwfSwgImlzRWRpdGVkIjogZmFsc2UsICJtYW51YWxPdmVycmlkZSI6IHsiaXNNYW51YWxseU92ZXJyaWRkZW4iOiBmYWxzZSwgImNpdGVwcm9jVGV4dCI6ICIoU2NocmVpYmVyIGV0IGFsLiwg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V9XX0="/>
          <w:id w:val="1862591869"/>
        </w:sdtPr>
        <w:sdtContent>
          <w:r>
            <w:rPr>
              <w:rtl w:val="0"/>
            </w:rPr>
            <w:t xml:space="preserve">(Schreiber et al., 2000)</w:t>
          </w:r>
        </w:sdtContent>
      </w:sdt>
    </w:p>
    <w:p w:rsidR="00000000" w:rsidDel="00000000" w:rsidP="00000000" w:rsidRDefault="00000000" w:rsidRPr="00000000" w14:paraId="00000410">
      <w:pPr>
        <w:spacing w:after="120" w:lineRule="auto"/>
        <w:ind w:left="2160" w:hanging="2160"/>
        <w:rPr/>
      </w:pPr>
      <w:r>
        <w:rPr>
          <w:b w:val="1"/>
          <w:bCs w:val="1"/>
          <w:rtl w:val="0"/>
        </w:rPr>
        <w:t xml:space="preserve">CSV</w:t>
      </w:r>
      <w:r>
        <w:rPr>
          <w:rtl w:val="0"/>
        </w:rPr>
        <w:tab/>
        <w:t xml:space="preserve">Comma-Separated Values</w:t>
      </w:r>
    </w:p>
    <w:p w:rsidR="00000000" w:rsidDel="00000000" w:rsidP="00000000" w:rsidRDefault="00000000" w:rsidRPr="00000000" w14:paraId="00000411">
      <w:pPr>
        <w:spacing w:after="120" w:lineRule="auto"/>
        <w:ind w:left="2160" w:hanging="2160"/>
        <w:rPr/>
      </w:pPr>
      <w:r>
        <w:rPr>
          <w:b w:val="1"/>
          <w:bCs w:val="1"/>
          <w:rtl w:val="0"/>
        </w:rPr>
        <w:t xml:space="preserve">DSRM</w:t>
      </w:r>
      <w:r>
        <w:rPr>
          <w:rtl w:val="0"/>
        </w:rPr>
        <w:tab/>
        <w:t xml:space="preserve">Design Science Research Methodology</w:t>
      </w:r>
    </w:p>
    <w:p w:rsidR="00000000" w:rsidDel="00000000" w:rsidP="00000000" w:rsidRDefault="00000000" w:rsidRPr="00000000" w14:paraId="00000412">
      <w:pPr>
        <w:spacing w:after="120" w:lineRule="auto"/>
        <w:ind w:left="2160" w:hanging="2160"/>
        <w:rPr/>
      </w:pPr>
      <w:r>
        <w:rPr>
          <w:b w:val="1"/>
          <w:bCs w:val="1"/>
          <w:rtl w:val="0"/>
        </w:rPr>
        <w:t xml:space="preserve">GPU</w:t>
      </w:r>
      <w:r>
        <w:rPr>
          <w:rtl w:val="0"/>
        </w:rPr>
        <w:tab/>
        <w:t xml:space="preserve">Graphics Processing Unit</w:t>
      </w:r>
    </w:p>
    <w:p w:rsidR="00000000" w:rsidDel="00000000" w:rsidP="00000000" w:rsidRDefault="00000000" w:rsidRPr="00000000" w14:paraId="00000413">
      <w:pPr>
        <w:spacing w:after="120" w:lineRule="auto"/>
        <w:ind w:left="2160" w:hanging="2160"/>
        <w:rPr/>
      </w:pPr>
      <w:r>
        <w:rPr>
          <w:b w:val="1"/>
          <w:bCs w:val="1"/>
          <w:rtl w:val="0"/>
        </w:rPr>
        <w:t xml:space="preserve">IMD</w:t>
      </w:r>
      <w:r>
        <w:rPr>
          <w:rtl w:val="0"/>
        </w:rPr>
        <w:tab/>
        <w:t xml:space="preserve">Index of Multiple Deprivation</w:t>
      </w:r>
    </w:p>
    <w:p w:rsidR="00000000" w:rsidDel="00000000" w:rsidP="00000000" w:rsidRDefault="00000000" w:rsidRPr="00000000" w14:paraId="00000414">
      <w:pPr>
        <w:spacing w:after="120" w:lineRule="auto"/>
        <w:ind w:left="2160" w:hanging="2160"/>
        <w:rPr/>
      </w:pPr>
      <w:r>
        <w:rPr>
          <w:b w:val="1"/>
          <w:bCs w:val="1"/>
          <w:rtl w:val="0"/>
        </w:rPr>
        <w:t xml:space="preserve">JSON</w:t>
      </w:r>
      <w:r>
        <w:rPr>
          <w:rtl w:val="0"/>
        </w:rPr>
        <w:tab/>
        <w:t xml:space="preserve">JavaScript Object Notation</w:t>
      </w:r>
    </w:p>
    <w:p w:rsidR="00000000" w:rsidDel="00000000" w:rsidP="00000000" w:rsidRDefault="00000000" w:rsidRPr="00000000" w14:paraId="00000415">
      <w:pPr>
        <w:spacing w:after="120" w:lineRule="auto"/>
        <w:ind w:left="2160" w:hanging="2160"/>
        <w:rPr/>
      </w:pPr>
      <w:r>
        <w:rPr>
          <w:b w:val="1"/>
          <w:bCs w:val="1"/>
          <w:rtl w:val="0"/>
        </w:rPr>
        <w:t xml:space="preserve">JWT</w:t>
      </w:r>
      <w:r>
        <w:rPr>
          <w:rtl w:val="0"/>
        </w:rPr>
        <w:tab/>
        <w:t xml:space="preserve">JSON Web Token</w:t>
      </w:r>
    </w:p>
    <w:p w:rsidR="00000000" w:rsidDel="00000000" w:rsidP="00000000" w:rsidRDefault="00000000" w:rsidRPr="00000000" w14:paraId="00000416">
      <w:pPr>
        <w:spacing w:after="120" w:lineRule="auto"/>
        <w:ind w:left="2160" w:hanging="2160"/>
        <w:rPr/>
      </w:pPr>
      <w:r>
        <w:rPr>
          <w:b w:val="1"/>
          <w:bCs w:val="1"/>
          <w:rtl w:val="0"/>
        </w:rPr>
        <w:t xml:space="preserve">KE</w:t>
      </w:r>
      <w:r>
        <w:rPr>
          <w:rtl w:val="0"/>
        </w:rPr>
        <w:tab/>
        <w:t xml:space="preserve">Knowledge Engineering</w:t>
      </w:r>
    </w:p>
    <w:p w:rsidR="00000000" w:rsidDel="00000000" w:rsidP="00000000" w:rsidRDefault="00000000" w:rsidRPr="00000000" w14:paraId="00000417">
      <w:pPr>
        <w:spacing w:after="120" w:lineRule="auto"/>
        <w:ind w:left="2160" w:hanging="2160"/>
        <w:rPr/>
      </w:pPr>
      <w:r>
        <w:rPr>
          <w:b w:val="1"/>
          <w:bCs w:val="1"/>
          <w:rtl w:val="0"/>
        </w:rPr>
        <w:t xml:space="preserve">LA</w:t>
      </w:r>
      <w:r>
        <w:rPr>
          <w:rtl w:val="0"/>
        </w:rPr>
        <w:tab/>
        <w:t xml:space="preserve">Learning Analytics</w:t>
      </w:r>
    </w:p>
    <w:p w:rsidR="00000000" w:rsidDel="00000000" w:rsidP="00000000" w:rsidRDefault="00000000" w:rsidRPr="00000000" w14:paraId="00000418">
      <w:pPr>
        <w:spacing w:after="120" w:lineRule="auto"/>
        <w:ind w:left="2160" w:hanging="2160"/>
        <w:rPr/>
      </w:pPr>
      <w:r>
        <w:rPr>
          <w:b w:val="1"/>
          <w:bCs w:val="1"/>
          <w:rtl w:val="0"/>
        </w:rPr>
        <w:t xml:space="preserve">LIME</w:t>
      </w:r>
      <w:r>
        <w:rPr>
          <w:rtl w:val="0"/>
        </w:rPr>
        <w:tab/>
        <w:t xml:space="preserve">Local Interpretable Model-agnostic Explanations</w:t>
      </w:r>
    </w:p>
    <w:p w:rsidR="00000000" w:rsidDel="00000000" w:rsidP="00000000" w:rsidRDefault="00000000" w:rsidRPr="00000000" w14:paraId="00000419">
      <w:pPr>
        <w:spacing w:after="120" w:lineRule="auto"/>
        <w:ind w:left="2160" w:hanging="2160"/>
        <w:rPr/>
      </w:pPr>
      <w:r>
        <w:rPr>
          <w:b w:val="1"/>
          <w:bCs w:val="1"/>
          <w:rtl w:val="0"/>
        </w:rPr>
        <w:t xml:space="preserve">LMS</w:t>
      </w:r>
      <w:r>
        <w:rPr>
          <w:rtl w:val="0"/>
        </w:rPr>
        <w:tab/>
        <w:t xml:space="preserve">Learning Management System</w:t>
      </w:r>
    </w:p>
    <w:p w:rsidR="00000000" w:rsidDel="00000000" w:rsidP="00000000" w:rsidRDefault="00000000" w:rsidRPr="00000000" w14:paraId="0000041A">
      <w:pPr>
        <w:spacing w:after="120" w:lineRule="auto"/>
        <w:ind w:left="2160" w:hanging="2160"/>
        <w:rPr/>
      </w:pPr>
      <w:r>
        <w:rPr>
          <w:b w:val="1"/>
          <w:bCs w:val="1"/>
          <w:rtl w:val="0"/>
        </w:rPr>
        <w:t xml:space="preserve">LTI</w:t>
      </w:r>
      <w:r>
        <w:rPr>
          <w:rtl w:val="0"/>
        </w:rPr>
        <w:tab/>
        <w:t xml:space="preserve">Learning Tools Interoperability</w:t>
      </w:r>
    </w:p>
    <w:p w:rsidR="00000000" w:rsidDel="00000000" w:rsidP="00000000" w:rsidRDefault="00000000" w:rsidRPr="00000000" w14:paraId="0000041B">
      <w:pPr>
        <w:spacing w:after="120" w:lineRule="auto"/>
        <w:ind w:left="2160" w:hanging="2160"/>
        <w:rPr/>
      </w:pPr>
      <w:r>
        <w:rPr>
          <w:b w:val="1"/>
          <w:bCs w:val="1"/>
          <w:rtl w:val="0"/>
        </w:rPr>
        <w:t xml:space="preserve">MCC</w:t>
      </w:r>
      <w:r>
        <w:rPr>
          <w:rtl w:val="0"/>
        </w:rPr>
        <w:tab/>
        <w:t xml:space="preserve">Matthews Correlation Coefficient</w:t>
      </w:r>
    </w:p>
    <w:p w:rsidR="00000000" w:rsidDel="00000000" w:rsidP="00000000" w:rsidRDefault="00000000" w:rsidRPr="00000000" w14:paraId="0000041C">
      <w:pPr>
        <w:spacing w:after="120" w:lineRule="auto"/>
        <w:ind w:left="2160" w:hanging="2160"/>
        <w:rPr/>
      </w:pPr>
      <w:r>
        <w:rPr>
          <w:b w:val="1"/>
          <w:bCs w:val="1"/>
          <w:rtl w:val="0"/>
        </w:rPr>
        <w:t xml:space="preserve">OULAD</w:t>
      </w:r>
      <w:r>
        <w:rPr>
          <w:rtl w:val="0"/>
        </w:rPr>
        <w:tab/>
        <w:t xml:space="preserve">Open University Learning Analytics Dataset</w:t>
      </w:r>
    </w:p>
    <w:p w:rsidR="00000000" w:rsidDel="00000000" w:rsidP="00000000" w:rsidRDefault="00000000" w:rsidRPr="00000000" w14:paraId="0000041D">
      <w:pPr>
        <w:spacing w:after="120" w:lineRule="auto"/>
        <w:ind w:left="2160" w:hanging="2160"/>
        <w:rPr/>
      </w:pPr>
      <w:r>
        <w:rPr>
          <w:b w:val="1"/>
          <w:bCs w:val="1"/>
          <w:rtl w:val="0"/>
        </w:rPr>
        <w:t xml:space="preserve">PRISMA</w:t>
      </w:r>
      <w:r>
        <w:rPr>
          <w:rtl w:val="0"/>
        </w:rPr>
        <w:tab/>
        <w:t xml:space="preserve">Preferred Reporting Items for Systematic Reviews and Meta-Analyses</w:t>
      </w:r>
    </w:p>
    <w:p w:rsidR="00000000" w:rsidDel="00000000" w:rsidP="00000000" w:rsidRDefault="00000000" w:rsidRPr="00000000" w14:paraId="0000041E">
      <w:pPr>
        <w:spacing w:after="120" w:lineRule="auto"/>
        <w:ind w:left="2160" w:hanging="2160"/>
        <w:rPr/>
      </w:pPr>
      <w:r>
        <w:rPr>
          <w:b w:val="1"/>
          <w:bCs w:val="1"/>
          <w:rtl w:val="0"/>
        </w:rPr>
        <w:t xml:space="preserve">REST</w:t>
      </w:r>
      <w:r>
        <w:rPr>
          <w:rtl w:val="0"/>
        </w:rPr>
        <w:tab/>
        <w:t xml:space="preserve">Representational State Transfer</w:t>
      </w:r>
    </w:p>
    <w:p w:rsidR="00000000" w:rsidDel="00000000" w:rsidP="00000000" w:rsidRDefault="00000000" w:rsidRPr="00000000" w14:paraId="0000041F">
      <w:pPr>
        <w:spacing w:after="120" w:lineRule="auto"/>
        <w:ind w:left="2160" w:hanging="2160"/>
        <w:rPr/>
      </w:pPr>
      <w:r>
        <w:rPr>
          <w:b w:val="1"/>
          <w:bCs w:val="1"/>
          <w:rtl w:val="0"/>
        </w:rPr>
        <w:t xml:space="preserve">ROC</w:t>
      </w:r>
      <w:r>
        <w:rPr>
          <w:rtl w:val="0"/>
        </w:rPr>
        <w:tab/>
        <w:t xml:space="preserve">Receiver Operating Characteristic</w:t>
      </w:r>
    </w:p>
    <w:p w:rsidR="00000000" w:rsidDel="00000000" w:rsidP="00000000" w:rsidRDefault="00000000" w:rsidRPr="00000000" w14:paraId="00000420">
      <w:pPr>
        <w:spacing w:after="120" w:lineRule="auto"/>
        <w:ind w:left="2160" w:hanging="2160"/>
        <w:rPr/>
      </w:pPr>
      <w:r>
        <w:rPr>
          <w:b w:val="1"/>
          <w:bCs w:val="1"/>
          <w:rtl w:val="0"/>
        </w:rPr>
        <w:t xml:space="preserve">SHAP</w:t>
      </w:r>
      <w:r>
        <w:rPr>
          <w:rtl w:val="0"/>
        </w:rPr>
        <w:tab/>
        <w:t xml:space="preserve">SHapley Additive exPlanations</w:t>
      </w:r>
    </w:p>
    <w:p w:rsidR="00000000" w:rsidDel="00000000" w:rsidP="00000000" w:rsidRDefault="00000000" w:rsidRPr="00000000" w14:paraId="00000421">
      <w:pPr>
        <w:spacing w:after="120" w:lineRule="auto"/>
        <w:ind w:left="2160" w:hanging="2160"/>
        <w:rPr/>
      </w:pPr>
      <w:r>
        <w:rPr>
          <w:b w:val="1"/>
          <w:bCs w:val="1"/>
          <w:rtl w:val="0"/>
        </w:rPr>
        <w:t xml:space="preserve">SIS</w:t>
      </w:r>
      <w:r>
        <w:rPr>
          <w:rtl w:val="0"/>
        </w:rPr>
        <w:tab/>
        <w:t xml:space="preserve">Student Information System</w:t>
      </w:r>
    </w:p>
    <w:p w:rsidR="00000000" w:rsidDel="00000000" w:rsidP="00000000" w:rsidRDefault="00000000" w:rsidRPr="00000000" w14:paraId="00000422">
      <w:pPr>
        <w:spacing w:after="120" w:lineRule="auto"/>
        <w:ind w:left="2160" w:hanging="2160"/>
        <w:rPr/>
      </w:pPr>
      <w:r>
        <w:rPr>
          <w:b w:val="1"/>
          <w:bCs w:val="1"/>
          <w:rtl w:val="0"/>
        </w:rPr>
        <w:t xml:space="preserve">SMOTE</w:t>
      </w:r>
      <w:r>
        <w:rPr>
          <w:rtl w:val="0"/>
        </w:rPr>
        <w:tab/>
        <w:t xml:space="preserve">Synthetic Minority Over-sampling Technique</w:t>
      </w:r>
    </w:p>
    <w:p w:rsidR="00000000" w:rsidDel="00000000" w:rsidP="00000000" w:rsidRDefault="00000000" w:rsidRPr="00000000" w14:paraId="00000423">
      <w:pPr>
        <w:spacing w:after="120" w:lineRule="auto"/>
        <w:ind w:left="2160" w:hanging="2160"/>
        <w:rPr/>
      </w:pPr>
      <w:r>
        <w:rPr>
          <w:b w:val="1"/>
          <w:bCs w:val="1"/>
          <w:rtl w:val="0"/>
        </w:rPr>
        <w:t xml:space="preserve">TAM</w:t>
      </w:r>
      <w:r>
        <w:rPr>
          <w:rtl w:val="0"/>
        </w:rPr>
        <w:tab/>
        <w:t xml:space="preserve">Technology Acceptance Model</w:t>
      </w:r>
    </w:p>
    <w:p w:rsidR="00000000" w:rsidDel="00000000" w:rsidP="00000000" w:rsidRDefault="00000000" w:rsidRPr="00000000" w14:paraId="00000424">
      <w:pPr>
        <w:spacing w:after="120" w:lineRule="auto"/>
        <w:ind w:left="2160" w:hanging="2160"/>
        <w:rPr/>
      </w:pPr>
      <w:r>
        <w:rPr>
          <w:b w:val="1"/>
          <w:bCs w:val="1"/>
          <w:rtl w:val="0"/>
        </w:rPr>
        <w:t xml:space="preserve">VLE</w:t>
      </w:r>
      <w:r>
        <w:rPr>
          <w:rtl w:val="0"/>
        </w:rPr>
        <w:tab/>
        <w:t xml:space="preserve">Virtual Learning Environment</w:t>
      </w:r>
    </w:p>
    <w:p w:rsidR="00000000" w:rsidDel="00000000" w:rsidP="00000000" w:rsidRDefault="00000000" w:rsidRPr="00000000" w14:paraId="00000425">
      <w:pPr>
        <w:spacing w:after="120" w:lineRule="auto"/>
        <w:ind w:left="2160" w:hanging="2160"/>
        <w:rPr/>
      </w:pPr>
      <w:r>
        <w:rPr>
          <w:b w:val="1"/>
          <w:bCs w:val="1"/>
          <w:rtl w:val="0"/>
        </w:rPr>
        <w:t xml:space="preserve">WCAG</w:t>
      </w:r>
      <w:r>
        <w:rPr>
          <w:rtl w:val="0"/>
        </w:rPr>
        <w:tab/>
        <w:t xml:space="preserve">Web Content Accessibility Guidelines</w:t>
      </w:r>
    </w:p>
    <w:p w:rsidR="00000000" w:rsidDel="00000000" w:rsidP="00000000" w:rsidRDefault="00000000" w:rsidRPr="00000000" w14:paraId="00000426">
      <w:pPr>
        <w:spacing w:after="120" w:lineRule="auto"/>
        <w:ind w:left="2160" w:hanging="2160"/>
        <w:rPr/>
      </w:pPr>
      <w:r>
        <w:rPr>
          <w:b w:val="1"/>
          <w:bCs w:val="1"/>
          <w:rtl w:val="0"/>
        </w:rPr>
        <w:t xml:space="preserve">XAI</w:t>
      </w:r>
      <w:r>
        <w:rPr>
          <w:rtl w:val="0"/>
        </w:rPr>
        <w:tab/>
        <w:t xml:space="preserve">Explainable Artificial Intelligence</w:t>
      </w:r>
    </w:p>
    <w:p w:rsidR="00000000" w:rsidDel="00000000" w:rsidP="00000000" w:rsidRDefault="00000000" w:rsidRPr="00000000" w14:paraId="00000427">
      <w:pPr>
        <w:spacing w:after="120" w:lineRule="auto"/>
        <w:ind w:left="2160" w:hanging="2160"/>
        <w:rPr/>
      </w:pPr>
      <w:r>
        <w:rPr>
          <w:b w:val="1"/>
          <w:bCs w:val="1"/>
          <w:rtl w:val="0"/>
        </w:rPr>
        <w:t xml:space="preserve">XGBoost</w:t>
      </w:r>
      <w:r>
        <w:rPr>
          <w:rtl w:val="0"/>
        </w:rPr>
        <w:tab/>
        <w:t xml:space="preserve">Extreme Gradient Boosting</w:t>
      </w:r>
    </w:p>
    <w:p w:rsidR="00000000" w:rsidDel="00000000" w:rsidP="00000000" w:rsidRDefault="00000000" w:rsidRPr="00000000" w14:paraId="00000428">
      <w:pPr>
        <w:pStyle w:val="Heading1"/>
        <w:keepNext w:val="0"/>
        <w:keepLines w:val="0"/>
        <w:pageBreakBefore w:val="1"/>
        <w:spacing w:after="240" w:lineRule="auto"/>
        <w:jc w:val="center"/>
        <w:rPr/>
      </w:pPr>
      <w:bookmarkStart w:colFirst="0" w:colLast="0" w:name="_heading=h.dlmpna7p3chg" w:id="95"/>
      <w:bookmarkEnd w:id="95"/>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bookmarkStart w:colFirst="0" w:colLast="0" w:name="_heading=h.jceoaweaxse2" w:id="96"/>
      <w:bookmarkEnd w:id="96"/>
      <w:r>
        <w:rPr>
          <w:color w:val="000000"/>
          <w:rtl w:val="0"/>
        </w:rPr>
        <w:t xml:space="preserve">Appendix A: Reproducibility Details</w:t>
      </w:r>
      <w:r>
        <w:rPr>
          <w:rtl w:val="0"/>
        </w:rPr>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rsidR="00000000" w:rsidDel="00000000" w:rsidP="00000000" w:rsidRDefault="00000000" w:rsidRPr="00000000" w14:paraId="0000042B">
      <w:pPr>
        <w:spacing w:after="200" w:before="100" w:lineRule="auto"/>
        <w:rPr>
          <w:sz w:val="20"/>
          <w:szCs w:val="20"/>
        </w:rPr>
      </w:pPr>
      <w:r>
        <w:rPr>
          <w:i w:val="1"/>
          <w:iCs w:val="1"/>
          <w:sz w:val="20"/>
          <w:szCs w:val="20"/>
          <w:rtl w:val="0"/>
        </w:rPr>
        <w:t xml:space="preserve">Table A.1. Reproducibility details of the evaluated pipeline.</w:t>
      </w:r>
      <w:r>
        <w:rPr>
          <w:rtl w:val="0"/>
        </w:rPr>
      </w:r>
    </w:p>
    <w:tbl>
      <w:tblPr>
        <w:tblStyle w:val="Table15"/>
        <w:tblW w:w="9360.0" w:type="dxa"/>
        <w:jc w:val="left"/>
        <w:tblLayout w:type="fixed"/>
        <w:tblLook w:val="0600"/>
      </w:tblPr>
      <w:tblGrid>
        <w:gridCol w:w="3200"/>
        <w:gridCol w:w="6160"/>
        <w:tblGridChange w:id="0">
          <w:tblGrid>
            <w:gridCol w:w="3200"/>
            <w:gridCol w:w="61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2C">
            <w:pPr>
              <w:spacing w:after="60" w:before="60" w:line="240" w:lineRule="auto"/>
              <w:jc w:val="center"/>
              <w:rPr/>
            </w:pPr>
            <w:r>
              <w:rPr>
                <w:b w:val="1"/>
                <w:bCs w:val="1"/>
                <w:sz w:val="20"/>
                <w:szCs w:val="20"/>
                <w:rtl w:val="0"/>
              </w:rPr>
              <w:t xml:space="preserve">Item</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2D">
            <w:pPr>
              <w:spacing w:after="60" w:before="60" w:line="240" w:lineRule="auto"/>
              <w:jc w:val="center"/>
              <w:rPr/>
            </w:pPr>
            <w:r>
              <w:rPr>
                <w:b w:val="1"/>
                <w:bCs w:val="1"/>
                <w:sz w:val="20"/>
                <w:szCs w:val="20"/>
                <w:rtl w:val="0"/>
              </w:rPr>
              <w:t xml:space="preserve">Value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2E">
            <w:pPr>
              <w:spacing w:after="60" w:before="60" w:line="240" w:lineRule="auto"/>
              <w:jc w:val="left"/>
              <w:rPr/>
            </w:pPr>
            <w:r>
              <w:rPr>
                <w:sz w:val="20"/>
                <w:szCs w:val="20"/>
                <w:rtl w:val="0"/>
              </w:rPr>
              <w:t xml:space="preserve">Model development environment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2F">
            <w:pPr>
              <w:spacing w:after="60" w:before="60" w:line="240" w:lineRule="auto"/>
              <w:jc w:val="left"/>
              <w:rPr/>
            </w:pPr>
            <w:r>
              <w:rPr>
                <w:sz w:val="20"/>
                <w:szCs w:val="20"/>
                <w:rtl w:val="0"/>
              </w:rPr>
              <w:t xml:space="preserve">Google Colab notebooks for exploratory work; prototype code in versioned Python modules (data_layer, prediction_engine, explainability) (Chapter 4, Section 4.3).</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0">
            <w:pPr>
              <w:spacing w:after="60" w:before="60" w:line="240" w:lineRule="auto"/>
              <w:jc w:val="left"/>
              <w:rPr/>
            </w:pPr>
            <w:r>
              <w:rPr>
                <w:sz w:val="20"/>
                <w:szCs w:val="20"/>
                <w:rtl w:val="0"/>
              </w:rPr>
              <w:t xml:space="preserve">Evaluation environment libraries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1">
            <w:pPr>
              <w:spacing w:after="60" w:before="60" w:line="240" w:lineRule="auto"/>
              <w:jc w:val="left"/>
              <w:rPr/>
            </w:pPr>
            <w:r>
              <w:rPr>
                <w:sz w:val="20"/>
                <w:szCs w:val="20"/>
                <w:rtl w:val="0"/>
              </w:rPr>
              <w:t xml:space="preserve">scikit-learn 1.9.1 and xgboost 3.2.0 (Chapter 5, Section 5.7).</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2">
            <w:pPr>
              <w:spacing w:after="60" w:before="60" w:line="240" w:lineRule="auto"/>
              <w:jc w:val="left"/>
              <w:rPr/>
            </w:pPr>
            <w:r>
              <w:rPr>
                <w:sz w:val="20"/>
                <w:szCs w:val="20"/>
                <w:rtl w:val="0"/>
              </w:rPr>
              <w:t xml:space="preserve">Other package versions (pandas, NumPy, SHAP, LIME, joblib, Flask, PyJWT, gunicorn)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3">
            <w:pPr>
              <w:spacing w:after="60" w:before="60" w:line="240" w:lineRule="auto"/>
              <w:jc w:val="left"/>
              <w:rPr/>
            </w:pPr>
            <w:r>
              <w:rPr>
                <w:sz w:val="20"/>
                <w:szCs w:val="20"/>
                <w:rtl w:val="0"/>
              </w:rPr>
              <w:t xml:space="preserve">pandas 3.0.6, NumPy 2.4.6, SHAP 0.51.0, LIME 0.2.0.1, joblib 1.6.0, Flask 3.1.3, PyJWT 2.15.1, gunicorn 26.2.0.</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4">
            <w:pPr>
              <w:spacing w:after="60" w:before="60" w:line="240" w:lineRule="auto"/>
              <w:jc w:val="left"/>
              <w:rPr/>
            </w:pPr>
            <w:r>
              <w:rPr>
                <w:sz w:val="20"/>
                <w:szCs w:val="20"/>
                <w:rtl w:val="0"/>
              </w:rPr>
              <w:t xml:space="preserve">Python version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5">
            <w:pPr>
              <w:spacing w:after="60" w:before="60" w:line="240" w:lineRule="auto"/>
              <w:jc w:val="left"/>
              <w:rPr/>
            </w:pPr>
            <w:r>
              <w:rPr>
                <w:sz w:val="20"/>
                <w:szCs w:val="20"/>
                <w:rtl w:val="0"/>
              </w:rPr>
              <w:t xml:space="preserve">Python 3.11.16 (python:3.11-slim Docker image).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6">
            <w:pPr>
              <w:spacing w:after="60" w:before="60" w:line="240" w:lineRule="auto"/>
              <w:jc w:val="left"/>
              <w:rPr/>
            </w:pPr>
            <w:r>
              <w:rPr>
                <w:sz w:val="20"/>
                <w:szCs w:val="20"/>
                <w:rtl w:val="0"/>
              </w:rPr>
              <w:t xml:space="preserve">Hardware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7">
            <w:pPr>
              <w:spacing w:after="60" w:before="60" w:line="240" w:lineRule="auto"/>
              <w:jc w:val="left"/>
              <w:rPr/>
            </w:pPr>
            <w:r>
              <w:rPr>
                <w:sz w:val="20"/>
                <w:szCs w:val="20"/>
                <w:rtl w:val="0"/>
              </w:rPr>
              <w:t xml:space="preserve">Docker container on a Linux x86_64 host with 4 virtual CPUs and 16 GB of memory; no GPU.</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8">
            <w:pPr>
              <w:spacing w:after="60" w:before="60" w:line="240" w:lineRule="auto"/>
              <w:jc w:val="left"/>
              <w:rPr/>
            </w:pPr>
            <w:r>
              <w:rPr>
                <w:sz w:val="20"/>
                <w:szCs w:val="20"/>
                <w:rtl w:val="0"/>
              </w:rPr>
              <w:t xml:space="preserve">Git commit or code version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9">
            <w:pPr>
              <w:spacing w:after="60" w:before="60" w:line="240" w:lineRule="auto"/>
              <w:jc w:val="left"/>
              <w:rPr/>
            </w:pPr>
            <w:r>
              <w:rPr>
                <w:sz w:val="20"/>
                <w:szCs w:val="20"/>
                <w:rtl w:val="0"/>
              </w:rPr>
              <w:t xml:space="preserve">Branch main of github.com/daniel-larry/role-aware-xai-dashboard, commit 7c0068b.</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A">
            <w:pPr>
              <w:spacing w:after="60" w:before="60" w:line="240" w:lineRule="auto"/>
              <w:jc w:val="left"/>
              <w:rPr/>
            </w:pPr>
            <w:r>
              <w:rPr>
                <w:sz w:val="20"/>
                <w:szCs w:val="20"/>
                <w:rtl w:val="0"/>
              </w:rPr>
              <w:t xml:space="preserve">Model artefact identifier</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B">
            <w:pPr>
              <w:spacing w:after="60" w:before="60" w:line="240" w:lineRule="auto"/>
              <w:jc w:val="left"/>
              <w:rPr/>
            </w:pPr>
            <w:r>
              <w:rPr>
                <w:sz w:val="20"/>
                <w:szCs w:val="20"/>
                <w:rtl w:val="0"/>
              </w:rPr>
              <w:t xml:space="preserve">Serialised joblib pipeline (preprocessing and model) with a JSON manifest recording the training date, feature dictionary version, and evaluation metrics (Chapter 4, Section 4.6). Identifier: xgb-20260929-112741</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C">
            <w:pPr>
              <w:spacing w:after="60" w:before="60" w:line="240" w:lineRule="auto"/>
              <w:jc w:val="left"/>
              <w:rPr/>
            </w:pPr>
            <w:r>
              <w:rPr>
                <w:sz w:val="20"/>
                <w:szCs w:val="20"/>
                <w:rtl w:val="0"/>
              </w:rPr>
              <w:t xml:space="preserve">Model configuration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D">
            <w:pPr>
              <w:spacing w:after="60" w:before="60" w:line="240" w:lineRule="auto"/>
              <w:jc w:val="left"/>
              <w:rPr/>
            </w:pPr>
            <w:r>
              <w:rPr>
                <w:sz w:val="20"/>
                <w:szCs w:val="20"/>
                <w:rtl w:val="0"/>
              </w:rPr>
              <w:t xml:space="preserve">XGBoost with 300 estimators, maximum depth 5, learning rate 0.05, subsample 0.8, and column subsample 0.8; decision threshold 0.5; no resampling and no hyperparameter search.</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E">
            <w:pPr>
              <w:spacing w:after="60" w:before="60" w:line="240" w:lineRule="auto"/>
              <w:jc w:val="left"/>
              <w:rPr/>
            </w:pPr>
            <w:r>
              <w:rPr>
                <w:sz w:val="20"/>
                <w:szCs w:val="20"/>
                <w:rtl w:val="0"/>
              </w:rPr>
              <w:t xml:space="preserve">Validation protocol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F">
            <w:pPr>
              <w:spacing w:after="60" w:before="60" w:line="240" w:lineRule="auto"/>
              <w:jc w:val="left"/>
              <w:rPr/>
            </w:pPr>
            <w:r>
              <w:rPr>
                <w:sz w:val="20"/>
                <w:szCs w:val="20"/>
                <w:rtl w:val="0"/>
              </w:rPr>
              <w:t xml:space="preserve">GroupKFold with four folds grouped by code_presentation (2013B, 2013J, 2014B, 2014J); out-of-fold metrics over all 32,593 observations.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0">
            <w:pPr>
              <w:spacing w:after="60" w:before="60" w:line="240" w:lineRule="auto"/>
              <w:jc w:val="left"/>
              <w:rPr/>
            </w:pPr>
            <w:r>
              <w:rPr>
                <w:sz w:val="20"/>
                <w:szCs w:val="20"/>
                <w:rtl w:val="0"/>
              </w:rPr>
              <w:t xml:space="preserve">Input features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1">
            <w:pPr>
              <w:spacing w:after="60" w:before="60" w:line="240" w:lineRule="auto"/>
              <w:jc w:val="left"/>
              <w:rPr/>
            </w:pPr>
            <w:r>
              <w:rPr>
                <w:sz w:val="20"/>
                <w:szCs w:val="20"/>
                <w:rtl w:val="0"/>
              </w:rPr>
              <w:t xml:space="preserve">24 columns (17 numeric, 7 categorical), expanding to 59 features after one-hot encoding (Appendix B).</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2">
            <w:pPr>
              <w:spacing w:after="60" w:before="60" w:line="240" w:lineRule="auto"/>
              <w:jc w:val="left"/>
              <w:rPr/>
            </w:pPr>
            <w:r>
              <w:rPr>
                <w:sz w:val="20"/>
                <w:szCs w:val="20"/>
                <w:rtl w:val="0"/>
              </w:rPr>
              <w:t xml:space="preserve">Random seeds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3">
            <w:pPr>
              <w:spacing w:after="60" w:before="60" w:line="240" w:lineRule="auto"/>
              <w:jc w:val="left"/>
              <w:rPr/>
            </w:pPr>
            <w:r>
              <w:rPr>
                <w:sz w:val="20"/>
                <w:szCs w:val="20"/>
                <w:rtl w:val="0"/>
              </w:rPr>
              <w:t xml:space="preserve">random_state = 42 throughout; LIME sample of 40 instances drawn with numpy default_rng, seed 42; seed-stability check of the SHAP ranking with the model refitted at random_state 1 to 7 (Chapter 5, Section 5.7).</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4">
            <w:pPr>
              <w:spacing w:after="60" w:before="60" w:line="240" w:lineRule="auto"/>
              <w:jc w:val="left"/>
              <w:rPr/>
            </w:pPr>
            <w:r>
              <w:rPr>
                <w:sz w:val="20"/>
                <w:szCs w:val="20"/>
                <w:rtl w:val="0"/>
              </w:rPr>
              <w:t xml:space="preserve">Explanation computation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5">
            <w:pPr>
              <w:spacing w:after="60" w:before="60" w:line="240" w:lineRule="auto"/>
              <w:jc w:val="left"/>
              <w:rPr/>
            </w:pPr>
            <w:r>
              <w:rPr>
                <w:sz w:val="20"/>
                <w:szCs w:val="20"/>
                <w:rtl w:val="0"/>
              </w:rPr>
              <w:t xml:space="preserve">TreeSHAP with the final fitted model across all 32,593 observations; LIME on the 40 sampled instances.</w:t>
            </w:r>
            <w:r>
              <w:rPr>
                <w:rtl w:val="0"/>
              </w:rPr>
            </w:r>
          </w:p>
        </w:tc>
      </w:tr>
    </w:tbl>
    <w:p w:rsidR="00000000" w:rsidDel="00000000" w:rsidP="00000000" w:rsidRDefault="00000000" w:rsidRPr="00000000" w14:paraId="00000446">
      <w:pPr>
        <w:pStyle w:val="Heading2"/>
        <w:keepNext w:val="0"/>
        <w:keepLines w:val="0"/>
        <w:spacing w:before="200" w:lineRule="auto"/>
        <w:rPr/>
      </w:pPr>
      <w:bookmarkStart w:colFirst="0" w:colLast="0" w:name="_heading=h.yf2kzz2627rn" w:id="97"/>
      <w:bookmarkEnd w:id="97"/>
      <w:r>
        <w:rPr>
          <w:color w:val="000000"/>
          <w:rtl w:val="0"/>
        </w:rPr>
        <w:t xml:space="preserve">Appendix B: Feature Definitions and Importance Rankings</w:t>
      </w:r>
      <w:r>
        <w:rPr>
          <w:rtl w:val="0"/>
        </w:rPr>
      </w:r>
    </w:p>
    <w:p w:rsidR="00000000" w:rsidDel="00000000" w:rsidP="00000000" w:rsidRDefault="00000000" w:rsidRPr="00000000" w14:paraId="00000447">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follow the feature-engineering code in the prototype repository (xai-dashboard/ml/data_layer.py).</w:t>
      </w:r>
    </w:p>
    <w:p w:rsidR="00000000" w:rsidDel="00000000" w:rsidP="00000000" w:rsidRDefault="00000000" w:rsidRPr="00000000" w14:paraId="00000448">
      <w:pPr>
        <w:spacing w:after="200" w:before="100" w:lineRule="auto"/>
        <w:rPr>
          <w:sz w:val="20"/>
          <w:szCs w:val="20"/>
        </w:rPr>
      </w:pPr>
      <w:r>
        <w:rPr>
          <w:i w:val="1"/>
          <w:iCs w:val="1"/>
          <w:sz w:val="20"/>
          <w:szCs w:val="20"/>
          <w:rtl w:val="0"/>
        </w:rPr>
        <w:t xml:space="preserve">Table B.1. Feature definitions, source tables, calculation, and temporal availability.</w:t>
      </w:r>
      <w:r>
        <w:rPr>
          <w:rtl w:val="0"/>
        </w:rPr>
      </w:r>
    </w:p>
    <w:tbl>
      <w:tblPr>
        <w:tblStyle w:val="Table16"/>
        <w:tblW w:w="9360.0" w:type="dxa"/>
        <w:jc w:val="left"/>
        <w:tblLayout w:type="fixed"/>
        <w:tblLook w:val="0600"/>
      </w:tblPr>
      <w:tblGrid>
        <w:gridCol w:w="2050"/>
        <w:gridCol w:w="2150"/>
        <w:gridCol w:w="1400"/>
        <w:gridCol w:w="1760"/>
        <w:gridCol w:w="1000"/>
        <w:gridCol w:w="1000"/>
        <w:tblGridChange w:id="0">
          <w:tblGrid>
            <w:gridCol w:w="2050"/>
            <w:gridCol w:w="2150"/>
            <w:gridCol w:w="1400"/>
            <w:gridCol w:w="1760"/>
            <w:gridCol w:w="1000"/>
            <w:gridCol w:w="1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9">
            <w:pPr>
              <w:spacing w:after="60" w:before="60" w:line="240" w:lineRule="auto"/>
              <w:jc w:val="center"/>
              <w:rPr/>
            </w:pPr>
            <w:r>
              <w:rPr>
                <w:b w:val="1"/>
                <w:bCs w:val="1"/>
                <w:sz w:val="16"/>
                <w:szCs w:val="16"/>
                <w:rtl w:val="0"/>
              </w:rPr>
              <w:t xml:space="preserve">Feature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A">
            <w:pPr>
              <w:spacing w:after="60" w:before="60" w:line="240" w:lineRule="auto"/>
              <w:jc w:val="center"/>
              <w:rPr/>
            </w:pPr>
            <w:r>
              <w:rPr>
                <w:b w:val="1"/>
                <w:bCs w:val="1"/>
                <w:sz w:val="16"/>
                <w:szCs w:val="16"/>
                <w:rtl w:val="0"/>
              </w:rPr>
              <w:t xml:space="preserve">Definition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B">
            <w:pPr>
              <w:spacing w:after="60" w:before="60" w:line="240" w:lineRule="auto"/>
              <w:jc w:val="center"/>
              <w:rPr/>
            </w:pPr>
            <w:r>
              <w:rPr>
                <w:b w:val="1"/>
                <w:bCs w:val="1"/>
                <w:sz w:val="16"/>
                <w:szCs w:val="16"/>
                <w:rtl w:val="0"/>
              </w:rPr>
              <w:t xml:space="preserve">Source table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C">
            <w:pPr>
              <w:spacing w:after="60" w:before="60" w:line="240" w:lineRule="auto"/>
              <w:jc w:val="center"/>
              <w:rPr/>
            </w:pPr>
            <w:r>
              <w:rPr>
                <w:b w:val="1"/>
                <w:bCs w:val="1"/>
                <w:sz w:val="16"/>
                <w:szCs w:val="16"/>
                <w:rtl w:val="0"/>
              </w:rPr>
              <w:t xml:space="preserve">Calculation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D">
            <w:pPr>
              <w:spacing w:after="60" w:before="60" w:line="240" w:lineRule="auto"/>
              <w:jc w:val="center"/>
              <w:rPr/>
            </w:pPr>
            <w:r>
              <w:rPr>
                <w:b w:val="1"/>
                <w:bCs w:val="1"/>
                <w:sz w:val="16"/>
                <w:szCs w:val="16"/>
                <w:rtl w:val="0"/>
              </w:rPr>
              <w:t xml:space="preserve">Temporal availability</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E">
            <w:pPr>
              <w:spacing w:after="60" w:before="60" w:line="240" w:lineRule="auto"/>
              <w:jc w:val="center"/>
              <w:rPr/>
            </w:pPr>
            <w:r>
              <w:rPr>
                <w:b w:val="1"/>
                <w:bCs w:val="1"/>
                <w:sz w:val="16"/>
                <w:szCs w:val="16"/>
                <w:rtl w:val="0"/>
              </w:rPr>
              <w:t xml:space="preserve">Available at early-warning time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F">
            <w:pPr>
              <w:spacing w:after="60" w:before="60" w:line="240" w:lineRule="auto"/>
              <w:jc w:val="left"/>
              <w:rPr/>
            </w:pPr>
            <w:r>
              <w:rPr>
                <w:sz w:val="16"/>
                <w:szCs w:val="16"/>
                <w:rtl w:val="0"/>
              </w:rPr>
              <w:t xml:space="preserve">num_of_prev_attempts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0">
            <w:pPr>
              <w:spacing w:after="60" w:before="60" w:line="240" w:lineRule="auto"/>
              <w:jc w:val="left"/>
              <w:rPr/>
            </w:pPr>
            <w:r>
              <w:rPr>
                <w:sz w:val="16"/>
                <w:szCs w:val="16"/>
                <w:rtl w:val="0"/>
              </w:rPr>
              <w:t xml:space="preserve">Number of previous attempts at the module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1">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2">
            <w:pPr>
              <w:spacing w:after="60" w:before="60" w:line="240" w:lineRule="auto"/>
              <w:jc w:val="left"/>
              <w:rPr/>
            </w:pPr>
            <w:r>
              <w:rPr>
                <w:sz w:val="16"/>
                <w:szCs w:val="16"/>
                <w:rtl w:val="0"/>
              </w:rPr>
              <w:t xml:space="preserve">Taken from the source column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3">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4">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5">
            <w:pPr>
              <w:spacing w:after="60" w:before="60" w:line="240" w:lineRule="auto"/>
              <w:jc w:val="left"/>
              <w:rPr/>
            </w:pPr>
            <w:r>
              <w:rPr>
                <w:sz w:val="16"/>
                <w:szCs w:val="16"/>
                <w:rtl w:val="0"/>
              </w:rPr>
              <w:t xml:space="preserve">studied_credits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6">
            <w:pPr>
              <w:spacing w:after="60" w:before="60" w:line="240" w:lineRule="auto"/>
              <w:jc w:val="left"/>
              <w:rPr/>
            </w:pPr>
            <w:r>
              <w:rPr>
                <w:sz w:val="16"/>
                <w:szCs w:val="16"/>
                <w:rtl w:val="0"/>
              </w:rPr>
              <w:t xml:space="preserve">Total credits of the modules being studied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7">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8">
            <w:pPr>
              <w:spacing w:after="60" w:before="60" w:line="240" w:lineRule="auto"/>
              <w:jc w:val="left"/>
              <w:rPr/>
            </w:pPr>
            <w:r>
              <w:rPr>
                <w:sz w:val="16"/>
                <w:szCs w:val="16"/>
                <w:rtl w:val="0"/>
              </w:rPr>
              <w:t xml:space="preserve">Taken from the source column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9">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A">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B">
            <w:pPr>
              <w:spacing w:after="60" w:before="60" w:line="240" w:lineRule="auto"/>
              <w:jc w:val="left"/>
              <w:rPr/>
            </w:pPr>
            <w:r>
              <w:rPr>
                <w:sz w:val="16"/>
                <w:szCs w:val="16"/>
                <w:rtl w:val="0"/>
              </w:rPr>
              <w:t xml:space="preserve">date_registration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C">
            <w:pPr>
              <w:spacing w:after="60" w:before="60" w:line="240" w:lineRule="auto"/>
              <w:jc w:val="left"/>
              <w:rPr/>
            </w:pPr>
            <w:r>
              <w:rPr>
                <w:sz w:val="16"/>
                <w:szCs w:val="16"/>
                <w:rtl w:val="0"/>
              </w:rPr>
              <w:t xml:space="preserve">Registration date relative to the module start (days)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D">
            <w:pPr>
              <w:spacing w:after="60" w:before="60" w:line="240" w:lineRule="auto"/>
              <w:jc w:val="left"/>
              <w:rPr/>
            </w:pPr>
            <w:r>
              <w:rPr>
                <w:sz w:val="16"/>
                <w:szCs w:val="16"/>
                <w:rtl w:val="0"/>
              </w:rPr>
              <w:t xml:space="preserve">studentRegistration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E">
            <w:pPr>
              <w:spacing w:after="60" w:before="60" w:line="240" w:lineRule="auto"/>
              <w:jc w:val="left"/>
              <w:rPr/>
            </w:pPr>
            <w:r>
              <w:rPr>
                <w:sz w:val="16"/>
                <w:szCs w:val="16"/>
                <w:rtl w:val="0"/>
              </w:rPr>
              <w:t xml:space="preserve">Taken from the source column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F">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0">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1">
            <w:pPr>
              <w:spacing w:after="60" w:before="60" w:line="240" w:lineRule="auto"/>
              <w:jc w:val="left"/>
              <w:rPr/>
            </w:pPr>
            <w:r>
              <w:rPr>
                <w:sz w:val="16"/>
                <w:szCs w:val="16"/>
                <w:rtl w:val="0"/>
              </w:rPr>
              <w:t xml:space="preserve">withdrew_before_start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2">
            <w:pPr>
              <w:spacing w:after="60" w:before="60" w:line="240" w:lineRule="auto"/>
              <w:jc w:val="left"/>
              <w:rPr/>
            </w:pPr>
            <w:r>
              <w:rPr>
                <w:sz w:val="16"/>
                <w:szCs w:val="16"/>
                <w:rtl w:val="0"/>
              </w:rPr>
              <w:t xml:space="preserve">Indicator that the student unregistered before the module started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3">
            <w:pPr>
              <w:spacing w:after="60" w:before="60" w:line="240" w:lineRule="auto"/>
              <w:jc w:val="left"/>
              <w:rPr/>
            </w:pPr>
            <w:r>
              <w:rPr>
                <w:sz w:val="16"/>
                <w:szCs w:val="16"/>
                <w:rtl w:val="0"/>
              </w:rPr>
              <w:t xml:space="preserve">studentRegistration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4">
            <w:pPr>
              <w:spacing w:after="60" w:before="60" w:line="240" w:lineRule="auto"/>
              <w:jc w:val="left"/>
              <w:rPr/>
            </w:pPr>
            <w:r>
              <w:rPr>
                <w:sz w:val="16"/>
                <w:szCs w:val="16"/>
                <w:rtl w:val="0"/>
              </w:rPr>
              <w:t xml:space="preserve">1 if the unregistration date is on or before day 0 (the module start), otherwise 0</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5">
            <w:pPr>
              <w:spacing w:after="60" w:before="60" w:line="240" w:lineRule="auto"/>
              <w:jc w:val="left"/>
              <w:rPr/>
            </w:pPr>
            <w:r>
              <w:rPr>
                <w:sz w:val="16"/>
                <w:szCs w:val="16"/>
                <w:rtl w:val="0"/>
              </w:rPr>
              <w:t xml:space="preserve">Before module start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6">
            <w:pPr>
              <w:spacing w:after="60" w:before="60" w:line="240" w:lineRule="auto"/>
              <w:jc w:val="left"/>
              <w:rPr/>
            </w:pPr>
            <w:r>
              <w:rPr>
                <w:sz w:val="16"/>
                <w:szCs w:val="16"/>
                <w:rtl w:val="0"/>
              </w:rPr>
              <w:t xml:space="preserve">Yes (see note)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7">
            <w:pPr>
              <w:spacing w:after="60" w:before="60" w:line="240" w:lineRule="auto"/>
              <w:jc w:val="left"/>
              <w:rPr/>
            </w:pPr>
            <w:r>
              <w:rPr>
                <w:sz w:val="16"/>
                <w:szCs w:val="16"/>
                <w:rtl w:val="0"/>
              </w:rPr>
              <w:t xml:space="preserve">module_presentation_length</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8">
            <w:pPr>
              <w:spacing w:after="60" w:before="60" w:line="240" w:lineRule="auto"/>
              <w:jc w:val="left"/>
              <w:rPr/>
            </w:pPr>
            <w:r>
              <w:rPr>
                <w:sz w:val="16"/>
                <w:szCs w:val="16"/>
                <w:rtl w:val="0"/>
              </w:rPr>
              <w:t xml:space="preserve">Length of the module presentation (days)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9">
            <w:pPr>
              <w:spacing w:after="60" w:before="60" w:line="240" w:lineRule="auto"/>
              <w:jc w:val="left"/>
              <w:rPr/>
            </w:pPr>
            <w:r>
              <w:rPr>
                <w:sz w:val="16"/>
                <w:szCs w:val="16"/>
                <w:rtl w:val="0"/>
              </w:rPr>
              <w:t xml:space="preserve">courses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A">
            <w:pPr>
              <w:spacing w:after="60" w:before="60" w:line="240" w:lineRule="auto"/>
              <w:jc w:val="left"/>
              <w:rPr/>
            </w:pPr>
            <w:r>
              <w:rPr>
                <w:sz w:val="16"/>
                <w:szCs w:val="16"/>
                <w:rtl w:val="0"/>
              </w:rPr>
              <w:t xml:space="preserve">Taken from the source column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B">
            <w:pPr>
              <w:spacing w:after="60" w:before="60" w:line="240" w:lineRule="auto"/>
              <w:jc w:val="left"/>
              <w:rPr/>
            </w:pPr>
            <w:r>
              <w:rPr>
                <w:sz w:val="16"/>
                <w:szCs w:val="16"/>
                <w:rtl w:val="0"/>
              </w:rPr>
              <w:t xml:space="preserve">Before module start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C">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D">
            <w:pPr>
              <w:spacing w:after="60" w:before="60" w:line="240" w:lineRule="auto"/>
              <w:jc w:val="left"/>
              <w:rPr/>
            </w:pPr>
            <w:r>
              <w:rPr>
                <w:sz w:val="16"/>
                <w:szCs w:val="16"/>
                <w:rtl w:val="0"/>
              </w:rPr>
              <w:t xml:space="preserve">n_assessments_submitted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E">
            <w:pPr>
              <w:spacing w:after="60" w:before="60" w:line="240" w:lineRule="auto"/>
              <w:jc w:val="left"/>
              <w:rPr/>
            </w:pPr>
            <w:r>
              <w:rPr>
                <w:sz w:val="16"/>
                <w:szCs w:val="16"/>
                <w:rtl w:val="0"/>
              </w:rPr>
              <w:t xml:space="preserve">Number of assessments submitted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F">
            <w:pPr>
              <w:spacing w:after="60" w:before="60" w:line="240" w:lineRule="auto"/>
              <w:jc w:val="left"/>
              <w:rPr/>
            </w:pPr>
            <w:r>
              <w:rPr>
                <w:sz w:val="16"/>
                <w:szCs w:val="16"/>
                <w:rtl w:val="0"/>
              </w:rPr>
              <w:t xml:space="preserve">studentAssessment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0">
            <w:pPr>
              <w:spacing w:after="60" w:before="60" w:line="240" w:lineRule="auto"/>
              <w:jc w:val="left"/>
              <w:rPr/>
            </w:pPr>
            <w:r>
              <w:rPr>
                <w:sz w:val="16"/>
                <w:szCs w:val="16"/>
                <w:rtl w:val="0"/>
              </w:rPr>
              <w:t xml:space="preserve">Count of submissions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1">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2">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3">
            <w:pPr>
              <w:spacing w:after="60" w:before="60" w:line="240" w:lineRule="auto"/>
              <w:jc w:val="left"/>
              <w:rPr/>
            </w:pPr>
            <w:r>
              <w:rPr>
                <w:sz w:val="16"/>
                <w:szCs w:val="16"/>
                <w:rtl w:val="0"/>
              </w:rPr>
              <w:t xml:space="preserve">mean_score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4">
            <w:pPr>
              <w:spacing w:after="60" w:before="60" w:line="240" w:lineRule="auto"/>
              <w:jc w:val="left"/>
              <w:rPr/>
            </w:pPr>
            <w:r>
              <w:rPr>
                <w:sz w:val="16"/>
                <w:szCs w:val="16"/>
                <w:rtl w:val="0"/>
              </w:rPr>
              <w:t xml:space="preserve">Mean score of submitted assessments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5">
            <w:pPr>
              <w:spacing w:after="60" w:before="60" w:line="240" w:lineRule="auto"/>
              <w:jc w:val="left"/>
              <w:rPr/>
            </w:pPr>
            <w:r>
              <w:rPr>
                <w:sz w:val="16"/>
                <w:szCs w:val="16"/>
                <w:rtl w:val="0"/>
              </w:rPr>
              <w:t xml:space="preserve">studentAssessment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6">
            <w:pPr>
              <w:spacing w:after="60" w:before="60" w:line="240" w:lineRule="auto"/>
              <w:jc w:val="left"/>
              <w:rPr/>
            </w:pPr>
            <w:r>
              <w:rPr>
                <w:sz w:val="16"/>
                <w:szCs w:val="16"/>
                <w:rtl w:val="0"/>
              </w:rPr>
              <w:t xml:space="preserve">Mean of assessment scores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7">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8">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9">
            <w:pPr>
              <w:spacing w:after="60" w:before="60" w:line="240" w:lineRule="auto"/>
              <w:jc w:val="left"/>
              <w:rPr/>
            </w:pPr>
            <w:r>
              <w:rPr>
                <w:sz w:val="16"/>
                <w:szCs w:val="16"/>
                <w:rtl w:val="0"/>
              </w:rPr>
              <w:t xml:space="preserve">min_score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A">
            <w:pPr>
              <w:spacing w:after="60" w:before="60" w:line="240" w:lineRule="auto"/>
              <w:jc w:val="left"/>
              <w:rPr/>
            </w:pPr>
            <w:r>
              <w:rPr>
                <w:sz w:val="16"/>
                <w:szCs w:val="16"/>
                <w:rtl w:val="0"/>
              </w:rPr>
              <w:t xml:space="preserve">Lowest score of submitted assessments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B">
            <w:pPr>
              <w:spacing w:after="60" w:before="60" w:line="240" w:lineRule="auto"/>
              <w:jc w:val="left"/>
              <w:rPr/>
            </w:pPr>
            <w:r>
              <w:rPr>
                <w:sz w:val="16"/>
                <w:szCs w:val="16"/>
                <w:rtl w:val="0"/>
              </w:rPr>
              <w:t xml:space="preserve">studentAssessment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C">
            <w:pPr>
              <w:spacing w:after="60" w:before="60" w:line="240" w:lineRule="auto"/>
              <w:jc w:val="left"/>
              <w:rPr/>
            </w:pPr>
            <w:r>
              <w:rPr>
                <w:sz w:val="16"/>
                <w:szCs w:val="16"/>
                <w:rtl w:val="0"/>
              </w:rPr>
              <w:t xml:space="preserve">Minimum of assessment scores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D">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E">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F">
            <w:pPr>
              <w:spacing w:after="60" w:before="60" w:line="240" w:lineRule="auto"/>
              <w:jc w:val="left"/>
              <w:rPr/>
            </w:pPr>
            <w:r>
              <w:rPr>
                <w:sz w:val="16"/>
                <w:szCs w:val="16"/>
                <w:rtl w:val="0"/>
              </w:rPr>
              <w:t xml:space="preserve">mean_days_late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0">
            <w:pPr>
              <w:spacing w:after="60" w:before="60" w:line="240" w:lineRule="auto"/>
              <w:jc w:val="left"/>
              <w:rPr/>
            </w:pPr>
            <w:r>
              <w:rPr>
                <w:sz w:val="16"/>
                <w:szCs w:val="16"/>
                <w:rtl w:val="0"/>
              </w:rPr>
              <w:t xml:space="preserve">Mean lateness of submissions (days)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1">
            <w:pPr>
              <w:spacing w:after="60" w:before="60" w:line="240" w:lineRule="auto"/>
              <w:jc w:val="left"/>
              <w:rPr/>
            </w:pPr>
            <w:r>
              <w:rPr>
                <w:sz w:val="16"/>
                <w:szCs w:val="16"/>
                <w:rtl w:val="0"/>
              </w:rPr>
              <w:t xml:space="preserve">studentAssessment, assessments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2">
            <w:pPr>
              <w:spacing w:after="60" w:before="60" w:line="240" w:lineRule="auto"/>
              <w:jc w:val="left"/>
              <w:rPr/>
            </w:pPr>
            <w:r>
              <w:rPr>
                <w:sz w:val="16"/>
                <w:szCs w:val="16"/>
                <w:rtl w:val="0"/>
              </w:rPr>
              <w:t xml:space="preserve">Mean of submission date minus deadline, with on-time submissions counted as 0</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3">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4">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5">
            <w:pPr>
              <w:spacing w:after="60" w:before="60" w:line="240" w:lineRule="auto"/>
              <w:jc w:val="left"/>
              <w:rPr/>
            </w:pPr>
            <w:r>
              <w:rPr>
                <w:sz w:val="16"/>
                <w:szCs w:val="16"/>
                <w:rtl w:val="0"/>
              </w:rPr>
              <w:t xml:space="preserve">n_late_submissions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6">
            <w:pPr>
              <w:spacing w:after="60" w:before="60" w:line="240" w:lineRule="auto"/>
              <w:jc w:val="left"/>
              <w:rPr/>
            </w:pPr>
            <w:r>
              <w:rPr>
                <w:sz w:val="16"/>
                <w:szCs w:val="16"/>
                <w:rtl w:val="0"/>
              </w:rPr>
              <w:t xml:space="preserve">Number of submissions after the deadline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7">
            <w:pPr>
              <w:spacing w:after="60" w:before="60" w:line="240" w:lineRule="auto"/>
              <w:jc w:val="left"/>
              <w:rPr/>
            </w:pPr>
            <w:r>
              <w:rPr>
                <w:sz w:val="16"/>
                <w:szCs w:val="16"/>
                <w:rtl w:val="0"/>
              </w:rPr>
              <w:t xml:space="preserve">studentAssessment, assessments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8">
            <w:pPr>
              <w:spacing w:after="60" w:before="60" w:line="240" w:lineRule="auto"/>
              <w:jc w:val="left"/>
              <w:rPr/>
            </w:pPr>
            <w:r>
              <w:rPr>
                <w:sz w:val="16"/>
                <w:szCs w:val="16"/>
                <w:rtl w:val="0"/>
              </w:rPr>
              <w:t xml:space="preserve">Count of submissions made after the deadline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9">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A">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B">
            <w:pPr>
              <w:spacing w:after="60" w:before="60" w:line="240" w:lineRule="auto"/>
              <w:jc w:val="left"/>
              <w:rPr/>
            </w:pPr>
            <w:r>
              <w:rPr>
                <w:sz w:val="16"/>
                <w:szCs w:val="16"/>
                <w:rtl w:val="0"/>
              </w:rPr>
              <w:t xml:space="preserve">n_banked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C">
            <w:pPr>
              <w:spacing w:after="60" w:before="60" w:line="240" w:lineRule="auto"/>
              <w:jc w:val="left"/>
              <w:rPr/>
            </w:pPr>
            <w:r>
              <w:rPr>
                <w:sz w:val="16"/>
                <w:szCs w:val="16"/>
                <w:rtl w:val="0"/>
              </w:rPr>
              <w:t xml:space="preserve">Number of assessment results carried over from a previous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D">
            <w:pPr>
              <w:spacing w:after="60" w:before="60" w:line="240" w:lineRule="auto"/>
              <w:jc w:val="left"/>
              <w:rPr/>
            </w:pPr>
            <w:r>
              <w:rPr>
                <w:sz w:val="16"/>
                <w:szCs w:val="16"/>
                <w:rtl w:val="0"/>
              </w:rPr>
              <w:t xml:space="preserve">studentAssessment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E">
            <w:pPr>
              <w:spacing w:after="60" w:before="60" w:line="240" w:lineRule="auto"/>
              <w:jc w:val="left"/>
              <w:rPr/>
            </w:pPr>
            <w:r>
              <w:rPr>
                <w:sz w:val="16"/>
                <w:szCs w:val="16"/>
                <w:rtl w:val="0"/>
              </w:rPr>
              <w:t xml:space="preserve">Count of results marked as banked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F">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0">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1">
            <w:pPr>
              <w:spacing w:after="60" w:before="60" w:line="240" w:lineRule="auto"/>
              <w:jc w:val="left"/>
              <w:rPr/>
            </w:pPr>
            <w:r>
              <w:rPr>
                <w:sz w:val="16"/>
                <w:szCs w:val="16"/>
                <w:rtl w:val="0"/>
              </w:rPr>
              <w:t xml:space="preserve">clicks_7d_before_deadline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2">
            <w:pPr>
              <w:spacing w:after="60" w:before="60" w:line="240" w:lineRule="auto"/>
              <w:jc w:val="left"/>
              <w:rPr/>
            </w:pPr>
            <w:r>
              <w:rPr>
                <w:sz w:val="16"/>
                <w:szCs w:val="16"/>
                <w:rtl w:val="0"/>
              </w:rPr>
              <w:t xml:space="preserve">VLE clicks in the 7 days before assessment deadlines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3">
            <w:pPr>
              <w:spacing w:after="60" w:before="60" w:line="240" w:lineRule="auto"/>
              <w:jc w:val="left"/>
              <w:rPr/>
            </w:pPr>
            <w:r>
              <w:rPr>
                <w:sz w:val="16"/>
                <w:szCs w:val="16"/>
                <w:rtl w:val="0"/>
              </w:rPr>
              <w:t xml:space="preserve">studentVle, assessments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4">
            <w:pPr>
              <w:spacing w:after="60" w:before="60" w:line="240" w:lineRule="auto"/>
              <w:jc w:val="left"/>
              <w:rPr/>
            </w:pPr>
            <w:r>
              <w:rPr>
                <w:sz w:val="16"/>
                <w:szCs w:val="16"/>
                <w:rtl w:val="0"/>
              </w:rPr>
              <w:t xml:space="preserve">Sum of daily clicks in deadline-anchored windows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5">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6">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7">
            <w:pPr>
              <w:spacing w:after="60" w:before="60" w:line="240" w:lineRule="auto"/>
              <w:jc w:val="left"/>
              <w:rPr/>
            </w:pPr>
            <w:r>
              <w:rPr>
                <w:sz w:val="16"/>
                <w:szCs w:val="16"/>
                <w:rtl w:val="0"/>
              </w:rPr>
              <w:t xml:space="preserve">clicks_14d_before_deadline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8">
            <w:pPr>
              <w:spacing w:after="60" w:before="60" w:line="240" w:lineRule="auto"/>
              <w:jc w:val="left"/>
              <w:rPr/>
            </w:pPr>
            <w:r>
              <w:rPr>
                <w:sz w:val="16"/>
                <w:szCs w:val="16"/>
                <w:rtl w:val="0"/>
              </w:rPr>
              <w:t xml:space="preserve">VLE clicks in the 14 days before assessment deadlines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9">
            <w:pPr>
              <w:spacing w:after="60" w:before="60" w:line="240" w:lineRule="auto"/>
              <w:jc w:val="left"/>
              <w:rPr/>
            </w:pPr>
            <w:r>
              <w:rPr>
                <w:sz w:val="16"/>
                <w:szCs w:val="16"/>
                <w:rtl w:val="0"/>
              </w:rPr>
              <w:t xml:space="preserve">studentVle, assessments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A">
            <w:pPr>
              <w:spacing w:after="60" w:before="60" w:line="240" w:lineRule="auto"/>
              <w:jc w:val="left"/>
              <w:rPr/>
            </w:pPr>
            <w:r>
              <w:rPr>
                <w:sz w:val="16"/>
                <w:szCs w:val="16"/>
                <w:rtl w:val="0"/>
              </w:rPr>
              <w:t xml:space="preserve">Sum of daily clicks in deadline-anchored windows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B">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C">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D">
            <w:pPr>
              <w:spacing w:after="60" w:before="60" w:line="240" w:lineRule="auto"/>
              <w:jc w:val="left"/>
              <w:rPr/>
            </w:pPr>
            <w:r>
              <w:rPr>
                <w:sz w:val="16"/>
                <w:szCs w:val="16"/>
                <w:rtl w:val="0"/>
              </w:rPr>
              <w:t xml:space="preserve">clicks_28d_before_deadline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E">
            <w:pPr>
              <w:spacing w:after="60" w:before="60" w:line="240" w:lineRule="auto"/>
              <w:jc w:val="left"/>
              <w:rPr/>
            </w:pPr>
            <w:r>
              <w:rPr>
                <w:sz w:val="16"/>
                <w:szCs w:val="16"/>
                <w:rtl w:val="0"/>
              </w:rPr>
              <w:t xml:space="preserve">VLE clicks in the 28 days before assessment deadlines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F">
            <w:pPr>
              <w:spacing w:after="60" w:before="60" w:line="240" w:lineRule="auto"/>
              <w:jc w:val="left"/>
              <w:rPr/>
            </w:pPr>
            <w:r>
              <w:rPr>
                <w:sz w:val="16"/>
                <w:szCs w:val="16"/>
                <w:rtl w:val="0"/>
              </w:rPr>
              <w:t xml:space="preserve">studentVle, assessments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0">
            <w:pPr>
              <w:spacing w:after="60" w:before="60" w:line="240" w:lineRule="auto"/>
              <w:jc w:val="left"/>
              <w:rPr/>
            </w:pPr>
            <w:r>
              <w:rPr>
                <w:sz w:val="16"/>
                <w:szCs w:val="16"/>
                <w:rtl w:val="0"/>
              </w:rPr>
              <w:t xml:space="preserve">Sum of daily clicks in deadline-anchored windows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1">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2">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3">
            <w:pPr>
              <w:spacing w:after="60" w:before="60" w:line="240" w:lineRule="auto"/>
              <w:jc w:val="left"/>
              <w:rPr/>
            </w:pPr>
            <w:r>
              <w:rPr>
                <w:sz w:val="16"/>
                <w:szCs w:val="16"/>
                <w:rtl w:val="0"/>
              </w:rPr>
              <w:t xml:space="preserve">total_clicks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4">
            <w:pPr>
              <w:spacing w:after="60" w:before="60" w:line="240" w:lineRule="auto"/>
              <w:jc w:val="left"/>
              <w:rPr/>
            </w:pPr>
            <w:r>
              <w:rPr>
                <w:sz w:val="16"/>
                <w:szCs w:val="16"/>
                <w:rtl w:val="0"/>
              </w:rPr>
              <w:t xml:space="preserve">Total VLE clicks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5">
            <w:pPr>
              <w:spacing w:after="60" w:before="60" w:line="240" w:lineRule="auto"/>
              <w:jc w:val="left"/>
              <w:rPr/>
            </w:pPr>
            <w:r>
              <w:rPr>
                <w:sz w:val="16"/>
                <w:szCs w:val="16"/>
                <w:rtl w:val="0"/>
              </w:rPr>
              <w:t xml:space="preserve">studentVle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6">
            <w:pPr>
              <w:spacing w:after="60" w:before="60" w:line="240" w:lineRule="auto"/>
              <w:jc w:val="left"/>
              <w:rPr/>
            </w:pPr>
            <w:r>
              <w:rPr>
                <w:sz w:val="16"/>
                <w:szCs w:val="16"/>
                <w:rtl w:val="0"/>
              </w:rPr>
              <w:t xml:space="preserve">Sum of daily clicks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7">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8">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9">
            <w:pPr>
              <w:spacing w:after="60" w:before="60" w:line="240" w:lineRule="auto"/>
              <w:jc w:val="left"/>
              <w:rPr/>
            </w:pPr>
            <w:r>
              <w:rPr>
                <w:sz w:val="16"/>
                <w:szCs w:val="16"/>
                <w:rtl w:val="0"/>
              </w:rPr>
              <w:t xml:space="preserve">active_days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A">
            <w:pPr>
              <w:spacing w:after="60" w:before="60" w:line="240" w:lineRule="auto"/>
              <w:jc w:val="left"/>
              <w:rPr/>
            </w:pPr>
            <w:r>
              <w:rPr>
                <w:sz w:val="16"/>
                <w:szCs w:val="16"/>
                <w:rtl w:val="0"/>
              </w:rPr>
              <w:t xml:space="preserve">Number of days with VLE activity</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B">
            <w:pPr>
              <w:spacing w:after="60" w:before="60" w:line="240" w:lineRule="auto"/>
              <w:jc w:val="left"/>
              <w:rPr/>
            </w:pPr>
            <w:r>
              <w:rPr>
                <w:sz w:val="16"/>
                <w:szCs w:val="16"/>
                <w:rtl w:val="0"/>
              </w:rPr>
              <w:t xml:space="preserve">studentVle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C">
            <w:pPr>
              <w:spacing w:after="60" w:before="60" w:line="240" w:lineRule="auto"/>
              <w:jc w:val="left"/>
              <w:rPr/>
            </w:pPr>
            <w:r>
              <w:rPr>
                <w:sz w:val="16"/>
                <w:szCs w:val="16"/>
                <w:rtl w:val="0"/>
              </w:rPr>
              <w:t xml:space="preserve">Count of distinct days with any VLE click</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D">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E">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F">
            <w:pPr>
              <w:spacing w:after="60" w:before="60" w:line="240" w:lineRule="auto"/>
              <w:jc w:val="left"/>
              <w:rPr/>
            </w:pPr>
            <w:r>
              <w:rPr>
                <w:sz w:val="16"/>
                <w:szCs w:val="16"/>
                <w:rtl w:val="0"/>
              </w:rPr>
              <w:t xml:space="preserve">mean_daily_clicks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0">
            <w:pPr>
              <w:spacing w:after="60" w:before="60" w:line="240" w:lineRule="auto"/>
              <w:jc w:val="left"/>
              <w:rPr/>
            </w:pPr>
            <w:r>
              <w:rPr>
                <w:sz w:val="16"/>
                <w:szCs w:val="16"/>
                <w:rtl w:val="0"/>
              </w:rPr>
              <w:t xml:space="preserve">Average daily VLE clicks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1">
            <w:pPr>
              <w:spacing w:after="60" w:before="60" w:line="240" w:lineRule="auto"/>
              <w:jc w:val="left"/>
              <w:rPr/>
            </w:pPr>
            <w:r>
              <w:rPr>
                <w:sz w:val="16"/>
                <w:szCs w:val="16"/>
                <w:rtl w:val="0"/>
              </w:rPr>
              <w:t xml:space="preserve">studentVle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2">
            <w:pPr>
              <w:spacing w:after="60" w:before="60" w:line="240" w:lineRule="auto"/>
              <w:jc w:val="left"/>
              <w:rPr/>
            </w:pPr>
            <w:r>
              <w:rPr>
                <w:sz w:val="16"/>
                <w:szCs w:val="16"/>
                <w:rtl w:val="0"/>
              </w:rPr>
              <w:t xml:space="preserve">Total clicks divided by active days (0 if none)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3">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4">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5">
            <w:pPr>
              <w:spacing w:after="60" w:before="60" w:line="240" w:lineRule="auto"/>
              <w:jc w:val="left"/>
              <w:rPr/>
            </w:pPr>
            <w:r>
              <w:rPr>
                <w:sz w:val="16"/>
                <w:szCs w:val="16"/>
                <w:rtl w:val="0"/>
              </w:rPr>
              <w:t xml:space="preserve">code_module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6">
            <w:pPr>
              <w:spacing w:after="60" w:before="60" w:line="240" w:lineRule="auto"/>
              <w:jc w:val="left"/>
              <w:rPr/>
            </w:pPr>
            <w:r>
              <w:rPr>
                <w:sz w:val="16"/>
                <w:szCs w:val="16"/>
                <w:rtl w:val="0"/>
              </w:rPr>
              <w:t xml:space="preserve">Module identifier</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7">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8">
            <w:pPr>
              <w:spacing w:after="60" w:before="60" w:line="240" w:lineRule="auto"/>
              <w:jc w:val="left"/>
              <w:rPr/>
            </w:pPr>
            <w:r>
              <w:rPr>
                <w:sz w:val="16"/>
                <w:szCs w:val="16"/>
                <w:rtl w:val="0"/>
              </w:rPr>
              <w:t xml:space="preserve">Categorical, one-hot encoded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9">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A">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B">
            <w:pPr>
              <w:spacing w:after="60" w:before="60" w:line="240" w:lineRule="auto"/>
              <w:jc w:val="left"/>
              <w:rPr/>
            </w:pPr>
            <w:r>
              <w:rPr>
                <w:sz w:val="16"/>
                <w:szCs w:val="16"/>
                <w:rtl w:val="0"/>
              </w:rPr>
              <w:t xml:space="preserve">gender</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C">
            <w:pPr>
              <w:spacing w:after="60" w:before="60" w:line="240" w:lineRule="auto"/>
              <w:jc w:val="left"/>
              <w:rPr/>
            </w:pPr>
            <w:r>
              <w:rPr>
                <w:sz w:val="16"/>
                <w:szCs w:val="16"/>
                <w:rtl w:val="0"/>
              </w:rPr>
              <w:t xml:space="preserve">Gender</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D">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E">
            <w:pPr>
              <w:spacing w:after="60" w:before="60" w:line="240" w:lineRule="auto"/>
              <w:jc w:val="left"/>
              <w:rPr/>
            </w:pPr>
            <w:r>
              <w:rPr>
                <w:sz w:val="16"/>
                <w:szCs w:val="16"/>
                <w:rtl w:val="0"/>
              </w:rPr>
              <w:t xml:space="preserve">Categorical, one-hot encoded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F">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0">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1">
            <w:pPr>
              <w:spacing w:after="60" w:before="60" w:line="240" w:lineRule="auto"/>
              <w:jc w:val="left"/>
              <w:rPr/>
            </w:pPr>
            <w:r>
              <w:rPr>
                <w:sz w:val="16"/>
                <w:szCs w:val="16"/>
                <w:rtl w:val="0"/>
              </w:rPr>
              <w:t xml:space="preserve">region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2">
            <w:pPr>
              <w:spacing w:after="60" w:before="60" w:line="240" w:lineRule="auto"/>
              <w:jc w:val="left"/>
              <w:rPr/>
            </w:pPr>
            <w:r>
              <w:rPr>
                <w:sz w:val="16"/>
                <w:szCs w:val="16"/>
                <w:rtl w:val="0"/>
              </w:rPr>
              <w:t xml:space="preserve">Geographic region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3">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4">
            <w:pPr>
              <w:spacing w:after="60" w:before="60" w:line="240" w:lineRule="auto"/>
              <w:jc w:val="left"/>
              <w:rPr/>
            </w:pPr>
            <w:r>
              <w:rPr>
                <w:sz w:val="16"/>
                <w:szCs w:val="16"/>
                <w:rtl w:val="0"/>
              </w:rPr>
              <w:t xml:space="preserve">Categorical, one-hot encoded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5">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6">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7">
            <w:pPr>
              <w:spacing w:after="60" w:before="60" w:line="240" w:lineRule="auto"/>
              <w:jc w:val="left"/>
              <w:rPr/>
            </w:pPr>
            <w:r>
              <w:rPr>
                <w:sz w:val="16"/>
                <w:szCs w:val="16"/>
                <w:rtl w:val="0"/>
              </w:rPr>
              <w:t xml:space="preserve">highest_education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8">
            <w:pPr>
              <w:spacing w:after="60" w:before="60" w:line="240" w:lineRule="auto"/>
              <w:jc w:val="left"/>
              <w:rPr/>
            </w:pPr>
            <w:r>
              <w:rPr>
                <w:sz w:val="16"/>
                <w:szCs w:val="16"/>
                <w:rtl w:val="0"/>
              </w:rPr>
              <w:t xml:space="preserve">Highest prior education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9">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A">
            <w:pPr>
              <w:spacing w:after="60" w:before="60" w:line="240" w:lineRule="auto"/>
              <w:jc w:val="left"/>
              <w:rPr/>
            </w:pPr>
            <w:r>
              <w:rPr>
                <w:sz w:val="16"/>
                <w:szCs w:val="16"/>
                <w:rtl w:val="0"/>
              </w:rPr>
              <w:t xml:space="preserve">Categorical, one-hot encoded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B">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C">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D">
            <w:pPr>
              <w:spacing w:after="60" w:before="60" w:line="240" w:lineRule="auto"/>
              <w:jc w:val="left"/>
              <w:rPr/>
            </w:pPr>
            <w:r>
              <w:rPr>
                <w:sz w:val="16"/>
                <w:szCs w:val="16"/>
                <w:rtl w:val="0"/>
              </w:rPr>
              <w:t xml:space="preserve">imd_band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E">
            <w:pPr>
              <w:spacing w:after="60" w:before="60" w:line="240" w:lineRule="auto"/>
              <w:jc w:val="left"/>
              <w:rPr/>
            </w:pPr>
            <w:r>
              <w:rPr>
                <w:sz w:val="16"/>
                <w:szCs w:val="16"/>
                <w:rtl w:val="0"/>
              </w:rPr>
              <w:t xml:space="preserve">Index of multiple deprivation band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F">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0">
            <w:pPr>
              <w:spacing w:after="60" w:before="60" w:line="240" w:lineRule="auto"/>
              <w:jc w:val="left"/>
              <w:rPr/>
            </w:pPr>
            <w:r>
              <w:rPr>
                <w:sz w:val="16"/>
                <w:szCs w:val="16"/>
                <w:rtl w:val="0"/>
              </w:rPr>
              <w:t xml:space="preserve">Categorical, one-hot encoded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1">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2">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3">
            <w:pPr>
              <w:spacing w:after="60" w:before="60" w:line="240" w:lineRule="auto"/>
              <w:jc w:val="left"/>
              <w:rPr/>
            </w:pPr>
            <w:r>
              <w:rPr>
                <w:sz w:val="16"/>
                <w:szCs w:val="16"/>
                <w:rtl w:val="0"/>
              </w:rPr>
              <w:t xml:space="preserve">age_band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4">
            <w:pPr>
              <w:spacing w:after="60" w:before="60" w:line="240" w:lineRule="auto"/>
              <w:jc w:val="left"/>
              <w:rPr/>
            </w:pPr>
            <w:r>
              <w:rPr>
                <w:sz w:val="16"/>
                <w:szCs w:val="16"/>
                <w:rtl w:val="0"/>
              </w:rPr>
              <w:t xml:space="preserve">Age band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5">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6">
            <w:pPr>
              <w:spacing w:after="60" w:before="60" w:line="240" w:lineRule="auto"/>
              <w:jc w:val="left"/>
              <w:rPr/>
            </w:pPr>
            <w:r>
              <w:rPr>
                <w:sz w:val="16"/>
                <w:szCs w:val="16"/>
                <w:rtl w:val="0"/>
              </w:rPr>
              <w:t xml:space="preserve">Categorical, one-hot encoded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7">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8">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9">
            <w:pPr>
              <w:spacing w:after="60" w:before="60" w:line="240" w:lineRule="auto"/>
              <w:jc w:val="left"/>
              <w:rPr/>
            </w:pPr>
            <w:r>
              <w:rPr>
                <w:sz w:val="16"/>
                <w:szCs w:val="16"/>
                <w:rtl w:val="0"/>
              </w:rPr>
              <w:t xml:space="preserve">disability</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A">
            <w:pPr>
              <w:spacing w:after="60" w:before="60" w:line="240" w:lineRule="auto"/>
              <w:jc w:val="left"/>
              <w:rPr/>
            </w:pPr>
            <w:r>
              <w:rPr>
                <w:sz w:val="16"/>
                <w:szCs w:val="16"/>
                <w:rtl w:val="0"/>
              </w:rPr>
              <w:t xml:space="preserve">Declared disability</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B">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C">
            <w:pPr>
              <w:spacing w:after="60" w:before="60" w:line="240" w:lineRule="auto"/>
              <w:jc w:val="left"/>
              <w:rPr/>
            </w:pPr>
            <w:r>
              <w:rPr>
                <w:sz w:val="16"/>
                <w:szCs w:val="16"/>
                <w:rtl w:val="0"/>
              </w:rPr>
              <w:t xml:space="preserve">Categorical, one-hot encoded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D">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E">
            <w:pPr>
              <w:spacing w:after="60" w:before="60" w:line="240" w:lineRule="auto"/>
              <w:jc w:val="left"/>
              <w:rPr/>
            </w:pPr>
            <w:r>
              <w:rPr>
                <w:sz w:val="16"/>
                <w:szCs w:val="16"/>
                <w:rtl w:val="0"/>
              </w:rPr>
              <w:t xml:space="preserve">Yes</w:t>
            </w:r>
            <w:r>
              <w:rPr>
                <w:rtl w:val="0"/>
              </w:rPr>
            </w:r>
          </w:p>
        </w:tc>
      </w:tr>
    </w:tbl>
    <w:p w:rsidR="00000000" w:rsidDel="00000000" w:rsidP="00000000" w:rsidRDefault="00000000" w:rsidRPr="00000000" w14:paraId="000004DF">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All 3,097 observations with withdrew_before_start = 1 are labelled at risk, so this feature partly encodes the outcome. Its mean absolute SHAP value in the final model is 0.00, because the same students have no submitted assessments, so it has no influence on the predictions; removing it is recommended in a future iteration.</w:t>
      </w:r>
    </w:p>
    <w:p w:rsidR="00000000" w:rsidDel="00000000" w:rsidP="00000000" w:rsidRDefault="00000000" w:rsidRPr="00000000" w14:paraId="000004E0">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E1">
      <w:pPr>
        <w:spacing w:after="120" w:lineRule="auto"/>
        <w:ind w:left="360" w:hanging="360"/>
        <w:jc w:val="both"/>
        <w:rPr/>
      </w:pPr>
      <w:r>
        <w:rPr>
          <w:rtl w:val="0"/>
        </w:rPr>
        <w:t xml:space="preserve">1. n_assessments_submitted: 3.1110</w:t>
      </w:r>
    </w:p>
    <w:p w:rsidR="00000000" w:rsidDel="00000000" w:rsidP="00000000" w:rsidRDefault="00000000" w:rsidRPr="00000000" w14:paraId="000004E2">
      <w:pPr>
        <w:spacing w:after="120" w:lineRule="auto"/>
        <w:ind w:left="360" w:hanging="360"/>
        <w:jc w:val="both"/>
        <w:rPr/>
      </w:pPr>
      <w:r>
        <w:rPr>
          <w:rtl w:val="0"/>
        </w:rPr>
        <w:t xml:space="preserve">2. active_days: 0.7087</w:t>
      </w:r>
    </w:p>
    <w:p w:rsidR="00000000" w:rsidDel="00000000" w:rsidP="00000000" w:rsidRDefault="00000000" w:rsidRPr="00000000" w14:paraId="000004E3">
      <w:pPr>
        <w:spacing w:after="120" w:lineRule="auto"/>
        <w:ind w:left="360" w:hanging="360"/>
        <w:jc w:val="both"/>
        <w:rPr/>
      </w:pPr>
      <w:r>
        <w:rPr>
          <w:rtl w:val="0"/>
        </w:rPr>
        <w:t xml:space="preserve">3. code_module = FFF: 0.5338</w:t>
      </w:r>
    </w:p>
    <w:p w:rsidR="00000000" w:rsidDel="00000000" w:rsidP="00000000" w:rsidRDefault="00000000" w:rsidRPr="00000000" w14:paraId="000004E4">
      <w:pPr>
        <w:spacing w:after="120" w:lineRule="auto"/>
        <w:ind w:left="360" w:hanging="360"/>
        <w:jc w:val="both"/>
        <w:rPr/>
      </w:pPr>
      <w:r>
        <w:rPr>
          <w:rtl w:val="0"/>
        </w:rPr>
        <w:t xml:space="preserve">4. mean_score: 0.4790</w:t>
      </w:r>
    </w:p>
    <w:p w:rsidR="00000000" w:rsidDel="00000000" w:rsidP="00000000" w:rsidRDefault="00000000" w:rsidRPr="00000000" w14:paraId="000004E5">
      <w:pPr>
        <w:spacing w:after="120" w:lineRule="auto"/>
        <w:ind w:left="360" w:hanging="360"/>
        <w:jc w:val="both"/>
        <w:rPr/>
      </w:pPr>
      <w:r>
        <w:rPr>
          <w:rtl w:val="0"/>
        </w:rPr>
        <w:t xml:space="preserve">5. total_clicks: 0.3819</w:t>
      </w:r>
    </w:p>
    <w:p w:rsidR="00000000" w:rsidDel="00000000" w:rsidP="00000000" w:rsidRDefault="00000000" w:rsidRPr="00000000" w14:paraId="000004E6">
      <w:pPr>
        <w:spacing w:after="120" w:lineRule="auto"/>
        <w:ind w:left="360" w:hanging="360"/>
        <w:jc w:val="both"/>
        <w:rPr/>
      </w:pPr>
      <w:r>
        <w:rPr>
          <w:rtl w:val="0"/>
        </w:rPr>
        <w:t xml:space="preserve">6. clicks_28d_before_deadline: 0.3111</w:t>
      </w:r>
    </w:p>
    <w:p w:rsidR="00000000" w:rsidDel="00000000" w:rsidP="00000000" w:rsidRDefault="00000000" w:rsidRPr="00000000" w14:paraId="000004E7">
      <w:pPr>
        <w:spacing w:after="120" w:lineRule="auto"/>
        <w:ind w:left="360" w:hanging="360"/>
        <w:jc w:val="both"/>
        <w:rPr/>
      </w:pPr>
      <w:r>
        <w:rPr>
          <w:rtl w:val="0"/>
        </w:rPr>
        <w:t xml:space="preserve">7. min_score: 0.2741</w:t>
      </w:r>
    </w:p>
    <w:p w:rsidR="00000000" w:rsidDel="00000000" w:rsidP="00000000" w:rsidRDefault="00000000" w:rsidRPr="00000000" w14:paraId="000004E8">
      <w:pPr>
        <w:spacing w:after="120" w:lineRule="auto"/>
        <w:ind w:left="360" w:hanging="360"/>
        <w:jc w:val="both"/>
        <w:rPr/>
      </w:pPr>
      <w:r>
        <w:rPr>
          <w:rtl w:val="0"/>
        </w:rPr>
        <w:t xml:space="preserve">8. module_presentation_length: 0.2718</w:t>
      </w:r>
    </w:p>
    <w:p w:rsidR="00000000" w:rsidDel="00000000" w:rsidP="00000000" w:rsidRDefault="00000000" w:rsidRPr="00000000" w14:paraId="000004E9">
      <w:pPr>
        <w:spacing w:after="120" w:lineRule="auto"/>
        <w:ind w:left="360" w:hanging="360"/>
        <w:jc w:val="both"/>
        <w:rPr/>
      </w:pPr>
      <w:r>
        <w:rPr>
          <w:rtl w:val="0"/>
        </w:rPr>
        <w:t xml:space="preserve">9. code_module = EEE: 0.2285</w:t>
      </w:r>
    </w:p>
    <w:p w:rsidR="00000000" w:rsidDel="00000000" w:rsidP="00000000" w:rsidRDefault="00000000" w:rsidRPr="00000000" w14:paraId="000004EA">
      <w:pPr>
        <w:spacing w:after="120" w:lineRule="auto"/>
        <w:ind w:left="360" w:hanging="360"/>
        <w:jc w:val="both"/>
        <w:rPr/>
      </w:pPr>
      <w:r>
        <w:rPr>
          <w:rtl w:val="0"/>
        </w:rPr>
        <w:t xml:space="preserve">10. mean_days_late: 0.1468</w:t>
      </w:r>
    </w:p>
    <w:p w:rsidR="00000000" w:rsidDel="00000000" w:rsidP="00000000" w:rsidRDefault="00000000" w:rsidRPr="00000000" w14:paraId="000004EB">
      <w:pPr>
        <w:spacing w:after="120" w:lineRule="auto"/>
        <w:ind w:left="360" w:hanging="360"/>
        <w:jc w:val="both"/>
        <w:rPr/>
      </w:pPr>
      <w:r>
        <w:rPr>
          <w:rtl w:val="0"/>
        </w:rPr>
        <w:t xml:space="preserve">11. clicks_14d_before_deadline: 0.1360</w:t>
      </w:r>
    </w:p>
    <w:p w:rsidR="00000000" w:rsidDel="00000000" w:rsidP="00000000" w:rsidRDefault="00000000" w:rsidRPr="00000000" w14:paraId="000004EC">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ED">
      <w:pPr>
        <w:spacing w:after="120" w:lineRule="auto"/>
        <w:ind w:left="360" w:hanging="360"/>
        <w:jc w:val="both"/>
        <w:rPr/>
      </w:pPr>
      <w:r>
        <w:rPr>
          <w:rtl w:val="0"/>
        </w:rPr>
        <w:t xml:space="preserve">13. code_module = DDD: 0.1075</w:t>
      </w:r>
    </w:p>
    <w:p w:rsidR="00000000" w:rsidDel="00000000" w:rsidP="00000000" w:rsidRDefault="00000000" w:rsidRPr="00000000" w14:paraId="000004EE">
      <w:pPr>
        <w:spacing w:after="120" w:lineRule="auto"/>
        <w:ind w:left="360" w:hanging="360"/>
        <w:jc w:val="both"/>
        <w:rPr/>
      </w:pPr>
      <w:r>
        <w:rPr>
          <w:rtl w:val="0"/>
        </w:rPr>
        <w:t xml:space="preserve">14. n_late_submissions: 0.0770</w:t>
      </w:r>
    </w:p>
    <w:p w:rsidR="00000000" w:rsidDel="00000000" w:rsidP="00000000" w:rsidRDefault="00000000" w:rsidRPr="00000000" w14:paraId="000004EF">
      <w:pPr>
        <w:spacing w:after="120" w:lineRule="auto"/>
        <w:ind w:left="360" w:hanging="360"/>
        <w:jc w:val="both"/>
        <w:rPr/>
      </w:pPr>
      <w:r>
        <w:rPr>
          <w:rtl w:val="0"/>
        </w:rPr>
        <w:t xml:space="preserve">15. code_module = BBB: 0.0640</w:t>
      </w:r>
    </w:p>
    <w:p w:rsidR="00000000" w:rsidDel="00000000" w:rsidP="00000000" w:rsidRDefault="00000000" w:rsidRPr="00000000" w14:paraId="000004F0">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F1">
      <w:pPr>
        <w:spacing w:after="120" w:lineRule="auto"/>
        <w:ind w:left="360" w:hanging="360"/>
        <w:jc w:val="both"/>
        <w:rPr/>
      </w:pPr>
      <w:r>
        <w:rPr>
          <w:rtl w:val="0"/>
        </w:rPr>
        <w:t xml:space="preserve">1. n_assessments_submitted: 0.3961</w:t>
      </w:r>
    </w:p>
    <w:p w:rsidR="00000000" w:rsidDel="00000000" w:rsidP="00000000" w:rsidRDefault="00000000" w:rsidRPr="00000000" w14:paraId="000004F2">
      <w:pPr>
        <w:spacing w:after="120" w:lineRule="auto"/>
        <w:ind w:left="360" w:hanging="360"/>
        <w:jc w:val="both"/>
        <w:rPr/>
      </w:pPr>
      <w:r>
        <w:rPr>
          <w:rtl w:val="0"/>
        </w:rPr>
        <w:t xml:space="preserve">2. code_module = FFF: 0.1397</w:t>
      </w:r>
    </w:p>
    <w:p w:rsidR="00000000" w:rsidDel="00000000" w:rsidP="00000000" w:rsidRDefault="00000000" w:rsidRPr="00000000" w14:paraId="000004F3">
      <w:pPr>
        <w:spacing w:after="120" w:lineRule="auto"/>
        <w:ind w:left="360" w:hanging="360"/>
        <w:jc w:val="both"/>
        <w:rPr/>
      </w:pPr>
      <w:r>
        <w:rPr>
          <w:rtl w:val="0"/>
        </w:rPr>
        <w:t xml:space="preserve">3. code_module = AAA: 0.0995</w:t>
      </w:r>
    </w:p>
    <w:p w:rsidR="00000000" w:rsidDel="00000000" w:rsidP="00000000" w:rsidRDefault="00000000" w:rsidRPr="00000000" w14:paraId="000004F4">
      <w:pPr>
        <w:spacing w:after="120" w:lineRule="auto"/>
        <w:ind w:left="360" w:hanging="360"/>
        <w:jc w:val="both"/>
        <w:rPr/>
      </w:pPr>
      <w:r>
        <w:rPr>
          <w:rtl w:val="0"/>
        </w:rPr>
        <w:t xml:space="preserve">4. mean_score: 0.0640</w:t>
      </w:r>
    </w:p>
    <w:p w:rsidR="00000000" w:rsidDel="00000000" w:rsidP="00000000" w:rsidRDefault="00000000" w:rsidRPr="00000000" w14:paraId="000004F5">
      <w:pPr>
        <w:spacing w:after="120" w:lineRule="auto"/>
        <w:ind w:left="360" w:hanging="360"/>
        <w:jc w:val="both"/>
        <w:rPr/>
      </w:pPr>
      <w:r>
        <w:rPr>
          <w:rtl w:val="0"/>
        </w:rPr>
        <w:t xml:space="preserve">5. active_days: 0.0498</w:t>
      </w:r>
    </w:p>
    <w:p w:rsidR="00000000" w:rsidDel="00000000" w:rsidP="00000000" w:rsidRDefault="00000000" w:rsidRPr="00000000" w14:paraId="000004F6">
      <w:pPr>
        <w:spacing w:after="120" w:lineRule="auto"/>
        <w:ind w:left="360" w:hanging="360"/>
        <w:jc w:val="both"/>
        <w:rPr/>
      </w:pPr>
      <w:r>
        <w:rPr>
          <w:rtl w:val="0"/>
        </w:rPr>
        <w:t xml:space="preserve">6. module_presentation_length: 0.0447</w:t>
      </w:r>
    </w:p>
    <w:p w:rsidR="00000000" w:rsidDel="00000000" w:rsidP="00000000" w:rsidRDefault="00000000" w:rsidRPr="00000000" w14:paraId="000004F7">
      <w:pPr>
        <w:spacing w:after="120" w:lineRule="auto"/>
        <w:ind w:left="360" w:hanging="360"/>
        <w:jc w:val="both"/>
        <w:rPr/>
      </w:pPr>
      <w:r>
        <w:rPr>
          <w:rtl w:val="0"/>
        </w:rPr>
        <w:t xml:space="preserve">7. clicks_28d_before_deadline: 0.0236</w:t>
      </w:r>
    </w:p>
    <w:p w:rsidR="00000000" w:rsidDel="00000000" w:rsidP="00000000" w:rsidRDefault="00000000" w:rsidRPr="00000000" w14:paraId="000004F8">
      <w:pPr>
        <w:spacing w:after="120" w:lineRule="auto"/>
        <w:ind w:left="360" w:hanging="360"/>
        <w:jc w:val="both"/>
        <w:rPr/>
      </w:pPr>
      <w:r>
        <w:rPr>
          <w:rtl w:val="0"/>
        </w:rPr>
        <w:t xml:space="preserve">8. min_score: 0.0183</w:t>
      </w:r>
    </w:p>
    <w:p w:rsidR="00000000" w:rsidDel="00000000" w:rsidP="00000000" w:rsidRDefault="00000000" w:rsidRPr="00000000" w14:paraId="000004F9">
      <w:pPr>
        <w:spacing w:after="120" w:lineRule="auto"/>
        <w:ind w:left="360" w:hanging="360"/>
        <w:jc w:val="both"/>
        <w:rPr/>
      </w:pPr>
      <w:r>
        <w:rPr>
          <w:rtl w:val="0"/>
        </w:rPr>
        <w:t xml:space="preserve">9. date_registration: 0.0073</w:t>
      </w:r>
    </w:p>
    <w:p w:rsidR="00000000" w:rsidDel="00000000" w:rsidP="00000000" w:rsidRDefault="00000000" w:rsidRPr="00000000" w14:paraId="000004FA">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0" w:date="2026-09-21T18:56:03Z">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Daniel Larry" w:id="1" w:date="2026-09-30T21:01:14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_Marked as resolved_</w:t>
      </w:r>
    </w:p>
  </w:comment>
  <w:comment w:author="Daniel Larry" w:id="2" w:date="2026-09-30T21:01:50Z">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_Re-opened_</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done ma its removed</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FE" w15:done="0"/>
  <w15:commentEx w15:paraId="000004FF" w15:paraIdParent="000004FE" w15:done="0"/>
  <w15:commentEx w15:paraId="00000501" w15:paraIdParent="000004F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15.png"/><Relationship Id="rId21" Type="http://schemas.openxmlformats.org/officeDocument/2006/relationships/image" Target="media/image12.png"/><Relationship Id="rId24" Type="http://schemas.openxmlformats.org/officeDocument/2006/relationships/image" Target="media/image20.png"/><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26" Type="http://schemas.openxmlformats.org/officeDocument/2006/relationships/image" Target="media/image17.png"/><Relationship Id="rId25" Type="http://schemas.openxmlformats.org/officeDocument/2006/relationships/image" Target="media/image21.png"/><Relationship Id="rId28" Type="http://schemas.openxmlformats.org/officeDocument/2006/relationships/image" Target="media/image19.png"/><Relationship Id="rId27" Type="http://schemas.openxmlformats.org/officeDocument/2006/relationships/image" Target="media/image22.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8.png"/><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image" Target="media/image11.png"/><Relationship Id="rId30" Type="http://schemas.openxmlformats.org/officeDocument/2006/relationships/image" Target="media/image13.png"/><Relationship Id="rId11" Type="http://schemas.openxmlformats.org/officeDocument/2006/relationships/image" Target="media/image2.png"/><Relationship Id="rId10" Type="http://schemas.openxmlformats.org/officeDocument/2006/relationships/footer" Target="footer1.xml"/><Relationship Id="rId13" Type="http://schemas.openxmlformats.org/officeDocument/2006/relationships/image" Target="media/image5.png"/><Relationship Id="rId12" Type="http://schemas.openxmlformats.org/officeDocument/2006/relationships/image" Target="media/image1.png"/><Relationship Id="rId15" Type="http://schemas.openxmlformats.org/officeDocument/2006/relationships/image" Target="media/image6.png"/><Relationship Id="rId14" Type="http://schemas.openxmlformats.org/officeDocument/2006/relationships/image" Target="media/image4.png"/><Relationship Id="rId17" Type="http://schemas.openxmlformats.org/officeDocument/2006/relationships/image" Target="media/image10.png"/><Relationship Id="rId16" Type="http://schemas.openxmlformats.org/officeDocument/2006/relationships/image" Target="media/image7.png"/><Relationship Id="rId19" Type="http://schemas.openxmlformats.org/officeDocument/2006/relationships/image" Target="media/image14.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e2pFWmZH1QQEZLeymarM7wQwIw==">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