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what happens after a student is flagged as at-risk remains largely unaddressed.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because a prediction about a student’s future can directly affect that student’s academic trajectory and the professional judgement of the instructor or advisor expected to act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few domain-specific frameworks that extend beyond general measures such as trust (Al-Ansari, 2024). This thesis therefore frames the problem as a design and technical research problem: how to design, implement, and technically evaluate a role-aware explainable AI dashboard for at-risk student prediction, guided by a Knowledge Engineering approach grounded in the CommonKADS methodology. Because the study does not collect data from practitioners, it does not establish a demonstrated usability problem or measure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predictions for at-risk students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study's knowledge engineering foundations.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outlines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field's emergence from earlier traditions in educational data mining and academic analytics, arguing that its distinctiveness lies not in the data or algorithms it employs but in its explicit orientation towards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Read together with Leitner et al. (2019), this literature suggests that the effectiveness of learning analytics depends less on the sophistication of the underlying models and more on whether institutional actors can interpret and act on the resulting insights,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align with earlier findings by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researchers have also proposed borderline and adaptive variants of SMOTE, and Prati, Batista, and Silva (2015) describe a protocol for analysing the comparative behaviour of these treatment methods.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Notably absent from all these studies is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addresses the central research gap between what XAI techniques can deliver and what specific stakeholder roles require.</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designing an instructor interface, an advisor interface, and an administrator interface must begin with an explicit analysis of the tasks each role performs and the knowledge each role brings to those tasks, rather than a uniform visual template applied across roles.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 the practitioner-facing communication of predictions. Evaluation criteria across this body of work remain overwhelmingly technical, with F1-score, accuracy, and AUC dominating reporting, and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Methodologically,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Applying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few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related literature on learning analytics, student at-risk prediction, explainable artificial intelligence, and learning analytics dashboard design, and traced how each contributes to, but does not by itself address, the design problem this study addresses.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a critical review of this literature shows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the dashboard design is based on a systematic analysis of each stakeholder role's knowledge needs, rather than a technically driven design that assumes uniform information needs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the artefact's demonstrable utility when evaluated against a well-defined problem. This position aligns closely with the intent of the present study, which contributes both a dashboard system and design guidelines derived from the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suits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This study did not include a documented iterative heuristic review with recorded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is therefore described as planned practice rather than completed infrastructure. Similarly, the codebase, the trained model artefacts, and the derived experimental data are intended for deposit in a public repository in accordance with the FAIR data principles articulated by Wilkinson et al. (2016), but this deposit is not reported as completed here.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users understand explanations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artefact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on OULAD precisely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precisely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is positioned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identifies low assessment submission as the leading contributor to a flag,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 substantive rather than incidental requirement,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do so only as conditions, not as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consequential single finding for practical use, since the observed operating point varied substantially across the four held-out presentations, indicating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team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lets users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and it could draw on the perceived usefulness ad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