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pPr>
        <w:spacing w:before="240" w:after="240"/>
        <w:jc w:val="center"/>
      </w:pPr>
      <w:r>
        <w:drawing>
          <wp:inline distT="0" distB="0" distL="0" distR="0">
            <wp:extent cx="1733550" cy="1733550"/>
            <wp:effectExtent l="0" t="0" r="0" b="0"/>
            <wp:docPr id="9003" name="AUN logo" descr="American University of Nigeria logo"/>
            <wp:cNvGraphicFramePr/>
            <a:graphic>
              <a:graphicData uri="http://schemas.openxmlformats.org/drawingml/2006/picture">
                <pic:pic>
                  <pic:nvPicPr>
                    <pic:cNvPr id="9003" name="aun_logo.png"/>
                    <pic:cNvPicPr/>
                  </pic:nvPicPr>
                  <pic:blipFill>
                    <a:blip r:embed="rId9002"/>
                    <a:stretch>
                      <a:fillRect/>
                    </a:stretch>
                  </pic:blipFill>
                  <pic:spPr>
                    <a:xfrm>
                      <a:off x="0" y="0"/>
                      <a:ext cx="1733550" cy="1733550"/>
                    </a:xfrm>
                    <a:prstGeom prst="rect">
                      <a:avLst/>
                    </a:prstGeom>
                  </pic:spPr>
                </pic:pic>
              </a:graphicData>
            </a:graphic>
          </wp:inline>
        </w:drawing>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While predictive models using LMS behavioural and assessment data have been investigated for early identification of students at risk of failing or withdrawing, existing systems</w:t>
      </w:r>
      <w:commentRangeStart w:id="9"/>
      <w:r>
        <w:rPr>
          <w:rtl w:val="0"/>
          <w:sz w:val="23"/>
          <w:szCs w:val="23"/>
        </w:rPr>
        <w:t xml:space="preserve"/>
      </w:r>
      <w:commentRangeEnd w:id="9"/>
      <w:r>
        <w:commentReference w:id="9"/>
      </w:r>
      <w:r>
        <w:rPr>
          <w:rtl w:val="0"/>
          <w:sz w:val="23"/>
          <w:szCs w:val="23"/>
        </w:rPr>
        <w:t xml:space="preserve"> typically present these predictions as isolated risk scores, offering little insight into the underlying reasoning and no differentiation between the needs of different institutional stakeholders. Guided by a Knowledge Engineering approach grounded in the CommonKADS methodology, this study designed a dashboard that delivers explanations tailored separately to instructors, academic advisors, and administrators from a single underlying prediction system.</w:t>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deployment criterion, achieved an out-of-fold accuracy of 87.7%, a precision of 0.866, a recall of 0.909, and an F1-score of 0.887, correctly identifying the large majority of at-risk students in the held-out data, while Random Forest obtained a marginally higher F1-score of 0.898. Because the features were computed over the full course presentation, these results describe retrospective classification using the available OULAD feature set and do not establish performance at a predefined early-warning point. Explainability analysis showed partial agreement between SHAP and LIME rankings, indicating that </w:t>
      </w:r>
      <w:commentRangeStart w:id="10"/>
      <w:commentRangeStart w:id="11"/>
      <w:r>
        <w:rPr>
          <w:rtl w:val="0"/>
          <w:sz w:val="23"/>
          <w:szCs w:val="23"/>
        </w:rPr>
        <w:t xml:space="preserve">presenting both methods side by side provides a technically cross-checked representation of model behaviour and provides a basis for future practitioner evaluation.</w:t>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conducted technically against a secondary dataset rather than through direct engagement with practitioners, the findings establish the technical feasibility and soundness of the approach and lay the groundwork for future empirical validation of its impact on practitioner trust, understanding, and intervention decision-making.</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56</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60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80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114</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117</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growth of digital technology has changed how higher education institutions deliver and manage learning. Learning Management Systems (LMS) such as Moodle, Canvas, and Blackboard (Kuzilek et al., 2017) now support course delivery, assessment submission, and communication between students and instructors at scale. The use of these systems increased substantially during the COVID-19 pandemic, when many universities moved their teaching online. This also made much larger amounts of student behavioural data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to understand and optimise learning (Siemens &amp; Long, 2011). One of its most important applications is the early identification of students at risk of failing or withdrawing. Prior research has investigated predictive models trained on LMS behavioural logs, demographic records, and assessment histories to identify these students early, giving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advances, less attention has been given to what happens after a student is identified as being at risk. Ali et al. (2023), in their review of over 410 XAI studies, note that many AI model outputs are difficult to comprehend because of their black-box nature. Explainable AI (XAI) addresses this limitation through techniques such as SHapley Additive exPlanations (SHAP) and Local Interpretable Model-agnostic Explanations (LIME), which enable practitioners to identify the features that drove a particular prediction. This transparency is important in education because a prediction about a student can shape both that student’s academic path and the judgement of the instructor or advisor who acts 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provides role-specific explanations from a single prediction system (Afzaal et al., 2021; Cabral et al., 2025; Kaliisa et al., 2023; Susnjak et al., 2022). This study addressed this gap by designing and technically evaluating</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As AI-driven student prediction systems become more widely adopted in higher education, concerns have shifted from model accuracy to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The problem is further complicated by the different information needs of institutional stakeholders. The literature suggests that explanations should reflect the user’s role and level of expertise (Haque et al., 2023; Kostopoulos et al., 2024), yet current dashboards rarely support role-specific perspectives. Evaluation of explainable AI in education is also still developing, with few domain-specific frameworks that go beyond general measures such as trust (Al-Ansari, 2024). This thesis therefore treats the problem as both a design and a technical research problem. It focuses on designing, implementing, and technically evaluating a role-aware explainable AI dashboard for at-risk student prediction, guided by the CommonKADS knowledge engineering methodology. Because no practitioner data were collected, the study does not directly measure usability or practitioner decision-making; future practitioner-facing research should address these questions.</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how a role-aware explainable artificial intelligence dashboard can support at-risk student prediction within Learning Management System environments. The Open University Learning Analytics Dataset (OULAD) serves as the empirical basis for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review the literature on predictive features, machine learning models, and XAI techniques used for student at-risk prediction in LMS environments, and to identify the knowledge engineering and design principles relevant to role-aware dashboard development.</w:t>
      </w:r>
      <w:commentRangeStart w:id="20"/>
      <w:r>
        <w:rPr>
          <w:rtl w:val="0"/>
        </w:rPr>
        <w:t xml:space="preserve"/>
      </w:r>
      <w:commentRangeEnd w:id="20"/>
      <w:r>
        <w:commentReference w:id="20"/>
      </w:r>
      <w:r>
        <w:rPr>
          <w:rtl w:val="0"/>
        </w:rPr>
        <w:t xml:space="preserve"/>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that provides different explanatory views for instructors, academic advisors, and administrators, and to technically evaluate the underlying prediction and explanation components using OULAD.</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contributes to research on explainable AI, learning analytics, and knowledge engineering by developing a role-aware XAI dashboard for student risk prediction in higher education and evaluating its predictive and explanatory behaviour. The study makes the following contributions:</w:t>
      </w:r>
    </w:p>
    <w:p w:rsidR="00000000" w:rsidDel="00000000" w:rsidP="00000000" w:rsidRDefault="00000000" w:rsidRPr="00000000" w14:paraId="0000007A">
      <w:pPr>
        <w:spacing w:after="160" w:lineRule="auto"/>
        <w:jc w:val="both"/>
        <w:rPr/>
      </w:pPr>
      <w:r>
        <w:rPr>
          <w:rtl w:val="0"/>
        </w:rPr>
        <w:t xml:space="preserve">1. A role-aware XAI dashboard architecture that differentiates SHAP and LIME explanations across instructor, advisor, and administrator interfaces within a single LMS-integrated prediction system, guided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and compared with results reported in previous studies. The evaluation also examines the agreement between SHAP and LIME explanations.</w:t>
      </w:r>
    </w:p>
    <w:p w:rsidR="00000000" w:rsidDel="00000000" w:rsidP="00000000" w:rsidRDefault="00000000" w:rsidRPr="00000000" w14:paraId="0000007C">
      <w:pPr>
        <w:spacing w:after="160" w:lineRule="auto"/>
        <w:jc w:val="both"/>
        <w:rPr/>
      </w:pPr>
      <w:r>
        <w:rPr>
          <w:rtl w:val="0"/>
        </w:rPr>
        <w:t xml:space="preserve">3. Technical evidence on model performance and SHAP/LIME explanation behaviour using OULAD, including the level of agreement and divergence between the two explanation methods. These findings provide a basis for future studies of practitioner trust, interpretation, and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These guidelines can be evaluated with practitioners in future research.</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This study was limited to designing and evaluating a role-aware XAI dashboard for student at-risk prediction, focusing on higher education institutions using LMS platforms that generate interaction log data. The primary dataset used for model development was the publicly available OULAD dataset, which captures 32,593 student-module-presentation observations across 22 module presentations at the Open University (Kuzilek et al., 2017). The modelling component focused on binary classification of students as at risk or not at risk using behavioural and demographic features available from the LMS. Because the features were calculated using data from the full course presentation, the evaluation is retrospective. It therefore does not show how well the model would perform at a specific early-warning point during a course.</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suitability of the role-specific design are therefore based on existing literature rather than on a user study with practitioners,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The study has several limitations. It did not collect primary data from practitioners, so trust, usability, and decision quality could not be evaluated directly. It also relied on the OULAD dataset, whose demographic and institutional context may not represent other educational settings. As a result, the performance of the role-specific design in actual practice remains untested. In addition, the explanation stability and fidelity checks, the probability calibration analysis, and the subgroup fairness assessment specified in the methodology were not completed within the final evaluation (Chapter 3, Section 3.4.1). The findings are therefore presented according to three levels of evidence: what was demonstrated through technical evaluation, what is supported by the design, and what remains untested.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reviews the literature on learning analytics, at-risk student prediction, explainable AI, and role-aware dashboard design, and presents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presents the results of the technical evaluation of the predictive model and the SHAP/LIME components using the OULAD dataset. Chapter 6 discusses the findings in relation to previous research, revisits the research questions, and sets out the study’s limitations.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research field. Despite this development, prediction-focused learning analytics research has given less attention to the human, ethical, and pedagogical issues involved in institutional use.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dashboards should treat practitioners as active users rather than passive recipients of algorithmic outputs. This view supports the role-aware approach adopted in this study.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(2019)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show that predictive modelling has advanced considerably, while less attention has been given to communicating predictions according to the different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Beyond these systematic reviews, a broader body of research has attempted to clarify what learning analytics is for and whose interests it should serve. Ferguson (2012) traces the field's emergence from earlier traditions in educational data mining and academic analytics, arguing that its distinctiveness lies not in the data or algorithms it employs but in its explicit orientation towards improving learning. Gaševic, Dawson, and Siemens (2015) similarly argue that predictive tools have developed faster than the pedagogical foundations needed to guide their use,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Thüs (2012) provides a useful conceptual framework for situating this study within the wider field. Their four-dimensional taxonomy considers the data and environments analysed, the stakeholders involved, the objectives pursued, and the methods used. It therefore treats stakeholder differences as a central design concern. Viberg, Hatakka, Bälter,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supports the problem addressed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Gaševic (2017) synthesise policy-level evidence from European and Australasian universities and identify a persistent shortage of practitioner-facing decision support as a primary barrier to sustained adoption. Complementary evidence comes from Larrabee Sønderlund, Hughes, and Smith (2019), whose systematic review of learning analytics interventions concludes that the empirical case for improved learner outcomes remains modest, largely because the interventions triggered by analytical insights are inconsistently designed and delivered. Together with Leitner et al. (2019), these studies suggest that effective learning analytics depends not only on model sophistication but also on whether institutional users can understand and act on the resulting insights. This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Research on predicting student at-risk status has attracted sustained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are consistent with Jin et al. (2024), who found that ensemble gradient boosting models are common in recent OULAD research.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Together, these reviews show a gap between the ability to predict at-risk students and the ability to communicate those predictions to practitioners.</w:t>
      </w:r>
    </w:p>
    <w:p w:rsidR="00000000" w:rsidDel="00000000" w:rsidP="00000000" w:rsidRDefault="00000000" w:rsidRPr="00000000" w14:paraId="00000091">
      <w:pPr>
        <w:spacing w:after="200" w:lineRule="auto"/>
        <w:jc w:val="both"/>
        <w:rPr/>
      </w:pPr>
      <w:r>
        <w:rPr>
          <w:rtl w:val="0"/>
        </w:rPr>
        <w:t xml:space="preserve">The growing focus on prediction within learning analytics has deep theoretical roots that the technical literature does not always make explicit.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(2019) show the relationship by demonstrating that clickstream indicators of engagement, submission timeliness, and forum participation align closely with Tinto's academic integration dimension and yield reliable early warnings on the OULAD dataset. This theoretical background helps identify which behavioural features have pedagogical meaning and should therefore be included in the explanation views.</w:t>
      </w:r>
    </w:p>
    <w:p w:rsidR="00000000" w:rsidDel="00000000" w:rsidP="00000000" w:rsidRDefault="00000000" w:rsidRPr="00000000" w14:paraId="00000092">
      <w:pPr>
        <w:spacing w:after="200" w:lineRule="auto"/>
        <w:jc w:val="both"/>
        <w:rPr/>
      </w:pPr>
      <w:r>
        <w:rPr>
          <w:rtl w:val="0"/>
        </w:rPr>
        <w:t xml:space="preserve">Previous studies have examined several types of algorithms for at-risk prediction and report some consistent findings.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Researchers have also investigated deep learning approaches, though results are mixed relative to their computational cost. Waheed et al. (2020) trained deep artificial neural networks on OULAD and reported strong classification performance, but noted that the marginal accuracy gains over well-tuned ensembles were modest and did not justify the additional opacity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findings suggest that predictive accuracy alone is not sufficient when selecting models for institutional use. Interpretability and the ability to provide explanations should also be considered.</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These studies suggest that aggregate accuracy results on OULAD should be interpreted with caution. An operational dashboard should also provide enough detail for practitioners to identify and question differences in model performance across groups. The role-aware explanation design pursued in this study is one mechanism that makes this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Naive oversampling can amplify noise near class boundaries. For this reason, researchers have proposed borderline and adaptive variants of SMOTE. Prati, Batista, and Silva (2015) describe a protocol for comparing these approaches. Santos et al. (2018) further recommend resampling only on the training partition of each cross-validation fold, so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lead practitioners to overreact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depends not only on accuracy but also on the perceived reliability of the confidence values shown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planning the study's methodology;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become increasingly important as high-accuracy models are adopted in education. The educational setting also presents particular challenges because model outputs may influence decisions about students. Arrieta et al. (2020) reviewed more than 400 papers and distinguished between interpretable models and explanation techniques. They argue that the choice between these approaches depends on the deployment context and the expertise of the intended user, a distinction that earlier XAI surveys by Gunning and Aha (2019) did not address in depth.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and found SHAP most consistent for feature-attribution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show that combining SHAP, Shapash, ELI5, and LIME with XGBoost enables fine-grained performance explanations suitable for institutional reporting, though their work stops short of evaluating how non-technical stakeholders receive and interpret these explanations.</w:t>
      </w:r>
    </w:p>
    <w:p w:rsidR="00000000" w:rsidDel="00000000" w:rsidP="00000000" w:rsidRDefault="00000000" w:rsidRPr="00000000" w14:paraId="00000098">
      <w:pPr>
        <w:spacing w:after="200" w:lineRule="auto"/>
        <w:jc w:val="both"/>
        <w:rPr/>
      </w:pPr>
      <w:r>
        <w:rPr>
          <w:rtl w:val="0"/>
        </w:rPr>
        <w:t xml:space="preserve">However, these studies give limited attention to how explanations should be presented to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This study focuses on the gap between the explanations produced by XAI methods and the different information needs of stakeholder roles.</w:t>
      </w:r>
    </w:p>
    <w:p w:rsidR="00000000" w:rsidDel="00000000" w:rsidP="00000000" w:rsidRDefault="00000000" w:rsidRPr="00000000" w14:paraId="00000099">
      <w:pPr>
        <w:spacing w:after="200" w:lineRule="auto"/>
        <w:jc w:val="both"/>
        <w:rPr/>
      </w:pPr>
      <w:r>
        <w:rPr>
          <w:rtl w:val="0"/>
        </w:rPr>
        <w:t xml:space="preserve">Previous research on the theoretical foundations of explainable AI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ideas are relevant to this study because a role-aware dashboard must consider both which explanations to display and what type of interpretability each stakeholder needs.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note that the field lacks agreed evaluation protocols, making many claims about explanation quality hard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Khosravi et al. (2022) map the state of explainable AI in education and identify six recurring stakeholder groups, including learners, teachers, and administrators, whose explanation needs differ structurally. Their analysis reinforces this study's central design proposition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extend the case for role-aware design from a normative argument to an evidence-based design requirement.</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what would have to change for a prediction to differ, which is precisely what a practitioner facing an intervention decision needs to know. Susnjak, Ramaswami, and Mathrani (2022) integrate counterfactual reasoning into a learner-facing dashboard that is deployed for trials at a higher education institution, but their design addresses a single stakeholder group. The literature therefore shows that counterfactual explanations are technically useful in education, but their presentation for different stakeholder roles remains underexplored.</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and find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this study's dashboard development methodology. In a recent systematic review of AI-powered learning analytics dashboards, Cabral et al. (2025)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designing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studies reviewed above form part of a longer effort to understand and organise the design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decision-making. Bodily and Verbert (2017) offer a complementary review focused on student-facing dashboards and educational recommender systems, and observe that the field has developed rich technical methods for surfacing behavioural indicators while making comparatively little progress on how intended users should interpret those indicators. Together with the more recent review by Cabral, Pinto, and Goncalves (2025), these earlier reviews show that explaining analytical outputs has remained a limitation in dashboard research.</w:t>
      </w:r>
    </w:p>
    <w:p w:rsidR="00000000" w:rsidDel="00000000" w:rsidP="00000000" w:rsidRDefault="00000000" w:rsidRPr="00000000" w14:paraId="000000A1">
      <w:pPr>
        <w:spacing w:after="200" w:lineRule="auto"/>
        <w:jc w:val="both"/>
        <w:rPr/>
      </w:pPr>
      <w:r>
        <w:rPr>
          <w:rtl w:val="0"/>
        </w:rPr>
        <w:t xml:space="preserve">Empirical studies of dashboard effectiveness have reported similar limitations. Matcha, Gaševic, and Pardo (2020) synthesise findings from 21 empirical studies of learning analytics dashboards through a self-regulated learning lens and report that most systems are neither theoretically grounded nor evaluated against learning outcomes, with most studies limited to usability measurement or short-term satisfaction surveys. Sedrakyan, Malmberg, Verbert, Järvelä, and Kirschner (2020) argue that this limited evaluation is partly related to treating dashboards as reporting tools rather than as part of a wider feedback process, and they call for designs that explicitly model how analytical outputs enter the practitioner's decision-making process. The study responds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suggests that each interface should be designed around the tasks and knowledge of its intended role, rather than using the same template for all users. This modelling stance is adopted throughout this study.</w:t>
      </w:r>
    </w:p>
    <w:p w:rsidR="00000000" w:rsidDel="00000000" w:rsidP="00000000" w:rsidRDefault="00000000" w:rsidRPr="00000000" w14:paraId="000000A6">
      <w:pPr>
        <w:spacing w:after="200" w:lineRule="auto"/>
        <w:jc w:val="both"/>
        <w:rPr/>
      </w:pPr>
      <w:r>
        <w:rPr>
          <w:rtl w:val="0"/>
        </w:rPr>
        <w:t xml:space="preserve">Human-centred XAI research supports this principle from another perspective. Liao &amp; Varshney (2022) and Ehsan et al. (2021) argue that an explanation's effectiveness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Gutierrez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issues together in a checklist covering stakeholder involvement, design, and evaluation. This checklist informs both the design and evaluation of the present study.</w:t>
      </w:r>
    </w:p>
    <w:p w:rsidR="00000000" w:rsidDel="00000000" w:rsidP="00000000" w:rsidRDefault="00000000" w:rsidRPr="00000000" w14:paraId="000000A8">
      <w:pPr>
        <w:spacing w:after="200" w:lineRule="auto"/>
        <w:jc w:val="both"/>
        <w:rPr/>
      </w:pPr>
      <w:r>
        <w:rPr>
          <w:rtl w:val="0"/>
        </w:rPr>
        <w:t xml:space="preserve">The studies reviewed show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addresses this gap by combining the CommonKADS Agent and Communication Models with the Kaliisa et al. (2023) design checklist. This provides a structured way to move from stakeholder analysis to role-specific interface content.</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identifies a gap at the intersection of student at-risk prediction, explainable AI, and role-aware learning analytics dashboard design. Several specific,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 although ensemble models have achieved high accuracy on OULAD and similar datasets (Guevara-Reyes et al., 2025; Jin et al., 2024; Rebelo Marcolino et al., 2025; Wang, 2025), the reviewed studies give limited attention to how their predictions are communicated to practitioners. Evaluation in this area remains largely technical, with accuracy, F1-score, and AUC commonly reported, while the interpretability of model outputs receives less attention.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that post-hoc explanation methods can be used in educational settings, but gives less attention to how explanations should differ between institutional stakeholder roles. The only role-specific XAI dashboard identified in the literature reviewed for this study, Afzaal et al. (2021), targets students, not the instructors, advisors, and administrators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The knowledge engineering aspect of XAI dashboard development has also received limited attention. In particular, existing studies have given little attention to how SHAP and LIME outputs can be represented as knowledge and delivered differently to different stakeholder roles. This can be viewed as a knowledge engineering problem. Applying a structured knowledge engineering methodology such as CommonKADS (Schreiber et al., 2000) to this context provides the methodological contribution of the study.</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largely generic and give limited attention to differences in trust, understanding, and decision quality across LMS stakeholder groups. This study addresses these issues through a technically evaluated artefact and a proposed framework for future expert validation. The dashboard is designed around different stakeholder roles and the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Taken together, these five gaps point to a broader problem. Technical, methodological, and evaluation work has often developed separately, and the few studies that combine them generally focus on a single stakeholder group. This study therefore designs the predictive model, explanation layer, role-aware interface, and evaluation framework against a common knowledge engineering specification. Based on these findings, the study extends previous work by bringing these areas together to address a gap that earlier research has given limited attention to.</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reviewed research on learning analytics, student at-risk prediction, explainable AI, and learning analytics dashboard design. The review showed how these areas contribute to the problem addressed by this study, while also identifying their limitations.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The review also showed that high predictive accuracy does not necessarily translate into institutional impact. Explanation methods are rarely tailored to different users, and many dashboards continue to focus on a single type of user despite differences in stakeholder information needs.</w:t>
      </w:r>
    </w:p>
    <w:p w:rsidR="00000000" w:rsidDel="00000000" w:rsidP="00000000" w:rsidRDefault="00000000" w:rsidRPr="00000000" w14:paraId="000000B4">
      <w:pPr>
        <w:jc w:val="both"/>
        <w:rPr/>
      </w:pPr>
      <w:r>
        <w:rPr>
          <w:rtl w:val="0"/>
        </w:rPr>
        <w:t xml:space="preserve">The research gap identified above follows from these findings. The remainder of the thesis uses the CommonKADS knowledge engineering framework together with the Kaliisa et al. (2023) design checklist and the human-centred evaluation framework of Kim et al. (2024) to address these limitations.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main design problem in this study is a knowledge engineering problem: how to represent and communicate the knowledge produced by the prediction system. In particular, the study examines how SHAP and LIME explanations can be presented to instructors, advisors, and administrators according to their different information needs. CommonKADS was developed for analysing and designing knowledge-intensive systems (Schreiber et al., 2000). This makes it suitable for the present study, which uses LMS data to generate predictions and XAI explanations for different stakeholder roles.</w:t>
      </w:r>
    </w:p>
    <w:p w:rsidR="00000000" w:rsidDel="00000000" w:rsidP="00000000" w:rsidRDefault="00000000" w:rsidRPr="00000000" w14:paraId="000000BC">
      <w:pPr>
        <w:spacing w:after="160" w:lineRule="auto"/>
        <w:jc w:val="both"/>
        <w:rPr/>
      </w:pPr>
      <w:r>
        <w:rPr>
          <w:rtl w:val="0"/>
        </w:rPr>
        <w:t xml:space="preserve">Schreiber et al. (2000) structure CommonKADS as six models covering organisational context, tasks, agents, knowledge, communication, and system design. Each model addresses a specific design requirement in this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each stakeholder role's knowledge, capabilities, and explanation needs, informing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approach bases the dashboard design on the information needs of each stakeholder role rather than assuming that all users require the same information (Studer et al., 1998). Table 3.1 summarises how each of the six models was instantiated in this study, the evidence it draws on, and the resulting design decision.</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Gaševic,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In this study, each of the six models is applied to a specific part of the system design rather than used only as a conceptual framework. The Organisation Model was informed by published research on learning analytics governance (Tsai &amp; Gaševic, 2017; Leitner et al., 2019) and the stakeholder workflows reported by Kaliisa et al. (2023). It was used to describe how at-risk information currently moves between institutional roles, as set out in the following paragraph. The Task Model draws on the task decomposition proposed by Verbert et al. (2013) and was extended to include the additional tasks required for post-hoc explanations. The Agent Model is informed by the role-specific information needs identified by Kostopoulos et al. (2024) and by Haque, Islam, and Mikalef (2023), who synthesise practitioner-facing evidence on how explanation preferences differ by expertise. Because practitioners were not involved in the study, the Agent Model was developed from published literature rather than from direct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Gaševic, 2017). The flow of at-risk information therefore breaks down at two points: when a prediction reaches a practitioner without an explanation they can check against what they know,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each role's decision, while the practitioner retains the intervention decision.</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not as an empirical framework; a TAM-based practitioner evaluation is identified in Chapter 7 as future work. The research proceeds through four iterative phases: knowledge acquisition and organisation analysis; knowledge and system modelling; artefact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not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Using TAM in parallel with the CommonKADS Agent and Communication Models therefore gives the design process a well-validated pair of design lenses, perceived usefulness and perceived ease of use from TAM, and role-specific informational need from the Agent and Communication Models, complementing the human-centred XAI evaluation framework of Kim et al. (2024), which identifies these same constructs as central to how AI explanations are ultimately received once a direct practitioner evaluation is conducted.</w:t>
      </w:r>
    </w:p>
    <w:p w:rsidR="00000000" w:rsidDel="00000000" w:rsidP="00000000" w:rsidRDefault="00000000" w:rsidRPr="00000000" w14:paraId="000000CA">
      <w:pPr>
        <w:spacing w:after="160" w:lineRule="auto"/>
        <w:jc w:val="both"/>
        <w:rPr/>
      </w:pPr>
      <w:r>
        <w:rPr>
          <w:rtl w:val="0"/>
        </w:rPr>
        <w:t xml:space="preserve">The research is additionally informed by the design science paradigm articulated by Hevner et al. (2004) and later refined into the Design Science Research Methodology by Peffers et al. (2007). Both formulations argue that a research contribution centred on a purposeful artefact is legitimated by the rigour of the construction process and the artefact's demonstrable utility when evaluated against a well-defined problem. This position aligns closely with the intent of the present study, which contributes both a dashboard system and design guidelines derived from the evaluation. This study adopts the iterative process proposed by Peffers et al. (2007) alongside CommonKADS. It comprises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relationship between these frameworks is therefore hierarchical.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serves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drew on published literature rather than user-based elicitation, so findings from the literature review fed into the modelling phase, where an agent characterisation was refined, and outputs from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This system's architecture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therefore separates data processing, prediction, explanation, and user interaction, ensuring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organised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also responsible for temporally aligning interaction records with assessment deadlines, a step essential for constructing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lets the same feature pipeline be reused for both training and inference without leaking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ensemble learning methods. Ensemble models have consistently demonstrated superior predictive performance in at-risk classification tasks (Rebelo Marcolino et al., 2025; Wang, 2025). However, their increased complexity reduces interpretability, necessitating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the module adequately addresses both cohort-level and instance-level interpretation needs.</w:t>
      </w:r>
    </w:p>
    <w:p w:rsidR="00000000" w:rsidDel="00000000" w:rsidP="00000000" w:rsidRDefault="00000000" w:rsidRPr="00000000" w14:paraId="000000F7">
      <w:pPr>
        <w:spacing w:after="160" w:lineRule="auto"/>
        <w:jc w:val="both"/>
        <w:rPr/>
      </w:pPr>
      <w:r>
        <w:rPr>
          <w:rtl w:val="0"/>
        </w:rPr>
        <w:t xml:space="preserve">The Explainability Module includes two internal sub-services. The first, a global explanation service, computes and caches TreeSHAP values (Lundberg et al., 2020) across the training population; these values underpin the cohort-level visualisations used by administrators and, at a coarser grain, by advisors. The second, a local explanation service, generates on-demand LIME approximations for individual predictions (Ribeiro, Singh, &amp; Guestrin, 2016) and produces a corresponding local SHAP explanation using the tree-path-dependent estimator, so the two techniques can be compared side by side within the interface. Storing global SHAP outputs while computing LIME on demand reflects the difference in computing time between the two methods reported by Salih et al. (2024), where SHAP has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allows a single predictive model to support multiple stakeholders without redundancy, and is intended to support each role's decision-making; its effect on usability was not measured in this study.</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composing visual components, managing interaction state, and translating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the risk indicator, the feature attribution panel, and the cohort comparison view, each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for heterogeneous audiences benefit from layered disclosure, in which summary indicators appear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the Explainability Module remains agnostic to downstream visualisation choices.</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and caching,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The Presentation Layer enforces authentication and authorisation, so a practitioner is exposed only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Since its release, OULAD has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Adopting OULAD therefore also situates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OULAD is further justified by its scale, completeness, and ethical suitability. Its anonymised structure eliminates concerns relating to personally identifiable information, while its size supports the development of robust and generalisable models. The dataset is therefore selected for its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mapping Withdrawn and Fail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for each observation so cross-validation folds can be grouped by presentation, mitigating the risk of optimistic estimates from ignoring the data's panel structure,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explicitly rather than imputed globally. Interaction counts for weeks in which a student is not yet registered are treated as structural zeros, whereas missing demographic fields are retained through a dedicated indicator variable so that missingness itself is available as a signal to the model. This treatment is consistent with the guidance of Van Buuren (2018), whose analysis of missing data mechanisms demonstrates that indicator encoding is preferable to blind imputation when missingness may be informative, a condition that is plausible for administrative educational data.</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classifier supports an immediate screening decision: whether to flag a student for further consideration. Albreiki</w:t>
      </w:r>
      <w:commentRangeStart w:id="38"/>
      <w:r>
        <w:rPr>
          <w:rtl w:val="0"/>
        </w:rPr>
        <w:t xml:space="preserve"/>
      </w:r>
      <w:commentRangeEnd w:id="38"/>
      <w:r>
        <w:commentReference w:id="38"/>
      </w:r>
      <w:r>
        <w:rPr>
          <w:rtl w:val="0"/>
        </w:rPr>
        <w:t xml:space="preserve"> et al. (2021) report that most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Prior studies identify submission timeliness, VLE interaction frequency, assessment performance trends, and demographic indicators as key predictors of student outcomes (Guevara-Reyes et al., 2025; Wang, 2025). Selecting these features aligns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This study compares three ensemble models: Random Forest, XGBoost, and Gradient Boosting Classifier. Ensemble methods are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a widely regarded strong general-purpose baseline for tabular classification. XGBoost, introduced by Chen and Guestrin (2016), applies regularised gradient boosting on decision trees and has become the reference implementation for boosting on structured data, particularly with heterogeneous feature types. The Gradient Boosting Classifier, as implemented in scikit-learn following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observations from the same presentation never appear in both the training and validation partitions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the training code also records ROC-AUC.</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study design specified several refinements to the modelling and evaluation pipeline that were not implemented in the final evaluation. They are recorded here so that this chapter describes the final method accurately while remaining transparent about the original plan. Chapter 2, Section 2.2 reviews the literature motivating each refinement.</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Integrating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explanation subsystem design is grounded in the distinction Doshi-Velez and Kim (2017) draw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the resulting explanations undergo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show that SHAP and LIME can be manipulated by adversarial classifiers to conceal discriminatory behaviour, and although the present study does not confront an adversarial setting, the same underlying sensitivity to perturbation choices motivates reporting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clarifying why a particular outcome was predicted rather than a plausible alternative. Explanations should be selective, surfacing the small number of factors that most strongly account for the outcome rather than the full attribution vector. Explanations should be social, in that they should be phrased in terms accessible to the intended recipient. The presentation layer draws on these selective and social properties by rendering per-instance explanations as signed feature attributions limited to a small set of leading features, with human-readable feature labels, at an aggregation level suited to the associated stakeholder role. The prototype implements feature attributions rather than contrastive or counterfactual explanations, and it does not include natural-language comparative statements; therefore,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interface was designed around a separate information brief derived from the CommonKADS Agent Model. The instructor interface focuses on class-level engagement during the current teaching period and provides explanations of individual students' risk drivers using assessment and weekly activity data,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Gaševic (2017). These role-specific briefs prevent the dashboard from using the same view for all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The interface follows Nielsen's (1994) human-computer interaction heuristics, particularly visibility of system status, match between the system and the real world, recognition rather than recall, and consistency and standards. Colour usage is designed to remain informative for practitioners with common forms of colour vision deficiency by using colour-blind-safe palettes and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The study did not conduct a formal iterative heuristic review with documented iterations, reviewers, or severity ratings. Instead, the Nielsen (1994) criteria were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included in the thesis. Figures 3.3 and 4.1 therefore provide the main architectural documentation presented in the study.</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These libraries were selected based on their suitability for the required tasks. Scikit-learn is adopted for its consistent estimator interface and its well-tested implementations of cross-validation, preprocessing, and model evaluation utilities, as documented by Pedregosa et al. (2011). XGBoost was selected because of its regularised objective, sparsity-aware split finding, and out-of-core training capabilities (Chen &amp; Guestrin, 2016).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for the API layer, a combination selected because it enables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implements authentication using JSON Web Tokens following the specification of Jones, Bradley, and Sakimura (2015). Role-based access control is enforced at the API layer and the interface layer, consistent with the defence-in-depth principle articulated by Saltzer and Schroeder (1975), so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The planned testing strategy included several levels of testing: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was also planned, following the software delivery practices described by Humble and Farley (2010). This testing and continuous integration pipeline is not demonstrated in this thesis and is therefore described as planned practice rather than completed infrastructure. Similarly, the codebase, the trained model artefacts, and the derived experimental data are intended for deposit in a public repository in accordance with the FAIR data principles articulated by Wilkinson et al. (2016), but this deposit is not reported as completed here.</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a technical evaluation of the predictive and explanatory components against the OULAD dataset, rather than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This ensures that the model does not train on the same presentation used for evaluation.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Random Forest, XGBoost, and Gradient Boosting are compared using the same pipeline and evaluation protocol. F1-score is used for model comparison, while recall is the primary criterion for selecting the model used in the prototype. Performance is additionally reported separately for each held-out course presentation, giving a direct empirical indication of how much variability to expect across cohorts. Because the features use data from the full course presentation, the evaluation is retrospective. It does not establish model performance at a specific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Their aggregate rankings are compared for overlap in leading features, while instance-level agreement is measured by comparing the top-ranked SHAP and LIME features for each sampled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evaluation also includes a verification step, in which the metrics and figures reported in Chapter 4 are reproduced from the trained model artefact. The implemented system is also compared with the methodology specified in this chapter, and any differences between the planned and implemented methods are documented.</w:t>
      </w:r>
    </w:p>
    <w:p w:rsidR="00000000" w:rsidDel="00000000" w:rsidP="00000000" w:rsidRDefault="00000000" w:rsidRPr="00000000" w14:paraId="00000132">
      <w:pPr>
        <w:spacing w:after="160" w:lineRule="auto"/>
        <w:jc w:val="both"/>
        <w:rPr/>
      </w:pPr>
      <w:r>
        <w:rPr>
          <w:rtl w:val="0"/>
        </w:rPr>
        <w:t xml:space="preserve">The technical evaluation determines whether the predictive and explanatory components function correctly and produce consistent results. These results provide the technical basis for future practitioner evaluation. Direct evaluation of practitioner trust, understanding, and decision quality would require primary data from instructors, advisors, and administrators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This evaluation reports findings against a three-level evidence model used throughout the remainder of the thesis. Findings that were demonstrated are those measured directly in the technical evaluation, such as predictive performance and cross-method agreement. Findings supported by design are dashboard properties that are implemented and traceable to stated requirements and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the study uses only the secondary OULAD dataset (Section 3.3) and collects no primary data from students, instructors, advisors, or administrators, its main ethical considerations concern data handling and algorithmic fairness rather than participant recruitment or informed consent.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considered as part of the study's ethical assessment.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required any subgroup performance differences to be reported openly. This follows the transparency principle advocated by Mitchell et al. (2019) in their model card proposal and the evidence from Yu et al. (2020) that predictive models in higher education can produce different error rates across student groups even when overall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avoiding harm. In line with this argument, the dashboard design deliberately avoids features that would automate high-stakes decisions about students, keeping the practitioner as the final decision-maker in any intervention. Slade and Prinsloo (2013) further note that learning analytics interventions risk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presented the methodology used to design, implement, and technically evaluate the role-aware XAI dashboard for student at-risk prediction using the OULAD dataset. The study follows the Design Science Research Methodology of Peffers et al. (2007). CommonKADS provides the knowledge engineering and design framework, while TAM is used only as a design lens and the Kaliisa et al. (2023) checklist guides dashboard design.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Together, these methods provide the basis for answering the research questions presented in Chapter 1.</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Where Chapter 3 established the CommonKADS-derived design rationale (the Organisation, Task, Agent, Knowledge, Communication, and Design Models), this chapter documents how that design was realised as a working prototype: the specific frameworks</w:t>
      </w:r>
      <w:commentRangeStart w:id="53"/>
      <w:r>
        <w:rPr>
          <w:rtl w:val="0"/>
        </w:rPr>
        <w:t xml:space="preserve"/>
      </w:r>
      <w:commentRangeEnd w:id="53"/>
      <w:r>
        <w:commentReference w:id="53"/>
      </w:r>
      <w:r>
        <w:rPr>
          <w:rtl w:val="0"/>
        </w:rPr>
        <w:t xml:space="preserve"> and libraries used at each architectural layer, the model development environment, the Learning Management System (LMS) integrations built and tested for the prototype, and the containerised prototype deployment topology.</w:t>
      </w:r>
    </w:p>
    <w:p w:rsidR="00000000" w:rsidDel="00000000" w:rsidP="00000000" w:rsidRDefault="00000000" w:rsidRPr="00000000" w14:paraId="0000013F">
      <w:pPr>
        <w:spacing w:after="200" w:lineRule="auto"/>
        <w:jc w:val="both"/>
        <w:rPr/>
      </w:pPr>
      <w:r>
        <w:rPr>
          <w:rtl w:val="0"/>
        </w:rPr>
        <w:t xml:space="preserve">The system was implemented and validated end to end against the actual Open University Learning Analytics Dataset (OULAD) described in Chapter 3, rather than synthetic or placeholder data, so that the architectural decisions reported here reflect a system that has been tested against real data volumes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developing an ensemble predictive model with integrated SHAP and LIME explanations and implementing a role-aware dashboard that delivers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also establishes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often difficult to interpret because the systems under study are described only in general terms, leaving it unclear which interface property drives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the layers correspond to distinct rates of change, and this condition holds in the present system because the feature engineering logic, the trained model artefact, the explanation services, and the interface components are each expected to be revised on different schedules. Mohseni, Zarei, and Ragan (2021) make the related point for explainable systems, observing that architectures that treat explanation as a separate architectural component rather than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keepNext/>
        <w:spacing w:after="120" w:before="120" w:lineRule="auto"/>
        <w:rPr/>
      </w:pPr>
      <w:r>
        <w:rPr>
          <w:rtl w:val="0"/>
        </w:rPr>
      </w:r>
    </w:p>
    <w:p w:rsidR="00000000" w:rsidDel="00000000" w:rsidP="00000000" w:rsidRDefault="00000000" w:rsidRPr="00000000" w14:paraId="00000147">
      <w:pPr>
        <w:keepNext/>
        <w:spacing w:after="100" w:before="150" w:lineRule="auto"/>
        <w:jc w:val="center"/>
        <w:rPr/>
      </w:pPr>
      <w:r>
        <w:rPr/>
        <w:drawing>
          <wp:inline distB="0" distT="0" distL="0" distR="0">
            <wp:extent cx="5400675" cy="6636974"/>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Before the prototype pipeline was built,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prototype codebase.</w:t>
      </w:r>
    </w:p>
    <w:p w:rsidR="00000000" w:rsidDel="00000000" w:rsidP="00000000" w:rsidRDefault="00000000" w:rsidRPr="00000000" w14:paraId="0000014B">
      <w:pPr>
        <w:spacing w:after="200" w:lineRule="auto"/>
        <w:jc w:val="both"/>
        <w:rPr/>
      </w:pPr>
      <w:r>
        <w:rPr>
          <w:rtl w:val="0"/>
        </w:rPr>
        <w:t xml:space="preserve">This separation between an exploratory notebook environment and a prototype codebase follows standard applied machine learning practice: Colab was used for rapid, temporary experimentation, while the code that actually runs in the prototype was rewritten as versioned, testable Python modules (data_layer, prediction_engine, explainability) independent of the notebook environment, so that the prototype pipeline does not depend on Colab's session-based execution model or its GPU availability at inference time.</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prototype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CSV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28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3.3, VLE engagement features are calculated using 7-, 14-, and 28-day windows before each assessment deadline rather than fixed calendar weeks. A programmatic leakage check stops any window that would include activity recorded on or after its deadline, raising an assertion error rather than silently including that activity.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users understand explanations in a social context and must be phrased in terms accessible to the recipient, and an attribution expressed against an unlabelled column name does not satisfy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deployment criterion (Chapter 3, Section 3.4) and evaluated using GroupKFold cross-validation grouped by course presentation (of which OULAD contains four: 2013B, 2013J, 2014B, and 2014J), ensuring that no fold is evaluated on a presentation the model was also trained on. </w:t>
      </w:r>
      <w:commentRangeStart w:id="56"/>
      <w:r>
        <w:rPr>
          <w:rtl w:val="0"/>
        </w:rPr>
        <w:t xml:space="preserve">Held-out, out-of-fold performance across the full dataset was 87.7% accuracy, 0.887 F1-score, and 0.962 AUC.</w:t>
      </w:r>
      <w:commentRangeEnd w:id="56"/>
      <w:r>
        <w:commentReference w:id="56"/>
      </w:r>
      <w:r>
        <w:rPr>
          <w:rtl w:val="0"/>
        </w:rPr>
        <w:t xml:space="preserve"> The fitted preprocessing pipeline and model are persisted as a single versioned artefact together with a manifest recording the training date, the feature dictionary version used, and the evaluation metrics, so that a prediction returned by the API can always be traced back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Grouping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reported accuracies are therefore not straightforwardly comparable across the literature. Krstajic et al. (2014) make a similar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because accuracy is uninformative under class imbalance, and recall as the primary criterion for selecting the prototype model; Chicco and Jurman (2020) also argue that summary metrics should be interpreted alongside the full confusion matrix rather than in place of it. Reporting recall and specificity separately, as above, shows the trade-off a single threshold imposes, and the dashboard exposes this trade-off to practitioners rather than resolving it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The persistence of the model manifest alongside the fitted artefact is what makes disaggregated reporting of this kind tractable, since any subsequent audit can reconstruct the exact feature contract and model version against which subgroup performance was computed,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15,634 of 17,208 genuinely at-risk students are correctly flagged (90.9% recall) and 12,963 of 15,385 not-at-risk students are correctly left unflagged (84.3% specificity), with 2,422 false positives and 1,574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 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both a local SHAP explanation and an independent LIME explanation on demand for a single prediction, reconstructing the exact feature vector the model was originally scored against, so that the two explanation methods can be displayed side by side in the instructor view and any agreement or disagreement between them is directly visible to the end user.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any divergence visible, providing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This design decision also responds to the known limitations of post-hoc explanation discussed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makes that choice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that role separation does not collapse to a single point of failure in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Learning Management System and the API reflects the defence-in-depth principle of Saltzer and Schroeder (1975), cited earlier in Chapter 3, Section 3.7, under which no single component should constitute the sole enforcement point for an access control decision. The consequence in this system is that a forwarded role header is treated as an unverified claim requiring corroboration, not as an established fact, which is the appropriate posture given that the dashboard is designed to be embedded within a Learning Management System and, as a result, to receive requests that originate outside its own trust boundary. Token issuance and verification follow the JSON Web Token specification of Jones, Bradley, and Sakimura (2015),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substantive requirement of the study rather than a purely technical concept.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which is a visualisation of signed SHAP/LIME contributions at three different levels of aggregation: individual-student detail for the instructor view, cohort-averaged detail for the advisor view, and full-population detail for the administrator view, so that the same visual format is used across all three levels of the Agent Model rather than requiring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roles by the granularity and framing of the knowledge each requires, not by the visual vocabulary used to express that knowledge, and Sokol and Flach (2020) argue on similar grounds that explanation type, granularity, and format should be treated as separable configuration parameters. Reusing the reasoning trail at three levels of aggregation also reduces the effort required to interpret the information for practitioners who occupy more than one role in practice, which is common in smaller institutions, and it aligns with the recognition-rather-than-recall and consistency heuristics of Nielsen (1994), referenced earlier in Chapter 3, Section 3.6.</w:t>
      </w:r>
    </w:p>
    <w:p w:rsidR="00000000" w:rsidDel="00000000" w:rsidP="00000000" w:rsidRDefault="00000000" w:rsidRPr="00000000" w14:paraId="00000199">
      <w:pPr>
        <w:spacing w:after="200" w:lineRule="auto"/>
        <w:jc w:val="both"/>
        <w:rPr/>
      </w:pPr>
      <w:r>
        <w:rPr>
          <w:rtl w:val="0"/>
        </w:rPr>
        <w:t xml:space="preserve">The content of each view comes from the role-specific information briefs set out earlier in Chapter 3, Section 3.6. The instructor view foregrounds per-student detail because Molenaar and Knoop-van Campen (2019) show that teachers act on dashboard information at the level of the individual learner, and because Kaliisa and Dolonen (2022) find that instructors prioritise summary-level alerts over granular statistical breakdowns, which is why the full attribution is reached through the reasoning trail rather than presented as the default. The advisor view is cohort-averaged over students at or above the watch threshold, following the caseload orientation of the LADA advising dashboard reported by Gutiérrez et al. (2020). The administrator view is full-population because institutional decision support focuses on distributions rather than individual behaviour, in line with patterns documented by Tsai and Gaševic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keepNext/>
        <w:spacing w:after="120" w:before="120" w:lineRule="auto"/>
        <w:rPr/>
      </w:pPr>
      <w:r>
        <w:rPr>
          <w:rtl w:val="0"/>
        </w:rPr>
      </w:r>
    </w:p>
    <w:p w:rsidR="00000000" w:rsidDel="00000000" w:rsidP="00000000" w:rsidRDefault="00000000" w:rsidRPr="00000000" w14:paraId="0000019B">
      <w:pPr>
        <w:keepNext/>
        <w:spacing w:after="100" w:before="150" w:lineRule="auto"/>
        <w:jc w:val="center"/>
        <w:rPr/>
      </w:pPr>
      <w:r>
        <w:rPr/>
        <w:drawing>
          <wp:inline distB="0" distT="0" distL="0" distR="0">
            <wp:extent cx="5400675" cy="3028235"/>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keepNext/>
        <w:spacing w:after="120" w:before="120" w:lineRule="auto"/>
        <w:rPr/>
      </w:pPr>
      <w:r>
        <w:rPr>
          <w:rtl w:val="0"/>
        </w:rPr>
      </w:r>
    </w:p>
    <w:p w:rsidR="00000000" w:rsidDel="00000000" w:rsidP="00000000" w:rsidRDefault="00000000" w:rsidRPr="00000000" w14:paraId="0000019E">
      <w:pPr>
        <w:keepNext/>
        <w:spacing w:after="100" w:before="150" w:lineRule="auto"/>
        <w:jc w:val="center"/>
        <w:rPr/>
      </w:pPr>
      <w:r>
        <w:rPr/>
        <w:drawing>
          <wp:inline distB="0" distT="0" distL="0" distR="0">
            <wp:extent cx="5400675" cy="2931795"/>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keepNext/>
        <w:spacing w:after="120" w:before="120" w:lineRule="auto"/>
        <w:rPr/>
      </w:pPr>
      <w:r>
        <w:rPr>
          <w:rtl w:val="0"/>
        </w:rPr>
      </w:r>
    </w:p>
    <w:p w:rsidR="00000000" w:rsidDel="00000000" w:rsidP="00000000" w:rsidRDefault="00000000" w:rsidRPr="00000000" w14:paraId="000001A1">
      <w:pPr>
        <w:keepNext/>
        <w:spacing w:after="100" w:before="150" w:lineRule="auto"/>
        <w:jc w:val="center"/>
        <w:rPr/>
      </w:pPr>
      <w:r>
        <w:rPr/>
        <w:drawing>
          <wp:inline distB="0" distT="0" distL="0" distR="0">
            <wp:extent cx="5400675" cy="3259693"/>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1"/>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(a) Moodle login page</w:t>
            </w:r>
            <w:r>
              <w:rPr>
                <w:rtl w:val="0"/>
              </w:rPr>
            </w:r>
          </w:p>
          <w:p w:rsidR="00000000" w:rsidDel="00000000" w:rsidP="00000000" w:rsidRDefault="00000000" w:rsidRPr="00000000" w14:paraId="000001A5">
            <w:pPr>
              <w:keepNext/>
              <w:spacing w:after="120" w:before="120" w:lineRule="auto"/>
              <w:rPr>
                <w:color w:val="000000"/>
              </w:rPr>
            </w:pPr>
            <w:r>
              <w:rPr>
                <w:rtl w:val="0"/>
              </w:rPr>
            </w:r>
          </w:p>
          <w:p w:rsidR="00000000" w:rsidDel="00000000" w:rsidP="00000000" w:rsidRDefault="00000000" w:rsidRPr="00000000" w14:paraId="000001A6">
            <w:pPr>
              <w:keepNext/>
              <w:jc w:val="center"/>
              <w:rPr/>
            </w:pPr>
            <w:r>
              <w:rPr/>
              <w:drawing>
                <wp:inline distB="0" distT="0" distL="0" distR="0">
                  <wp:extent cx="3600000" cy="2400000"/>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600000" cy="2400000"/>
                          </a:xfrm>
                          <a:prstGeom prst="rect"/>
                          <a:ln/>
                        </pic:spPr>
                      </pic:pic>
                    </a:graphicData>
                  </a:graphic>
                </wp:inline>
              </w:drawing>
            </w: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(b) Dashboard sign-in inside a Canvas course</w:t>
            </w:r>
            <w:r>
              <w:rPr>
                <w:rtl w:val="0"/>
              </w:rPr>
            </w:r>
          </w:p>
          <w:p w:rsidR="00000000" w:rsidDel="00000000" w:rsidP="00000000" w:rsidRDefault="00000000" w:rsidRPr="00000000" w14:paraId="000001A7">
            <w:pPr>
              <w:keepNext/>
              <w:jc w:val="center"/>
              <w:rPr/>
            </w:pPr>
            <w:r>
              <w:rPr/>
              <w:drawing>
                <wp:inline distB="0" distT="0" distL="0" distR="0">
                  <wp:extent cx="5220000" cy="2755000"/>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2755000"/>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authentication and role resolution, (a) Moodle login page (role and course context come from Moodle), (b) dashboard sign-in inside a Canvas course</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a substantive part of the implementation rather than as a deployment detail. The literature reviewed earlier, in Chapter 2 (Section 2.1), identifies institutional uptake, rather than predictive capability, as the main constraint on learning analytics: Tsai and Gaševic (2017) attribute limited adoption in part to the shortage of practitioner-facing decision support, and Leitner, Ebner, and Ebner (2019) document a persistent disconnect between the technical sophistication of predictive models and their use in institutional decision-making. A dashboard that cannot be reached from within the environment in which instructors and advisors already work is unlikely to overcome that constraint, and demonstrating that the system launches from a Learning Management System with the launching user's role and course context intact is, as a result, evidence of technical integration feasibility, supporting the contribution stated earlier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running Moodle 5.2 and substantially smaller than the official Bitnami or MoodleHQ development images) ran locally via Docker, along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the plugin creates, and an Institution overview page for managers. Login, role, and course context come from Moodle itself: an instructor sees only the students in a course they teach, and the plugin calls the API server-to-server with the shared service key described in Section 4.8, so no dashboard credentials reach the browser. Access control was checked by attempting cross-role and cross-course requests, such as an instructor of module AAA opening the insights page of an FFF course, and each request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keepNext/>
              <w:spacing w:after="120" w:before="120" w:lineRule="auto"/>
              <w:rPr>
                <w:color w:val="000000"/>
              </w:rPr>
            </w:pPr>
            <w:r>
              <w:rPr>
                <w:rtl w:val="0"/>
              </w:rPr>
            </w:r>
          </w:p>
          <w:p w:rsidR="00000000" w:rsidDel="00000000" w:rsidP="00000000" w:rsidRDefault="00000000" w:rsidRPr="00000000" w14:paraId="000001AF">
            <w:pPr>
              <w:keepNext/>
              <w:spacing w:before="700" w:lineRule="auto"/>
              <w:jc w:val="center"/>
              <w:rPr/>
            </w:pPr>
            <w:r>
              <w:rPr>
                <w:b w:val="1"/>
                <w:bCs w:val="1"/>
                <w:color w:val="6a737b"/>
                <w:sz w:val="22"/>
                <w:szCs w:val="22"/>
              </w:rPr>
              <w:drawing>
                <wp:inline distB="0" distT="0" distL="0" distR="0">
                  <wp:extent cx="5731510" cy="3980215"/>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keepNext/>
        <w:spacing w:after="120" w:before="120" w:lineRule="auto"/>
        <w:rPr/>
      </w:pPr>
      <w:r>
        <w:rPr>
          <w:rtl w:val="0"/>
        </w:rPr>
      </w:r>
    </w:p>
    <w:p w:rsidR="00000000" w:rsidDel="00000000" w:rsidP="00000000" w:rsidRDefault="00000000" w:rsidRPr="00000000" w14:paraId="000001B4">
      <w:pPr>
        <w:keepNext/>
        <w:spacing w:after="200" w:lineRule="auto"/>
        <w:jc w:val="both"/>
        <w:rPr/>
      </w:pPr>
      <w:r>
        <w:rPr>
          <w:rtl w:val="0"/>
        </w:rPr>
        <w:t xml:space="preserve"/>
      </w:r>
      <w:r>
        <w:drawing>
          <wp:inline distT="0" distB="0" distL="0" distR="0">
            <wp:extent cx="5731510" cy="3383182"/>
            <wp:effectExtent b="0" l="0" r="0" 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3383182"/>
                    </a:xfrm>
                    <a:prstGeom prst="rect"/>
                    <a:ln/>
                  </pic:spPr>
                </pic:pic>
              </a:graphicData>
            </a:graphic>
          </wp:inline>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commentRangeStart w:id="59"/>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it stores these artefacts in a persistent volume so later restarts reuse the same model version. The out-of-fold risk scores for the full population and the global SHAP values are computed once per model version and served from this cache, so administrator- and advisor-level dashboard views use cached copies rather than recomputing predictions for the full student population on every page load. The API also sends a Content-Security-Policy frame-ancestors header, so that only the configured Learning Management System origins can embed the dashboard.</w:t>
      </w:r>
      <w:r>
        <w:rPr>
          <w:rtl w:val="0"/>
        </w:rPr>
        <w:t xml:space="preserve"/>
      </w:r>
      <w:r>
        <w:rPr>
          <w:rtl w:val="0"/>
        </w:rPr>
        <w:t xml:space="preserve"/>
      </w:r>
      <w:commentRangeEnd w:id="59"/>
      <w:r>
        <w:commentReference w:id="59"/>
      </w:r>
    </w:p>
    <w:p w:rsidR="00000000" w:rsidDel="00000000" w:rsidP="00000000" w:rsidRDefault="00000000" w:rsidRPr="00000000" w14:paraId="000001B8">
      <w:pPr>
        <w:spacing w:after="200" w:lineRule="auto"/>
        <w:jc w:val="both"/>
        <w:rPr/>
      </w:pPr>
      <w:r>
        <w:rPr>
          <w:rtl w:val="0"/>
        </w:rPr>
        <w:t xml:space="preserve">The separation between the cached cohort path and the synchronous per-student path follows the serving pattern documented by Sculley et al. (2015), who observe that co-locating batch and online scoring behind a single interface accumulates hidden coupling and makes latency behaviour difficult to reason about, whereas distinguishing the two access paths allows cohort refreshes to be scheduled without competing with interactive traffic. In this system,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results from evaluating this implementation against the OULAD dataset, including model performance and explanation quality, and discusses what these technical findings imply for practitioner use, drawing on existing literature rather than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Integrating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specified from the CommonKADS Agent Model and the dashboard-design literature cited in Section 4.9 rather than validated against practitioners directly, since no primary user data were collected for this study. The third research question concerns what the predictive and explainability findings indicate about the technical potential of the dashboard to support practitioner interpretation and decision-making; what this chapter establishes is that the system evaluated in the following chapter is a working prototype tested against the full OULAD population rather than one limited to illustrative cases, which is the precondition for the technical evidence Chapter 5 reports, though it is not itself a measurement of practitioner response.</w:t>
      </w:r>
    </w:p>
    <w:p w:rsidR="00000000" w:rsidDel="00000000" w:rsidP="00000000" w:rsidRDefault="00000000" w:rsidRPr="00000000" w14:paraId="000001BC">
      <w:pPr>
        <w:spacing w:after="200" w:lineRule="auto"/>
        <w:jc w:val="both"/>
        <w:rPr/>
      </w:pPr>
      <w:r>
        <w:rPr>
          <w:rtl w:val="0"/>
        </w:rPr>
        <w:t xml:space="preserve">Two implementation limitations should be recorded before reporting the evaluation.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system's transferability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end-to-end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which this chapter completes. Section 5.5 reports performance variability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system's predictive and explanatory components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used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a withdrawal predictor rather than a pure academic-failure predictor, and this qualification carries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59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0.8867</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12,963 true negatives, 2,422 false positives, 1,574 false negatives, and 15,634 true positives. Precision is not stated numerically anywhere in Chapter 4, which reports recall and specificity; it is derivable from the Chapter 4 confusion matrix as 15,634 divided by the sum of 15,634 and 2,422, which equals 0.8659,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0.8774 indicates that the classifier assigns the correct label, at-risk or not-at-risk, to 87.7% of the 32,593 held-out observations. Because the classes are only mildly imbalanced (52.8% versus 47.2%), accuracy is not as misleading a summary here as it would be under severe imbalance, but it still collapses two different kinds of error, false positives and false negatives, into a single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0.8659 means that of every 1,000 students the model flags as at-risk, approximately 866 subsequently received the at-risk outcome label used in this study and approximately 134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some proportion of flagged students did not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0.9085 means that of the 17,208 genuinely at-risk students in the held-out data, the model correctly identifies 15,634 and misses 1,574. This figure is most directly relevant to the study's early-intervention rationale and is the primary criterion for selecting the prototype model (Chapter 3, Section 3.4), because a student who is at risk but not flagged receives no benefit from the dashboard. Recall is higher than precision, indicating that, at the default 0.5 threshold, the model is more conservative about withholding an at-risk flag than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0.8867 is the harmonic mean of precision and recall and summarises the balance between the two. Because recall (0.9085) exceeds precision (0.8659)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(2,422 false positives, approximately 15.7% of the not-at-risk group). Neither figure should be read in isolation from the confusion matrix in Figure 5.1, since Chicco and Jurman (2020) caution that summary metrics can obscure the underlying error profile, and it is that full profile, not any single number, that determines what an institution should expect operationally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0.8997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0.8955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0.8976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0.8904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0.8962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achieves the highest F1-score (0.8976), ahead of Gradient Boosting (0.8932) and the prototype XGBoost model (0.8867), and also has the highest accuracy and precision of the three, while XGBoost retains the highest recall, correctly identifying more genuinely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0.9085 against 0.8962 for Gradient Boosting and 0.8955 for Random Forest. The retention of XGBoost in the prototype is therefore consistent with the stated criterion, while Random Forest's higher F1-score is a relevant finding for future iterations of the pipeline, particularly if the relative priority of recall and precision is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it is possible to report the prototype model's out-of-fold performance separately for each of the four presentations, which is a more exacting test of generalisation than the pooled figures in Table 5.1 since each fold's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0.9506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0.8764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0.9120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0.9161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0.9690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0.8577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0.9099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0.8619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0.8243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0.9627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0.8882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0.8456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0.8075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0.9197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0.8600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0.86 to 0.88), while the two later presentations, 2014B and 2014J, show the reverse pattern: lower precision (around 0.81 to 0.82) with markedly higher recall (up to 0.963 for 2014B). Accuracy ranges from 0.8456 (2014J) to 0.9161 (2013J), a spread of over seven percentage points. Because GroupKFold has only four groups,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limits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59-column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3.1110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0.7087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0.5338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0.4790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0.3819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0.3111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0.2741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0.2718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0.2285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0.1468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0.1360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0.1312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0.1075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0.0770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code_module = BBB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0.0640</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four times the mean absolute SHAP value of the second-ranked feature, active days.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-0.69 and -0.96),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(+0.8354)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The engagement variables are indeed highly collinear: the Spearman correlation between clicks_28d_before_deadline and total_clicks is 0.98, and the 14-day and 7-day windows correlate with total_clicks at 0.95 and 0.92 (Section 5.7). This is consistent with the collinearity explanation, although a SHAP dependence analysis was not carried out,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0.3961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0.0995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0.0640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0.0498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0.0447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0.0236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0.0183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date_registration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0.0073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region = Wales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0.0043</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leading feature, n_assessments_submitted, and share six further features in their respective top 10 rankings: active_days, code_module = FFF, mean_score, clicks_28d_before_deadline, min_score, and module_presentation_length. They diverge on the remainder: SHAP's global ranking places total_clicks, code_module = EEE, and mean_days_late in its top 10, where LIME does not, while LIME's aggregate ranking surfaces code_module = AAA, date_registration, and region = Wales, where SHAP's global ranking does not. Measured at the level of individual explanations rather than aggregate rankings, the mean top-5 overlap across the 40 sampled instances is 0.635 (standard deviation 0.197), meaning that on average just over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higher than SHAP's global ranking,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0.9998 against a true label of 1, both methods identify n_assessments_submitted as the leading contributor, with SHAP additionally weighting the FFF module indicator and active days, and LIME's discretised condition on assessments submitted (between 1 and 5) carrying the largest local weight. For a student in module FFF, presentation 2014B, predicted at 0.0038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the findings in this section, the language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check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Every numerical claim made in Chapter 4, Section 4.6 and the caption of Figure 4.3 was reproduced in this execution. Chapter 4 states 87.7% accuracy; this execution obtained 0.8774, which rounds to 87.7%. Chapter 4 states an F1-score of 0.887; this execution obtained 0.8867, which rounds to 0.887. Chapter 4 states an AUC of 0.962; this execution obtained 0.9624. Chapter 4's Figure 4.3 caption states 90.9% recall and 84.3% specificity; this execution obtained 0.9085 and 0.8426 respectively. The confusion matrix reported in Chapter 4, [[12,963, 2,422], [1,574, 15,634]], reproduced cell for cell. The number of observations, 32,593, is identical. Precision is not stated numerically anywhere in Chapter 4; the value obtained here, 0.8659, is consistent with the confusion matrix Chapter 4 does report. The evaluation environment used scikit-learn 1.9.1 and xgboost 3.2.0, recorded with the other package versions in Appendix A.</w:t>
      </w:r>
      <w:r>
        <w:rPr>
          <w:rtl w:val="0"/>
        </w:rPr>
        <w:t xml:space="preserve"/>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only XGBoost, so this chapter completed the comparison directly by evaluating Random Forest and Gradient Boosting under the same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reported in Table 5.1 give a clear picture of predictive performance; the additional secondary metrics and a calibration study were specified but not implemented in the final experimental pipeline, and they remain natural extensions for a future iteration,</w:t>
      </w:r>
      <w:commentRangeStart w:id="69"/>
      <w:r>
        <w:rPr>
          <w:rtl w:val="0"/>
        </w:rPr>
        <w:t xml:space="preserve"/>
      </w:r>
      <w:commentRangeEnd w:id="69"/>
      <w:r>
        <w:commentReference w:id="69"/>
      </w:r>
      <w:r>
        <w:rPr>
          <w:rtl w:val="0"/>
        </w:rPr>
        <w:t xml:space="preserve"> and calibration in particular would add confidence to the individual risk scores shown on the dashboard, alongside the strong discrimination already demonstrated (AUC 0.9624).</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Robustness check: the 28-day click window ranking. The project documentation asserts that the 28-day pre-deadline click window outranks raw total clicks in importance. In the global TreeSHAP ranking in Table 5.4 the two sit close together, with clicks_28d_before_deadline at 0.3111 and total_clicks at 0.3819, and the two features are near-duplicates, with a Spearman correlation of 0.98. To establish whether the order between them is a stable property of the model, the final model was refitted with seven further random seeds under the same configuration. The 28-day window ranked above total clicks in four of the eight fits and below it in the other four, while the combined importance of the two features remained within a narrow range (0.57 to 0.69). The relative ranking of the two is therefore not a stable property of the fitted model: where two features carry almost the same information, a tree ensemble distributes credit between them according to its random subsampling of rows and columns, and SHAP reports that distribution faithfully. The claim is accordingly neither confirmed nor refuted by this evidence. What is stable is that pre-deadline and total engagement together carry a consistent share of the model's reasoning, well below that of assessment submission. The check also has a practical implication for the dashboard: small differences between highly correlated features in a reasoning trail should not be read as meaningful, a qualification that applies alongside the direction of the 28-day effect discussed in Section 5.6.</w:t>
      </w:r>
      <w:r>
        <w:rPr>
          <w:rtl w:val="0"/>
        </w:rPr>
        <w:t xml:space="preserve"/>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empirically reinforce that observation: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methodologically closer to this thesis's engagement-feature-driven approach than many of the demographic-only baselines surveyed elsewhere in the literature; their specific reported accuracy and F1 figures could not be independently retrieved from the source used to verify this literature set, and are accordingly not quoted or compared numerically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the SHAP and TreeSHAP methods used throughout Section 5.6, and Ribeiro, Singh, and Guestrin (2016) provide the corresponding basis for LIME; the top-5 instance-level overlap of 0.635 reported in this chapter (Section 5.6) is a direct, dataset-specific measurement of the kind of partial agreement these two families of method are understood to produce when applied to the same model, rather than a finding specific to student data. Hooshyar and Yang (2024) applied Kernel SHAP, Permutation SHAP, and LIME to an educational predictive model and report significant variability in the feature importance the methods assign, with post-hoc explanations at times attributing importance to less relevant features. This is the closest published analogue to the side-by-side SHAP-versus-LIME comparison in this chapter, and it supports the framing of SHAP-versus-LIME comparison as an established line of enquiry in this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Gasevic, and Pardo (2020) each review learning-analytics dashboard research broadly, and both are consistent with the role-differentiated design rationale set out in Chapter 3, Section 3.6 and implemented in Chapter 4, Section 4.9, without providing OULAD-specific or SHAP/LIME-specific benchmark figures against which this thesis's dashboard could be numerically compared. Their relevance here lies in the design rationale documented in Chapter 4 rather than in any quantitative finding in this chapter.</w:t>
      </w:r>
    </w:p>
    <w:p w:rsidR="00000000" w:rsidDel="00000000" w:rsidP="00000000" w:rsidRDefault="00000000" w:rsidRPr="00000000" w14:paraId="00000295">
      <w:pPr>
        <w:spacing w:after="200" w:lineRule="auto"/>
        <w:jc w:val="both"/>
        <w:rPr/>
      </w:pPr>
      <w:r>
        <w:rPr>
          <w:rtl w:val="0"/>
        </w:rPr>
        <w:t xml:space="preserve">The comparison most relevant to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here as external evidence that this type of question is answerable in principle for a SHAP-and-LIME dashboard of the kind implemented in Chapter 4, not as a measurement of this project's own dashboard; their specific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Gasevic, Dawson, and Siemens (2015) frame learning analytics as a field whose value lies in connecting data to actionable decisions rather than in predictive accuracy alone, and Li, Wong, and Chan (2023) review at-risk prediction specifically as the task this thesis undertakes. Read together, this literature situates the technical contribution reported in this chapter, a working predictive and explanatory pipeline with verified performance figures, as addressing one necessary precondition for effective learning analytics decision support, while the practitioner-facing question of whether that precondition translates into better decisions remains open in the absence of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(90.9%) of genuinely at-risk students in the held-out data, and approximately 86.6%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What the results support is that a model of this kind can distinguish at-risk from not-at-risk students on retrospective, full-presentation data with useful accuracy; whether the same performance would hold if features were truncated earlier in the presentation, which is the condition under which an early-warning system would actually operate, has not been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fitted model, with a practical implication for the dashboard's reasoning trail: the leading contribution shown to a practitioner for most students will typically relate to assessment completion rather than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surfaced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seven of ten top features, but agree only partially at the level of individual predictions (mean top-5 overlap 0.635).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a system that displayed only one method's ranking would have concealed a genuine,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what each view would show; how practitioners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draw on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87.7% accuracy, 0.866 precision, 0.909 recall, and 0.887 F1-score, out-of-fold, under a protocol that isolates entire course presentations across folds, which is a demanding test of generalisation. This clearly shows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genuinely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itself a useful property for a dashboard whose purpose includes surfacing disagreement rather than concealing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Sections 4.8 and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explainability module)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Chapter 7 identifies primary evaluation of practitioner response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shows that the recorded manifest metrics trace to an executable pipeline rather than a hard-coded figure. The feature-engineering step is part of the same executable pipeline, which runs from the raw OULAD CSV files to the feature table, so the same check covers it.</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0.9624)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surfaces genuine, checkable disagreement between explanation methods rather than presenting a single unexamined ranking. This is a positive answer to Research Question 1 at the level the thesis was scoped to test: a traceable, reproducible integration of SHAP and LIME into the prediction pipeline. Whether practitioners experience this integration as more transparent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the design itself answers it, supported by technical evidence that the design's content is correct. Chapter 3, Section 3.6 and Chapter 4, Section 4.9 specify three role-differentiated views, per-student detail for instructors, cohort-level aggregation for advisors, and full-population aggregation for administrators, each built on the same reasoning trail rendered at a different level of granularity, following the differentiated information-need rationale set out in Kaliisa and Dolonen (2022), Gutierrez et al. (2020), and Tsai and Gasevic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supported by both the design literature and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stable discrimination (Section 5.3, AUC 0.9624), together with the confirmed, literature-consistent feature rankings in Section 5.6, provides the technical preconditions for a future investigation of trust in the predictions themselves, independent of how that trust is ultimately measured. Second, the partial agreement between SHAP and LIME (mean top-5 overlap 0.635, Section 5.6) indicates that a dashboard surfacing both methods side by side, as implemented in Chapter 4, Section 4.7, gives practitioners visibility into genuine disagreement between explanation methods rather than a false sense of single-method certainty, which the XAI literature (Ribeiro et al., 2016; Lundberg et al., 2020) associates with more defensible trust than an opaque prediction alone. In addition, Brdnik, Podgorelec, and Sumak (2023), discussed in Section 5.8, show that practitioner trust and satisfaction with multiple explanation techniques in a learning-analytics setting is a measurable and actively researched construct; their specific reported scores could not be independently verified for this thesis and are not quoted, and their study is external context indicating how the question could be investigated rather than a finding of this thesis. Taken together, the technical evidence in this chapter indicates that the technical preconditions for supporting practitioner interpretation and decision-making, accurate predictions and traceable, cross-checked explanations, are in place; whether they translate into better interpretation, trust, or decisions for this specific dashboard is the question for the direct empirical study proposed as the immediate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87.7% accuracy, 0.866 precision, 0.909 recall, and 0.887 F1-score out-of-fold, under a protocol that holds out entire course presentations, correctly identifying 15,634 of the 17,208 genuinely at-risk students in the held-out data. A three-way comparison for this chapter found Random Forest with a marginally higher F1-score than the prototype XGBoost model, a useful finding for future iterations, while XGBoost retained the highest recall of the three,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led in both cases by the count of assessments submitted, with the FFF module indicator, mean assessment score, and active days also prominent in both, and agree partially (mean top-5 overlap 0.635) at the level of individual predictions, which is a useful property for a dashboard designed to surface cross-checked explanations rather than a single unexamined ranking. Chapter 4's previously reported figures were independently reproduced in full, and Section 5.7 tested one of the project's own documented findings, that the 28-day pre-deadline click window outranks total clicks in importance, and found through a seed-stability check that the order of these two near-duplicate features is not stable across refits of the model, while identifying six areas where the implemented pipeline can be extended in future work,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is shown to function correctly and traceably (Research Question 1), the role-differentiated design is shown to rest on sound underlying content and established design literature (Research Question 2), and the system is shown to provide technical properties, accurate predictions and cross-checked explanations that can be evaluated in a subsequent practitioner study of trust and understanding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0.8774 accuracy, 0.8659 precision, 0.9085 recall, and 0.8867 F1-score out-of-fold, with an AUC of 0.9624,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That is a closer approximation of the situation an institution faces when it applies an existing model to a new presentation than the stratified random splits used in much of the OULAD literature, and it means the reported figures should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consequential aspect of this study's error profile is its asymmetry. Recall of 0.9085 exceeds precision of 0.8659, which means the model at the default threshold is more willing to raise a flag that turns out to be unnecessary than to withhold one that turns out to be needed. This produces a higher recall than precision at the selected threshold. A student who is genuinely at risk but not flagged receives nothing from the dashboard, and the 1,574 false negatives in the confusion matrix represent students for whom the system would have provided no basis for any of the three roles to act. The 2,422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0.5 threshold used throughout was not tuned to this asymmetry, and the fact that the model already leans in the useful direction at an untuned threshold favours the pipeline rather than reflecting a design achievement.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0.8976, ahead of Gradient Boosting at 0.8932 and the prototype XGBoost model at 0.8867,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most relevant to how confidently the pooled figures can be read. Accuracy ranged from 0.8456 for 2014J to 0.9161 for 2013J, and the error pattern reversed across the dataset: the two 2013 presentations produced high precision above 0.95 with recall between 0.86 and 0.88, while the two 2014 presentations produced precision around 0.81 to 0.82 with recall as high as 0.9627.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applying a model of this kind would therefore be applying a classifier whose error profile it cannot fully anticipate for a cohort it has not yet observed, which is an argument for periodic recalibration and for reporting the current operating point to the roles that rely on it, rather than an argument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what a flag means. A student flagged by this model is a student whose behavioural and assessment profile resembles that of students who withdrew or failed in the presentations the model was trained on, and withdrawal in particular has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this study did not test it. Adnan et al. (2021) address this question on OULAD precisely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insufficient, and this gap carries into Section 6.11 as a limitation rather than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that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59-column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3.1110 is more than four times that of the second-ranked feature, active_days at 0.7087.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foreground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-0.69 and -0.96, so higher values push the prediction away from the at-risk class. This is the expected pattern and is consistent with the feature families described in Chapter 3, Section 3.4. The exception is clicks_28d_before_deadline, whose correlation of +0.8354 places it in the opposite direction to total_clicks and active_days. Chapter 5 identifies collinearity among the engagement counts as one possible explanation and measures it, with a correlation of 0.98 between the 28-day window and total clicks; however, it did not carry out a dependence analysis, and it retains a cautious reading here. The key point is what the finding shows about the value of inspecting direction alongside magnitude. The same feature ranks sixth in global importance, close to the raw total clicks with which it is almost perfectly correlated,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cautions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the aggregate level, agreement is strong: SHAP and LIME lead with the same feature and share seven of their respective top ten. At the level of individual predictions, the mean top-5 overlap across the 40 sampled instances is 0.635 with a standard deviation of 0.197, meaning that on average slightly more than three of a given student’s top five SHAP features also appear in that student’s top five LIME features. The two methods are therefore not interchangeable for explaining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0.635 converts that into an argument from evidence within this system: displaying one method alone would have concealed a moderate, genuine, and measurable level of instance-level explanation or attribution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indicates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ambiguous in any case, since a student who has already decided to withdraw will stop submitting. The explanations establish that the model’s output for a given student is driven by a small number of identifiable, human-readable quantities, which is a precondition for a practitioner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not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available evidence falls into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is positioned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resources.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foregrounds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support this view. Because assessment submission dominates attribution, the leading contribution an instructor sees usually concerns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the gradebook does not,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because the model is substantially a withdrawal predictor, the flags an advisor sees are weighted towards the outcome advising conversations most directly concern: a student’s continued registration rather than their mark on a particular assessment. Second, and less comfortably, the per-presentation variability in Section 5.5 means an advisor’s caseload depends on the model's operating point for the cohort in question. In a presentation resembling 2014B, where recall reached 0.9627 and precision fell to 0.8243,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Gasevic (2017). Institutional decisions concern distributions rather than individuals, and the most relevant findings at this level are aggregate ones. The between-presentation variability in Table 5.3 is arguably the most useful piece of information the technical evaluation offers an administrator, since it indicates how much the model's behaviour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The administrator view must not become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realised as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since the roles are differentiated in that model by the granularity and framing of the knowledge each requires rather than by the visual vocabulary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On this evidence, what role awareness contributes is a defined mapping between a technical output and the level at which each role makes decisions. That is a real contribution to the design problem, and the technical evaluation supports it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that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is supported by the traceability of the modelling process from conceptual model to operational system rather than by the novelty of any individual component, and that is the form the contribution takes here: each interface decision can be traced back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likely would not have. The separation between the Knowledge Model and the Communication Model kept the question of what the system knows distinct from the question of how it says it, and this separation is what made role differentiation a design variable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that knowledge's quality depends. It says nothing about whether the feature window should be truncated for early warning, which of the three candidate models should be used in the prototype, or whether post-hoc attributions adequately represent a gradient-boosted ensemble. It also does not validate the agent characterisations it produces. The Agent Model in this study was populated from published accounts of practitioners' information needs rather than from knowledge elicitation with practitioners, which is the acquisition activity the methodology would ordinarily expect; as a result,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asks what the predictive and explainability findings indicate about the dashboard's technical potential to support practitioner interpretation and decision-making. This section addresses that question at the decision-support level, and Section 6.12 returns to the research question itself. The distinction that governs the whole discussion is that this study conducted a technical evaluation, not a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The technical evaluation </w:t>
      </w:r>
      <w:commentRangeStart w:id="74"/>
      <w:r>
        <w:rPr>
          <w:rtl w:val="0"/>
        </w:rPr>
        <w:t xml:space="preserve">demonstrated</w:t>
      </w:r>
      <w:commentRangeEnd w:id="74"/>
      <w:r>
        <w:commentReference w:id="74"/>
      </w:r>
      <w:r>
        <w:rPr>
          <w:rtl w:val="0"/>
        </w:rPr>
        <w:t xml:space="preserve"> a set of system properties. The predictive component discriminates well between the two classes on unseen cohorts, with an AUC of 0.9624,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What the design supports, without demonstrating, is delivering those properties to each role in a usable form. The role-gated views, the shared reasoning trail rendered at three levels of aggregation, and the progressive disclosure of attribution detail are implemented and documented, and grounded in the Agent and Communication Models and the dashboard literature reviewed in Chapter 2. The architecture lets an instructor see why a particular student was flagged, an advisor see what is common across a caseload, and an administrator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What the findings suggest, without establishing, is that combining accurate prediction with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This study did not observe it.</w:t>
      </w:r>
    </w:p>
    <w:p w:rsidR="00000000" w:rsidDel="00000000" w:rsidP="00000000" w:rsidRDefault="00000000" w:rsidRPr="00000000" w14:paraId="000002D8">
      <w:pPr>
        <w:spacing w:after="200" w:lineRule="auto"/>
        <w:jc w:val="both"/>
        <w:rPr/>
      </w:pPr>
      <w:r>
        <w:rPr>
          <w:rtl w:val="0"/>
        </w:rPr>
        <w:t xml:space="preserve">This study did not validate anything related to practitioner response. No instructor, advisor, or administrator used the system in this study. No evidence shows that practitioners trust the predictions, understand the reasoning trail, prefer one explanation method to another, benefit from role differentiation in comprehension relative to a single undifferentiated view, or that decisions made with the dashboard differ in quality from decisions made without it. Nor is there evidence on the failure modes that a practitioner study would be expected to surface, and these are not remote possibilities. Explanations can produce unwarranted confidence in a prediction as readily as warranted confidence, particularly where the explanation is plausible and the underlying prediction is wrong, and the 2,422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published study assessing perceived trust and satisfaction across multiple explanation techniques including SHAP and LIME in a learning analytics context, which establishes that these questions are answerable in principle for a dashboard of this kind, and their study indicates the form the necessary follow-up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dashboard design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The system performs only the first two stages, and the dashboard is designed to support the third without taking over the fourth. The following paragraphs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states statistical resemblance within a particular dataset under a particular label definition, and Section 6.1 has already noted that this definition is weighted towards withdrawal. The model explanation attributes that prediction to input features,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alter something in the course, record the case and wait, or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way to check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can be checked against independent knowledge in a way that a probability cannot.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to do. The appropriate response depends on why submissions are missing, and that is precisely what the model does not know: a student struggling with the material, a student managing a period of illness, and a student who has decided to leave may all present the same feature values. The explanation narrows the space of possible situations and tells the practitioner where to focus. It does not select the intervention, and a system that presented attributions as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system's knowledge. The role-aware views operationalise that division by presenting each role with the information relevant to the decision it is positioned to make while leaving the decision itself outside the system. Progressive disclosure serves the same end: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dashboard design rarely reflects the differing information needs of institutional stakeholders. The framework developed across Chapters 3 and 4 addresses all three. This section considers how far the evidence supports that claim.</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inconvenient aspects such as the seven-point spread in accuracy across presentations and the marginally higher F1-score of a model not selected for the prototype. The explainability integration works at full scale, produces both global and local attributions, and measures the relationship between the two methods rather than assuming it. The pipeline is reproducible, and Chapter 4’s figures were reproduced cell for cell in a separate execution. The implemented system exists as a working artefact with role-gated views, an authentication path enforced at two layers, and tested plugin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that the design reasoning is documented and the content is verified, not in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Several technical properties that bear on practical use also went unaddressed: probability calibration was not assessed, and strong discrimination is distinct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from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problem framing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broader argument that choices in cross-validation, filtering, and metric selection materially change reported performance regardless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aligns with the OULAD literature, where assessment and VLE interaction features both carry predictive weight and assessment behaviour tends to be the stronger signal (Kuzilek et al., 2017; Jin et al., 2024). Waheed et al. (2020) predict academic performance from VLE clickstream data using deep learning, which aligns more closely with the engagement side of the present feature set, though their reported figures were not independently verified for this thesis and are not compared numerically. The more specific claim that the 28-day pre-deadline click window outranks raw total clicks could not be settled: the two features are near-duplicates, and their order changed between refits of the same model (Section 5.7). The deadline-anchored windows nonetheless carry weight alongside total activity, which is consistent with Hlosta, Zdrahal, and Zendulka (2017), who report that windows aligned to submission dates yield stronger early-warning signals on OULAD, although the present evidence does not show them outperforming raw totals. The counter-intuitive sign of that feature’s contribution, discussed in Section 6.2, is a further caution about interpretation.</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Hooshyar and Yang (2024) report significant variability between the feature importance assigned by SHAP and LIME variants to the same educational predictive model. The mean top-5 instance-level overlap of 0.635 reported here is consistent with that characterisation and adds a quantity to it for this model and dataset. This is where the present study makes a contribution beyond replication: much of the educational XAI literature applies one method or reports the two separately, whereas the measured instance-level overlap gives a concrete figure for how far a practitioner consulting one method rather than the other would see a different account of the same prediction.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targets students rather than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Gasevic, Dawson, and Siemens (2015) argue that the value of learning analytics lies in connecting data to actionable decisions rather than in predictive accuracy alone, and Tsai and Gasevic (2017) and Leitner, Ebner, and Ebner (2019) document the persistent gap between technically capable models and their use in institutional decision-making. The present study is positioned on the side of that argument which holds that the connection to decisions is where the difficulty lies, and its technical results are consistent with that position in a specific sense: obtaining a well-performing classifier on OULAD was achievable with a fixed, untuned configuration and no resampling, whereas establishing that its outputs would be usable by three distinct staff roles remains, at the close of this study, unfinished.</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to report explanations. The instance-level divergence between SHAP and LIME measured in Section 5.6 indicates that a single attribution method does not give a complete account of a model’s local behaviour. In practice, this implies that systems reporting one method as the explanation present a more settled picture than the underlying attributions support, and that where two methods are available, their level of agreement is itself information worth surfacing.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not only how much, and that developers of such systems should expect artefacts of this kind to appear and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used to communicate model outputs. Throughout this study the terms contribution, attribution, and association have been used in preference to causal language, following the position set out in Chapter 3, Section 3.5. This is not only an academic convention. An instructor under time pressure will read a reasoning trail that identifies low assessment submission as the leading contributor to a flag, and the difference between it having contributed to a prediction and it having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a model's error profile is a property of the cohort as well as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to recommend actions, follows from the limits of what the attributions establish,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used a public benchmark dataset with no identifiable students, but a system like this,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resources, since a model with strong aggregate performance may distribute its errors unevenly. The second is that access control is a substantive rather than incidental requirement, which is why Chapter 4, Section 4.8 enforces role separation at both the edge and the API: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This study's findings come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at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transferring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more common and differently motivated. Since withdrawals account for 59 per cent of the positive class here, the target variable partly reflects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not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fitted model, attribution rankings, and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on held-out cohorts, and enough ongoing data to retrain as cohorts change. It would need the three roles to exist in a recognisable form, since an institution where teaching staff advise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bear on the question of transfer to institutions in Nigeria and elsewhere in Africa, which is relevant given where this research is situated, but they do so only as conditions, not as conclusions. Higher education across the continent is not a single context, and institutions differ widely in LMS adoption, the completeness of the interaction data their systems retain, the availability of computing infrastructure and technical staff, and their data governance arrangements. This study found no evidence on any of these. What can be said from the evidence it does have is limited and specific: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that most directly affects the early-warning purpose motivating this line of research. As Section 6.1 sets out, the features were computed over the full course presentation, so the evaluation establishes retrospective classification using the available OULAD feature set and does not establish performance at a predefined early-warning point. Read every statement in this chapter about identifying students who may be at risk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so the explanation findings rest on cross-method agreement alone; the risk scores have not been shown to be calibrated, and no evidence is available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59-column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0.635 between the two methods adds another element: the integration surfaces checkable disagreement between two attribution methods rather than presenting a single, unexamined ranking, and the clicks_28d_before_deadline artefact shows that inspecting direction alongside magnitude surfaces model behaviour that a ranking alone conceals. The answer is bounded in two respects. Transparency concerns the model, not the causes of student outcomes (as discussed in Section 6.2), and whether practitioners experience the resulting interface as more transparent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sharing one reasoning trail component rendered at three levels of aggregation, with per-student detail for the instructor, cohort-level aggregation across students at or above the watch threshold for the advisor, and full-population aggregation for the administrator, each with progressive disclosure of attribution detail and role separation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supports this by confirming that the content these views produce is sound, since the attributions each view ultimately displays were shown to be reproducible and traceable, and by identifying the content each role specifically needs, most notably the between-cohort variability that determines the current operating point. The study cannot claim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fully traceable specification, offered as a candidate for empirical validation rather than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0.9624, a recall of 0.9085, and a precision of 0.8659, which means that approximately 86.6% of positive predictions corresponded to observations subsequently labelled at-risk under the study’s outcome definition; a system whose flags were frequently wrong could not support well-founded interpretation regardless of how it presented them, and that failure mode is not present here. Second, the attributions are traceable, human-readable, and cross-checked between two methods, giving a practitioner the means to test a flag against what they independently know rather than only accept or reject it. The measured partial agreement between the two methods may also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The evidence therefore establishes that the technical preconditions for supporting practitioner interpretation and decision-making are in place: accurate predictions and traceable, cross-checked explanations. Whether practitioners trust the system, whether they interpret the reasoning trail as intended, whether role differentiation aids their understanding, and whether decisions taken with the dashboard are better than decisions taken without it are questions that require a study with practitioners, and this thesis provides the verified technical foundation on which such a study could be built rather than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focused on the conditions of the evaluation rather than the magnitude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the figures establish retrospective separability rather than early-warning capability. The variability across the four presentations is the most consequential single finding for practical use, since the observed operating point varied substantially across the four held-out presentations, indicating that it is a property of the cohort as well as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0.635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framework's value in this study was traceability from institutional context through task decomposition and agent characterisation to interface granularity, producing three differentiated views that share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indicated that </w:t>
      </w:r>
      <w:commentRangeStart w:id="82"/>
      <w:r>
        <w:rPr>
          <w:rtl w:val="0"/>
        </w:rPr>
        <w:t xml:space="preserve">the difference from the highest OULAD results may reflect the stricter evaluation protocol, and the available evidence does not permit the difference to be attributed solely to model quality;</w:t>
      </w:r>
      <w:commentRangeEnd w:id="82"/>
      <w:r>
        <w:commentReference w:id="82"/>
      </w:r>
      <w:r>
        <w:rPr>
          <w:rtl w:val="0"/>
        </w:rPr>
        <w:t xml:space="preserve"> that the feature findings are consistent with the OULAD literature and support the deadline-anchored feature construction; that the measured SHAP and LIME overlap adds a quantity to a relationship the educational XAI literature has described qualitatively; and that no comparable role-aware staff-facing dashboard was identified in the reviewed literature against which the design could be numerically compared.</w:t>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outlines the work's contributions and the directions it opens up. The purpose is not to repeat earlier material but to clearly account for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alone changes little. A tutor told that a student has a 70 per cent chance of failing needs to know why the model reached that view, whether the reason is actionable, and what a sensible next step would be. This study explains why the model reached its prediction alongside the prediction itself; it does not recommend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the research team designed and implemented a role-aware explainable analytics system to predict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study's scope.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substantive design problem was deciding who needs to know what, in what form, and when.</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0.8774, precision of 0.8659, recall of 0.9085, an F1 score of 0.8867, and an area under the ROC curve of 0.9624. Random Forest obtained a marginally higher F1 score (0.8976) in the three-way comparison, but XGBoost was retained for the prototype because recall was set as the primary selection criterion, since missing a struggling student carries a heavier cost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0.635,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whether SHAP and LIME could be integrated into a predictive model of student risk in a way that produced technically generated explanations. The answer is yes, at the system-construction level.</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one silently, is the design choice intended to make the explanations usable: the interface lets users inspect those factors.</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allocate limited resources and spot when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dashboard's technical potential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a single system can deliver prediction and explanation together, rather than treating them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different users' responsibilities and questions, and documents how it arrived at them.</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levels,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so that performance at a predefined early-warning point can be established rather than inferred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together with whether explanation quality holds evenly across student groups, before the system is used to direct institutional resources.</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role-specific views are read in practice and how the explanations shape action, and it could draw on the perceived usefulness ad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modes of study, extending the design's reach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deploying against live activity data raises questions of timing, drift, and refresh that a retrospective dataset cannot expose, and addressing them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high-performing model to the person who must act on its output, approaching this by treating prediction, explanation, and role as one design problem rather than three. The model performed strongly on retrospective classification, the explanations were coherent and consistent with what is known about study behaviour, and the dashboard presents both at the aggregation level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pPr>
        <w:spacing w:after="160" w:lineRule="auto"/>
        <w:ind w:left="720" w:hanging="720"/>
        <w:jc w:val="both"/>
        <w:rPr/>
      </w:pPr>
      <w:r>
        <w:rPr>
          <w:rtl w:val="0"/>
        </w:rPr>
        <w:t xml:space="preserve">Aljohani, N. R., Fayoumi, A., &amp; Hassan, S.-U. (2019). Predicting at-risk students using clickstream data in the virtual learning environment. Sustainability, 11(24), 7238. https://doi.org/10.3390/su11247238</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pPr>
        <w:spacing w:after="160" w:lineRule="auto"/>
        <w:ind w:left="720" w:hanging="720"/>
        <w:jc w:val="both"/>
        <w:rPr/>
      </w:pPr>
      <w:r>
        <w:rPr>
          <w:rtl w:val="0"/>
        </w:rPr>
        <w:t xml:space="preserve">Bodily, R., &amp; Verbert, K. (2017). Review of research on student-facing learning analytics dashboards and educational recommender systems. IEEE Transactions on Learning Technologies, 10(4), 405–418. https://doi.org/10.1109/TLT.2017.2740172</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pPr>
        <w:spacing w:after="160" w:lineRule="auto"/>
        <w:ind w:left="720" w:hanging="720"/>
        <w:jc w:val="both"/>
        <w:rPr/>
      </w:pPr>
      <w:r>
        <w:rPr>
          <w:rtl w:val="0"/>
        </w:rPr>
        <w:t xml:space="preserve">Chatti, M. A., Dyckhoff, A. L., Schroeder, U., &amp; Thüs, H. (2012). A reference model for learning analytics. International Journal of Technology Enhanced Learning, 4(5/6), 318–331. https://doi.org/10.1504/IJTEL.2012.051815</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pPr>
        <w:spacing w:after="160" w:lineRule="auto"/>
        <w:ind w:left="720" w:hanging="720"/>
        <w:jc w:val="both"/>
        <w:rPr/>
      </w:pPr>
      <w:r>
        <w:rPr>
          <w:rtl w:val="0"/>
        </w:rPr>
        <w:t xml:space="preserve">Conati, C., Barral, O., Putnam, V., &amp; Rieger, L. (2021). Toward personalized XAI: A case study in intelligent tutoring systems. Artificial Intelligence, 298, 103503. https://doi.org/10.1016/j.artint.2021.103503</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Gasevic,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pPr>
        <w:spacing w:after="160" w:lineRule="auto"/>
        <w:ind w:left="720" w:hanging="720"/>
        <w:jc w:val="both"/>
        <w:rPr/>
      </w:pPr>
      <w:r>
        <w:rPr>
          <w:rtl w:val="0"/>
        </w:rPr>
        <w:t xml:space="preserve">Gunning, D., &amp; Aha, D. W. (2019). DARPA’s explainable artificial intelligence (XAI) program. AI Magazine, 40(2), 44–58. https://doi.org/10.1609/aimag.v40i2.2850</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pPr>
        <w:spacing w:after="160" w:lineRule="auto"/>
        <w:ind w:left="720" w:hanging="720"/>
        <w:rPr/>
      </w:pPr>
      <w:r>
        <w:rPr>
          <w:rtl w:val="0"/>
        </w:rPr>
        <w:t xml:space="preserve">Hooshyar, D., &amp; Yang, Y. (2024). Problems with SHAP and LIME in interpretable AI for education: A comparative study of post-hoc explanations and neural-symbolic rule extraction. IEEE Access, 12, 137472–137490. https://doi.org/10.1109/ACCESS.2024.3463948</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pPr>
        <w:spacing w:after="160" w:lineRule="auto"/>
        <w:ind w:left="720" w:hanging="720"/>
        <w:jc w:val="both"/>
        <w:rPr/>
      </w:pPr>
      <w:r>
        <w:rPr>
          <w:rtl w:val="0"/>
        </w:rPr>
        <w:t xml:space="preserve">Kouki, P., Schaffer, J., Pujara, J., O’Donovan, J., &amp; Getoor, L. (2020). Generating and understanding personalized explanations in hybrid recommender systems. ACM Transactions on Interactive Intelligent Systems, 10(4), Article 31. https://doi.org/10.1145/3365843</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pPr>
        <w:spacing w:after="160" w:lineRule="auto"/>
        <w:ind w:left="720" w:hanging="720"/>
        <w:jc w:val="both"/>
        <w:rPr/>
      </w:pPr>
      <w:r>
        <w:rPr>
          <w:rtl w:val="0"/>
        </w:rPr>
        <w:t xml:space="preserve">Larrabee Sønderlund, A., Hughes, E., &amp; Smith, J. (2019). The efficacy of learning analytics interventions in higher education: A systematic review. British Journal of Educational Technology, 50(5), 2594–2618. https://doi.org/10.1111/bjet.12720</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(2023). Prediction of at-risk students using learning analytics: A literature review. In S. K. S. Cheung, F. L. Wang, N. Paoprasert, P. Charnsethikul, K. C. Li, &amp; K. Phusavat (Eds.), Technology in education. Innovative practices for the new normal (pp. 119–128). Springer. https://doi.org/10.1007/978-981-99-8255-4_11</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Gasevic,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60" w:lineRule="auto"/>
        <w:ind w:left="720" w:hanging="720"/>
        <w:jc w:val="both"/>
        <w:rPr/>
      </w:pPr>
      <w:r>
        <w:rPr>
          <w:rtl w:val="0"/>
        </w:rPr>
        <w:t xml:space="preserve">Miteva, D., &amp; Stefanova, E. (2022). eAnalytics: A model of a learning analytics visualization system. Annuaire de l’Université de Sofia “St. Kliment Ohridski”, Faculté de Mathématiques et Informatique, 109, 99–119.</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pPr>
        <w:spacing w:after="160" w:lineRule="auto"/>
        <w:ind w:left="720" w:hanging="720"/>
        <w:jc w:val="both"/>
        <w:rPr/>
      </w:pPr>
      <w:r>
        <w:rPr>
          <w:rtl w:val="0"/>
        </w:rPr>
        <w:t xml:space="preserve">Sedrakyan, G., Malmberg, J., Verbert, K., Järvelä, S., &amp; Kirschner, P. A. (2020). Linking learning behavior analytics and learning science concepts: Designing a learning analytics dashboard for feedback to support learning regulation. Computers in Human Behavior, 107, 105512. https://doi.org/10.1016/j.chb.2018.05.004</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Gaševic,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pPr>
        <w:spacing w:after="160" w:lineRule="auto"/>
        <w:ind w:left="720" w:hanging="720"/>
        <w:jc w:val="both"/>
        <w:rPr/>
      </w:pPr>
      <w:r>
        <w:rPr>
          <w:rtl w:val="0"/>
        </w:rPr>
        <w:t xml:space="preserve">Viberg, O., Hatakka, M., Bälter, O., &amp; Mavroudi, A. (2018). The current landscape of learning analytics in higher education. Computers in Human Behavior, 89, 98–110. https://doi.org/10.1016/j.chb.2018.07.027</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pPr>
        <w:spacing w:after="160" w:lineRule="auto"/>
        <w:ind w:left="720" w:hanging="720"/>
        <w:jc w:val="both"/>
        <w:rPr/>
      </w:pPr>
      <w:r>
        <w:rPr>
          <w:rtl w:val="0"/>
        </w:rPr>
        <w:t xml:space="preserve">Wachter, S., Mittelstadt, B., &amp; Russell, C. (2018). Counterfactual explanations without opening the black box: Automated decisions and the GDPR. Harvard Journal of Law &amp; Technology, 31(2), 841–887.</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50</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53</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54</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authentication and role resolution, (a) Moodle login page (role and course context come from Moodle), (b) dashboard sign-in inside a Canvas course</w:t>
      </w:r>
      <w:r>
        <w:tab/>
      </w:r>
      <w:r>
        <w:t>55</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At-risk insights page of the Moodle plugin in course FFF-2014J, with the SHAP and LIME reasoning trail for one student</w:t>
      </w:r>
      <w:r>
        <w:tab/>
      </w:r>
      <w:r>
        <w:t>57</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FFF-2014J with the dashboard embedded through an External URL module item</w:t>
      </w:r>
      <w:r>
        <w:tab/>
      </w:r>
      <w:r>
        <w:t>58</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62</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63</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64</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66</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68</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86</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61</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63</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64</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65</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67</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69</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92</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116</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117</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SIS</w:t>
      </w:r>
      <w:r>
        <w:tab/>
      </w:r>
      <w:r>
        <w:rPr>
          <w:rtl w:val="0"/>
        </w:rPr>
        <w:t xml:space="preserve">Student Information System</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The versions are those of the Docker image in which the pipeline was run.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prototype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1.9.1 and xgboost 3.2.0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NumPy, SHAP, LIME, joblib, Flask, PyJWT, gunicorn)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pandas 3.0.6, NumPy 2.4.6, SHAP 0.51.0, LIME 0.2.0.1, joblib 1.6.0, Flask 3.1.3, PyJWT 2.15.1, gunicorn 26.2.0.</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3.11.16 (python:3.11-slim Docker image).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Docker container on a Linux x86_64 host with 4 virtual CPUs and 16 GB of memory; no GPU.</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Branch claude/gallant-hypatia-sq10ks of github.com/daniel-larry/python-run-result, commit dbecf4d.</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Serialised joblib pipeline (preprocessing and model) with a JSON manifest recording the training date, feature dictionary version, and evaluation metrics (Chapter 4, Section 4.6). Identifier: xgb-20260929-112741</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59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 seed-stability check of the SHAP ranking with the model refitted at random_state 1 to 7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describe each feature as documented in this thesis; entries marked as inferred are derived from the feature name and should be confirmed against the feature-engineering code.</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Derived from the unregistration date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late submissions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banked results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days with clicks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daily clicks (denominator to be confirmed)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The derivation of withdrew_before_start is inferred from its name and should be confirmed against the feature-engineering code.</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3.1110</w:t>
      </w:r>
    </w:p>
    <w:p w:rsidR="00000000" w:rsidDel="00000000" w:rsidP="00000000" w:rsidRDefault="00000000" w:rsidRPr="00000000" w14:paraId="0000043B">
      <w:pPr>
        <w:spacing w:after="120" w:lineRule="auto"/>
        <w:ind w:left="360" w:hanging="360"/>
        <w:jc w:val="both"/>
        <w:rPr/>
      </w:pPr>
      <w:r>
        <w:rPr>
          <w:rtl w:val="0"/>
        </w:rPr>
        <w:t xml:space="preserve">2. active_days: 0.7087</w:t>
      </w:r>
    </w:p>
    <w:p w:rsidR="00000000" w:rsidDel="00000000" w:rsidP="00000000" w:rsidRDefault="00000000" w:rsidRPr="00000000" w14:paraId="0000043C">
      <w:pPr>
        <w:spacing w:after="120" w:lineRule="auto"/>
        <w:ind w:left="360" w:hanging="360"/>
        <w:jc w:val="both"/>
        <w:rPr/>
      </w:pPr>
      <w:r>
        <w:rPr>
          <w:rtl w:val="0"/>
        </w:rPr>
        <w:t xml:space="preserve">3. code_module = FFF: 0.5338</w:t>
      </w:r>
    </w:p>
    <w:p w:rsidR="00000000" w:rsidDel="00000000" w:rsidP="00000000" w:rsidRDefault="00000000" w:rsidRPr="00000000" w14:paraId="0000043D">
      <w:pPr>
        <w:spacing w:after="120" w:lineRule="auto"/>
        <w:ind w:left="360" w:hanging="360"/>
        <w:jc w:val="both"/>
        <w:rPr/>
      </w:pPr>
      <w:r>
        <w:rPr>
          <w:rtl w:val="0"/>
        </w:rPr>
        <w:t xml:space="preserve">4. mean_score: 0.4790</w:t>
      </w:r>
    </w:p>
    <w:p w:rsidR="00000000" w:rsidDel="00000000" w:rsidP="00000000" w:rsidRDefault="00000000" w:rsidRPr="00000000" w14:paraId="0000043E">
      <w:pPr>
        <w:spacing w:after="120" w:lineRule="auto"/>
        <w:ind w:left="360" w:hanging="360"/>
        <w:jc w:val="both"/>
        <w:rPr/>
      </w:pPr>
      <w:r>
        <w:rPr>
          <w:rtl w:val="0"/>
        </w:rPr>
        <w:t xml:space="preserve">5. total_clicks: 0.3819</w:t>
      </w:r>
    </w:p>
    <w:p w:rsidR="00000000" w:rsidDel="00000000" w:rsidP="00000000" w:rsidRDefault="00000000" w:rsidRPr="00000000" w14:paraId="0000043F">
      <w:pPr>
        <w:spacing w:after="120" w:lineRule="auto"/>
        <w:ind w:left="360" w:hanging="360"/>
        <w:jc w:val="both"/>
        <w:rPr/>
      </w:pPr>
      <w:r>
        <w:rPr>
          <w:rtl w:val="0"/>
        </w:rPr>
        <w:t xml:space="preserve">6. clicks_28d_before_deadline: 0.3111</w:t>
      </w:r>
    </w:p>
    <w:p w:rsidR="00000000" w:rsidDel="00000000" w:rsidP="00000000" w:rsidRDefault="00000000" w:rsidRPr="00000000" w14:paraId="00000440">
      <w:pPr>
        <w:spacing w:after="120" w:lineRule="auto"/>
        <w:ind w:left="360" w:hanging="360"/>
        <w:jc w:val="both"/>
        <w:rPr/>
      </w:pPr>
      <w:r>
        <w:rPr>
          <w:rtl w:val="0"/>
        </w:rPr>
        <w:t xml:space="preserve">7. min_score: 0.2741</w:t>
      </w:r>
    </w:p>
    <w:p w:rsidR="00000000" w:rsidDel="00000000" w:rsidP="00000000" w:rsidRDefault="00000000" w:rsidRPr="00000000" w14:paraId="00000441">
      <w:pPr>
        <w:spacing w:after="120" w:lineRule="auto"/>
        <w:ind w:left="360" w:hanging="360"/>
        <w:jc w:val="both"/>
        <w:rPr/>
      </w:pPr>
      <w:r>
        <w:rPr>
          <w:rtl w:val="0"/>
        </w:rPr>
        <w:t xml:space="preserve">8. module_presentation_length: 0.2718</w:t>
      </w:r>
    </w:p>
    <w:p w:rsidR="00000000" w:rsidDel="00000000" w:rsidP="00000000" w:rsidRDefault="00000000" w:rsidRPr="00000000" w14:paraId="00000442">
      <w:pPr>
        <w:spacing w:after="120" w:lineRule="auto"/>
        <w:ind w:left="360" w:hanging="360"/>
        <w:jc w:val="both"/>
        <w:rPr/>
      </w:pPr>
      <w:r>
        <w:rPr>
          <w:rtl w:val="0"/>
        </w:rPr>
        <w:t xml:space="preserve">9. code_module = EEE: 0.2285</w:t>
      </w:r>
    </w:p>
    <w:p w:rsidR="00000000" w:rsidDel="00000000" w:rsidP="00000000" w:rsidRDefault="00000000" w:rsidRPr="00000000" w14:paraId="00000443">
      <w:pPr>
        <w:spacing w:after="120" w:lineRule="auto"/>
        <w:ind w:left="360" w:hanging="360"/>
        <w:jc w:val="both"/>
        <w:rPr/>
      </w:pPr>
      <w:r>
        <w:rPr>
          <w:rtl w:val="0"/>
        </w:rPr>
        <w:t xml:space="preserve">10. mean_days_late: 0.1468</w:t>
      </w:r>
    </w:p>
    <w:p w:rsidR="00000000" w:rsidDel="00000000" w:rsidP="00000000" w:rsidRDefault="00000000" w:rsidRPr="00000000" w14:paraId="00000444">
      <w:pPr>
        <w:spacing w:after="120" w:lineRule="auto"/>
        <w:ind w:left="360" w:hanging="360"/>
        <w:jc w:val="both"/>
        <w:rPr/>
      </w:pPr>
      <w:r>
        <w:rPr>
          <w:rtl w:val="0"/>
        </w:rPr>
        <w:t xml:space="preserve">11. clicks_14d_before_deadline: 0.1360</w:t>
      </w:r>
    </w:p>
    <w:p w:rsidR="00000000" w:rsidDel="00000000" w:rsidP="00000000" w:rsidRDefault="00000000" w:rsidRPr="00000000" w14:paraId="00000445">
      <w:pPr>
        <w:spacing w:after="120" w:lineRule="auto"/>
        <w:ind w:left="360" w:hanging="360"/>
        <w:jc w:val="both"/>
        <w:rPr/>
      </w:pPr>
      <w:r>
        <w:rPr>
          <w:rtl w:val="0"/>
        </w:rPr>
        <w:t xml:space="preserve">12. highest_education = Lower Than A Level: 0.1312</w:t>
      </w:r>
    </w:p>
    <w:p w:rsidR="00000000" w:rsidDel="00000000" w:rsidP="00000000" w:rsidRDefault="00000000" w:rsidRPr="00000000" w14:paraId="00000446">
      <w:pPr>
        <w:spacing w:after="120" w:lineRule="auto"/>
        <w:ind w:left="360" w:hanging="360"/>
        <w:jc w:val="both"/>
        <w:rPr/>
      </w:pPr>
      <w:r>
        <w:rPr>
          <w:rtl w:val="0"/>
        </w:rPr>
        <w:t xml:space="preserve">13. code_module = DDD: 0.1075</w:t>
      </w:r>
    </w:p>
    <w:p w:rsidR="00000000" w:rsidDel="00000000" w:rsidP="00000000" w:rsidRDefault="00000000" w:rsidRPr="00000000" w14:paraId="00000447">
      <w:pPr>
        <w:spacing w:after="120" w:lineRule="auto"/>
        <w:ind w:left="360" w:hanging="360"/>
        <w:jc w:val="both"/>
        <w:rPr/>
      </w:pPr>
      <w:r>
        <w:rPr>
          <w:rtl w:val="0"/>
        </w:rPr>
        <w:t xml:space="preserve">14. n_late_submissions: 0.0770</w:t>
      </w:r>
    </w:p>
    <w:p w:rsidR="00000000" w:rsidDel="00000000" w:rsidP="00000000" w:rsidRDefault="00000000" w:rsidRPr="00000000" w14:paraId="00000448">
      <w:pPr>
        <w:spacing w:after="120" w:lineRule="auto"/>
        <w:ind w:left="360" w:hanging="360"/>
        <w:jc w:val="both"/>
        <w:rPr/>
      </w:pPr>
      <w:r>
        <w:rPr>
          <w:rtl w:val="0"/>
        </w:rPr>
        <w:t xml:space="preserve">15. code_module = BBB: 0.0640</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0.3961</w:t>
      </w:r>
    </w:p>
    <w:p w:rsidR="00000000" w:rsidDel="00000000" w:rsidP="00000000" w:rsidRDefault="00000000" w:rsidRPr="00000000" w14:paraId="0000044B">
      <w:pPr>
        <w:spacing w:after="120" w:lineRule="auto"/>
        <w:ind w:left="360" w:hanging="360"/>
        <w:jc w:val="both"/>
        <w:rPr/>
      </w:pPr>
      <w:r>
        <w:rPr>
          <w:rtl w:val="0"/>
        </w:rPr>
        <w:t xml:space="preserve">2. code_module = FFF: 0.1397</w:t>
      </w:r>
    </w:p>
    <w:p w:rsidR="00000000" w:rsidDel="00000000" w:rsidP="00000000" w:rsidRDefault="00000000" w:rsidRPr="00000000" w14:paraId="0000044C">
      <w:pPr>
        <w:spacing w:after="120" w:lineRule="auto"/>
        <w:ind w:left="360" w:hanging="360"/>
        <w:jc w:val="both"/>
        <w:rPr/>
      </w:pPr>
      <w:r>
        <w:rPr>
          <w:rtl w:val="0"/>
        </w:rPr>
        <w:t xml:space="preserve">3. code_module = AAA: 0.0995</w:t>
      </w:r>
    </w:p>
    <w:p w:rsidR="00000000" w:rsidDel="00000000" w:rsidP="00000000" w:rsidRDefault="00000000" w:rsidRPr="00000000" w14:paraId="0000044D">
      <w:pPr>
        <w:spacing w:after="120" w:lineRule="auto"/>
        <w:ind w:left="360" w:hanging="360"/>
        <w:jc w:val="both"/>
        <w:rPr/>
      </w:pPr>
      <w:r>
        <w:rPr>
          <w:rtl w:val="0"/>
        </w:rPr>
        <w:t xml:space="preserve">4. mean_score: 0.0640</w:t>
      </w:r>
    </w:p>
    <w:p w:rsidR="00000000" w:rsidDel="00000000" w:rsidP="00000000" w:rsidRDefault="00000000" w:rsidRPr="00000000" w14:paraId="0000044E">
      <w:pPr>
        <w:spacing w:after="120" w:lineRule="auto"/>
        <w:ind w:left="360" w:hanging="360"/>
        <w:jc w:val="both"/>
        <w:rPr/>
      </w:pPr>
      <w:r>
        <w:rPr>
          <w:rtl w:val="0"/>
        </w:rPr>
        <w:t xml:space="preserve">5. active_days: 0.0498</w:t>
      </w:r>
    </w:p>
    <w:p w:rsidR="00000000" w:rsidDel="00000000" w:rsidP="00000000" w:rsidRDefault="00000000" w:rsidRPr="00000000" w14:paraId="0000044F">
      <w:pPr>
        <w:spacing w:after="120" w:lineRule="auto"/>
        <w:ind w:left="360" w:hanging="360"/>
        <w:jc w:val="both"/>
        <w:rPr/>
      </w:pPr>
      <w:r>
        <w:rPr>
          <w:rtl w:val="0"/>
        </w:rPr>
        <w:t xml:space="preserve">6. module_presentation_length: 0.0447</w:t>
      </w:r>
    </w:p>
    <w:p w:rsidR="00000000" w:rsidDel="00000000" w:rsidP="00000000" w:rsidRDefault="00000000" w:rsidRPr="00000000" w14:paraId="00000450">
      <w:pPr>
        <w:spacing w:after="120" w:lineRule="auto"/>
        <w:ind w:left="360" w:hanging="360"/>
        <w:jc w:val="both"/>
        <w:rPr/>
      </w:pPr>
      <w:r>
        <w:rPr>
          <w:rtl w:val="0"/>
        </w:rPr>
        <w:t xml:space="preserve">7. clicks_28d_before_deadline: 0.0236</w:t>
      </w:r>
    </w:p>
    <w:p w:rsidR="00000000" w:rsidDel="00000000" w:rsidP="00000000" w:rsidRDefault="00000000" w:rsidRPr="00000000" w14:paraId="00000451">
      <w:pPr>
        <w:spacing w:after="120" w:lineRule="auto"/>
        <w:ind w:left="360" w:hanging="360"/>
        <w:jc w:val="both"/>
        <w:rPr/>
      </w:pPr>
      <w:r>
        <w:rPr>
          <w:rtl w:val="0"/>
        </w:rPr>
        <w:t xml:space="preserve">8. min_score: 0.0183</w:t>
      </w:r>
    </w:p>
    <w:p w:rsidR="00000000" w:rsidDel="00000000" w:rsidP="00000000" w:rsidRDefault="00000000" w:rsidRPr="00000000" w14:paraId="00000452">
      <w:pPr>
        <w:spacing w:after="120" w:lineRule="auto"/>
        <w:ind w:left="360" w:hanging="360"/>
        <w:jc w:val="both"/>
        <w:rPr/>
      </w:pPr>
      <w:r>
        <w:rPr>
          <w:rtl w:val="0"/>
        </w:rPr>
        <w:t xml:space="preserve">9. date_registration: 0.0073</w:t>
      </w:r>
    </w:p>
    <w:p w:rsidR="00000000" w:rsidDel="00000000" w:rsidP="00000000" w:rsidRDefault="00000000" w:rsidRPr="00000000" w14:paraId="00000453">
      <w:pPr>
        <w:spacing w:after="120" w:lineRule="auto"/>
        <w:ind w:left="360" w:hanging="360"/>
        <w:jc w:val="both"/>
        <w:rPr/>
      </w:pPr>
      <w:r>
        <w:rPr>
          <w:rtl w:val="0"/>
        </w:rPr>
        <w:t xml:space="preserve">10. region = Wales: 0.0043</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 Id="rId9002" Type="http://schemas.openxmlformats.org/officeDocument/2006/relationships/image" Target="media/aun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