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Pr>
          <w:rtl w:val="0"/>
        </w:rPr>
      </w:r>
    </w:p>
    <w:p w:rsidR="00000000" w:rsidDel="00000000" w:rsidP="00000000" w:rsidRDefault="00000000" w:rsidRPr="00000000" w14:paraId="00000002">
      <w:pPr>
        <w:jc w:val="center"/>
        <w:rPr/>
      </w:pPr>
      <w:r>
        <w:rPr>
          <w:rtl w:val="0"/>
        </w:rPr>
      </w:r>
    </w:p>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6">
      <w:pPr>
        <w:jc w:val="center"/>
        <w:rPr/>
      </w:pP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 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rsidR="00000000" w:rsidDel="00000000" w:rsidP="00000000" w:rsidRDefault="00000000" w:rsidRPr="00000000" w14:paraId="0000000E">
      <w:pPr>
        <w:jc w:val="center"/>
        <w:rPr/>
      </w:pPr>
      <w:r>
        <w:rPr>
          <w:rtl w:val="0"/>
        </w:rPr>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88.0%, a precision of 0.868, a recall of 0.913, and an F1-score of 0.890, correctly identifying the large majority of at-risk students in the held-out data, while Random Forest obtained a marginally higher F1-score of 0.901.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54</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59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59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59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79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99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99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99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115</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rise of digital technology has transformed the operational landscape of higher education institutions, producing a new generation of learning environments powered by Learning Management Systems (LMS) such as Moodle, Canvas, and Blackboard (Kuzilek et al., 2017). These platforms have restructured the mechanics of course delivery, assessment submission, and student-instructor communication at scale. Their institutional adoption expanded sharply in the wake of the COVID-19 pandemic, as universities were compelled to move instruction online and thereby generated substantially larger volumes of student behavioural data than had previously been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with the purpose of understanding and optimising learning (Siemens &amp; Long, 2011). One of its most important applications is the early identification of students at risk of failing or withdrawing. Prior research has investigated predictive models trained on LMS behavioural logs, demographic records, and assessment histories for the early identification of these students, with the aim of affording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technical advances, the question of what happens after a student is flagged as at-risk has remained largely unaddressed. Ali et al. (2023) document in their review of over 410 XAI studies, the outputs of many AI models are difficult to comprehend owing to their black-box nature. The field of Explainable AI (XAI) addresses this limitation through techniques such as SHapley Additive exPlanations (SHAP) and Local Interpretable Model-agnostic Explanations (LIME), which enable practitioners to identify the features that drove a particular prediction. In educational settings, such transparency matters considerably because a prediction about a student’s future can directly affect both that student’s academic trajectory and the professional judgement of the instructor or advisor expected to act upon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delivers these role-specific explanations from a shared prediction system (Afzaal et al., 2021; Cabral et al., 2025; Kaliisa et al., 2023; Susnjak et al., 2022). This study addressed that gap through the design and technical evaluation of</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With the increasing adoption of AI-driven student prediction systems in higher education, concerns have shifted from model accuracy to issues of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This limitation is further amplified by the heterogeneous information needs of institutional stakeholders, which the literature suggests call for explanations suited to the recipient’s role and expertise (Haque et al., 2023; Kostopoulos et al., 2024), yet current dashboards rarely support role-specific perspectives. In addition, evaluation approaches for explainable AI in education remain underdeveloped, with limited domain-specific frameworks extending beyond general measures such as trust (Al-Ansari, 2024). The problem addressed in this thesis is therefore framed as a design and technical research problem: how a role-aware explainable AI dashboard for at-risk student prediction can be designed, implemented, and technically evaluated, guided by a Knowledge Engineering approach grounded in the CommonKADS methodology. Because the study does not collect data from practitioners, it does not establish a demonstrated usability problem or measure practitioner decision-making; these questions are left to future practitioner-facing research.</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the extent to which a role-aware explainable artificial intelligence dashboard can provide prediction for student at-risk within Learning Management System environments. The Open University Learning Analytics Dataset (OULAD) is used as the empirical basis of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examine, through a structured review of relevant literature, the predictive features</w:t>
      </w:r>
      <w:commentRangeStart w:id="20"/>
      <w:r>
        <w:rPr>
          <w:rtl w:val="0"/>
        </w:rPr>
        <w:t xml:space="preserve"/>
      </w:r>
      <w:commentRangeEnd w:id="20"/>
      <w:r>
        <w:commentReference w:id="20"/>
      </w:r>
      <w:r>
        <w:rPr>
          <w:rtl w:val="0"/>
        </w:rPr>
        <w:t xml:space="preserve">, machine learning models, and XAI techniques most effective for student at-risk prediction in LMS environments, and to identify the knowledge engineering and design principles that govern role-aware explainable dashboard development.</w:t>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delivering differentiated explanatory views for instructors, academic advisors, and institutional administrators, and to evaluate the technical adequacy and explanatory behaviour of the underlying predictive and explainability components against the OULAD dataset.</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advances academic discourse on explainable AI, learning analytics, and knowledge engineering by producing an implemented dashboard architecture and verified technical evidence on the predictive and explanatory behaviour of role-aware XAI dashboards for AI-generated student risk predictions in higher education. The study makes the following contributions:</w:t>
      </w:r>
    </w:p>
    <w:p w:rsidR="00000000" w:rsidDel="00000000" w:rsidP="00000000" w:rsidRDefault="00000000" w:rsidRPr="00000000" w14:paraId="0000007A">
      <w:pPr>
        <w:spacing w:after="160" w:lineRule="auto"/>
        <w:jc w:val="both"/>
        <w:rPr/>
      </w:pPr>
      <w:r>
        <w:rPr>
          <w:rtl w:val="0"/>
        </w:rPr>
        <w:t xml:space="preserve">1. An implemented role-aware XAI dashboard architecture demonstrating how SHAP and LIME explanations can be differentiated across instructor, advisor, and administrator interfaces within a single LMS-integrated prediction system, underpinned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with performance benchmarks against prior studies, providing evidence on predictive accuracy and on the agreement between the two explanation methods.</w:t>
      </w:r>
    </w:p>
    <w:p w:rsidR="00000000" w:rsidDel="00000000" w:rsidP="00000000" w:rsidRDefault="00000000" w:rsidRPr="00000000" w14:paraId="0000007C">
      <w:pPr>
        <w:spacing w:after="160" w:lineRule="auto"/>
        <w:jc w:val="both"/>
        <w:rPr/>
      </w:pPr>
      <w:r>
        <w:rPr>
          <w:rtl w:val="0"/>
        </w:rPr>
        <w:t xml:space="preserve">3. Verified technical evidence on model performance and on SHAP/LIME explanation behaviour against a real-world benchmark dataset (OULAD), including the degree of agreement and divergence between the two explanation methods, providing an empirical basis for future practitioner-facing evaluation of trust, interpretation, and intervention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proposed as a basis for future empirical validation with practitioners.</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The scope of this study was limited to the design and evaluation of a role-aware XAI dashboard for student at-risk prediction, focusing on higher education institutions operating LMS platforms that generate interaction log data. The primary dataset employed for model development was the publicly available OULAD dataset, capturing 32,593 student-module-presentation observations across 22 module presentations at the Open University (Kuzilek et al., 2017). The modelling component was limited to binary at-risk classification using behavioural and demographic features extractable from the LMS. Because these features were computed over the full course presentation, the study evaluates retrospective classification using the available OULAD feature set and does not establish performance at a predefined early-warning point in a presentation.</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appropriateness of the role-differentiated design for real practitioners are accordingly drawn from existing literature rather than from an original user study,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Limitations included the absence of primary practitioner data with which to empirically validate the trust, usability, and decision-quality implications discussed in Chapter 5, reliance on a single secondary dataset (OULAD) whose demographic and institutional context may not generalise to other settings, and the consequent inability to assess how the role-differentiated design would perform in live practitioner use. In addition, the explanation stability and fidelity checks, the probability calibration analysis, and the subgroup fairness assessment specified in the methodology were not completed within the final evaluation (Chapter 3, Section 3.4.1). Accordingly, the findings of this thesis are reported against a three-level evidence model that distinguishes what was demonstrated by the technical evaluation, what is supported by design, and what is not empirically established.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presents a structured review of the literature on learning analytics, at-risk student prediction, explainable AI, and role-aware dashboard design, and establishes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reports the results of the technical evaluation of the predictive model and the SHAP/LIME explainability components against the OULAD dataset. Chapter 6 discusses the implications of these findings with reference to existing literature, revisits the research questions, and sets out the limitations of the study.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field of research. Despite this maturity, advances in prediction-oriented learning analytics research have not been matched by equal attention to the human, ethical, and pedagogical considerations necessary for effective institutional implementation.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 design must center the practitioner as an active user rather than a passive recipient of algorithmic outputs, a position that resonates strongly with the role-aware approach of this research.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(2022) review LA implementation across European universities and identify a persistent disconnect between the technical sophistication of predictive models and their uptake in institutional decision-making, attributing this gap in part to the absence of role-appropriate explanation interfaces. Together, these studies demonstrate that while predictive modelling techniques have advanced considerably, comparatively less attention has been given to designing explainable learning analytics systems that communicate predictions according to the differing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Beyond these systematic reviews, a broader body of research has attempted to clarify what learning analytics is for and whose interests it should serve. Ferguson (2012) traces the emergence of the field from earlier traditions in educational data mining and academic analytics, arguing that its distinctiveness lies not in the data or algorithms it employs but in its explicit orientation toward improving learning. This orientation has since been reinforced by Gaševic, Dawson, and Siemens (2015), who caution that the technical maturity of predictive tooling has outpaced its pedagogical grounding,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Thus (2012) provides a useful conceptual framework for situating this study within the wider field. Their four-dimensional taxonomy, covering the data and environments analysed, the stakeholders addressed, the objectives pursued, and the methods employed, places importance on the stakeholder differentiation as a first-class design concern rather than an afterthought. Viberg, Hatakka, Balter,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provides direct empirical support for the problem framing adopted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one of the primary barriers to sustained adoption. Complementary evidence is provided by Sønderlund, Hughes, and Smith (2019), whose systematic review of learning analytics interventions concludes that the empirical case for improved learner outcomes remains modest, largely because the interventions triggered by analytical insights are inconsistently designed and inconsistently delivered. Read together with Leitner et al. (2022), this literature suggests that the effectiveness of learning analytics depends less on the sophistication of the underlying models and more on whether the resulting insights are communicated in a form that institutional actors can interpret and act upon, which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The prediction of student at-risk status has attracted sustained research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the earlier findings of Jin et al. (2024), who identify ensemble gradient boosting models as the dominant approach in recent OULAD literature.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This convergence of findings across independent review studies establishes a clear and well-evidenced gap between the technical capability to predict student at-risk status and the practitioner-facing communication of those predictions.</w:t>
      </w:r>
    </w:p>
    <w:p w:rsidR="00000000" w:rsidDel="00000000" w:rsidP="00000000" w:rsidRDefault="00000000" w:rsidRPr="00000000" w14:paraId="00000091">
      <w:pPr>
        <w:spacing w:after="200" w:lineRule="auto"/>
        <w:jc w:val="both"/>
        <w:rPr/>
      </w:pPr>
      <w:r>
        <w:rPr>
          <w:rtl w:val="0"/>
        </w:rPr>
        <w:t xml:space="preserve">The increased focus on prediction within learning analytics has deep theoretical roots that are not always made explicit in the technical literature.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et al. (2019) show the relationship by demonstrating that clickstream indicators of engagement, submission timeliness, and forum participation align closely with Tinto's academic integration dimension and yield reliable early warnings on the OULAD dataset. This theoretical grounding is important for the present study because it clarifies which behavioural features carry pedagogical meaning and are therefore worth surfacing in explanation views.</w:t>
      </w:r>
    </w:p>
    <w:p w:rsidR="00000000" w:rsidDel="00000000" w:rsidP="00000000" w:rsidRDefault="00000000" w:rsidRPr="00000000" w14:paraId="00000092">
      <w:pPr>
        <w:spacing w:after="200" w:lineRule="auto"/>
        <w:jc w:val="both"/>
        <w:rPr/>
      </w:pPr>
      <w:r>
        <w:rPr>
          <w:rtl w:val="0"/>
        </w:rPr>
        <w:t xml:space="preserve">A broader empirical literature has explored a wide range of algorithmic families for at-risk prediction, and their findings converge on several stable patterns.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Deep learning approaches have also been investigated, though with mixed results relative to their computational cost. Waheed et al. (2020) trained deep artificial neural networks on OULAD and reported strong classification performance, but they also noted that the marginal accuracy gains over well-tuned ensembles were modest and did not justify the additional opacity that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results reinforce the argument that predictive accuracy alone is an insufficient basis for model selection in institutional contexts, and that interpretability and explanation-readiness should be treated as the primary design criteria.</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Taken together, these studies suggest that the aggregate accuracy figures reported in benchmark comparisons on OULAD should be interpreted with caution, and that any operational dashboard should surface model behaviour at a level of detail that allows practitioners to identify and question such disparities. The role-aware explanation design pursued in this study is one mechanism through which this becomes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Because naive oversampling can amplify noise near class boundaries, borderline and adaptive variants of SMOTE have also been proposed, and Prati, Batista, and Silva (2015) describe a protocol for analysing the comparative behaviour of such treatment methods. Santos et al. (2018) further recommend that resampling occur only on the training partition of each cross-validation fold, so that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mislead practitioners into overreacting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is sensitive not only to accuracy but also to the perceived reliability of the confidence values displayed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the methodology of this study was planned;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emerged as an important addition to high-accuracy models, and the educational domain illustrates both the urgency and the complexity of this challenge. Arrieta et al. (2020), in a comprehensive study of XAI methods spanning over 400 papers, distinguish between interpretable models and explanation techniques, arguing that the choice between these approaches depends on the deployment context and the expertise of the intended recipient, a distinction that earlier XAI surveys by Gunning and Aha (2019) did not systematically address.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finding SHAP most consistent for feature 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demonstrate that combining SHAP, Shapash, ELI5, and LIME with XGBoost enables fine-grained performance explanation suitable for institutional reporting, though their work stops short of evaluating how non-technical stakeholders receive and interpret such explanations.</w:t>
      </w:r>
    </w:p>
    <w:p w:rsidR="00000000" w:rsidDel="00000000" w:rsidP="00000000" w:rsidRDefault="00000000" w:rsidRPr="00000000" w14:paraId="00000098">
      <w:pPr>
        <w:spacing w:after="200" w:lineRule="auto"/>
        <w:jc w:val="both"/>
        <w:rPr/>
      </w:pPr>
      <w:r>
        <w:rPr>
          <w:rtl w:val="0"/>
        </w:rPr>
        <w:t xml:space="preserve">What is noticeably absent from all of these studies is a consideration of how explanations should be formatted differently for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The gap between what XAI techniques can deliver and what specific stakeholder roles actually require is the central research gap addressed in this study.</w:t>
      </w:r>
    </w:p>
    <w:p w:rsidR="00000000" w:rsidDel="00000000" w:rsidP="00000000" w:rsidRDefault="00000000" w:rsidRPr="00000000" w14:paraId="00000099">
      <w:pPr>
        <w:spacing w:after="200" w:lineRule="auto"/>
        <w:jc w:val="both"/>
        <w:rPr/>
      </w:pPr>
      <w:r>
        <w:rPr>
          <w:rtl w:val="0"/>
        </w:rPr>
        <w:t xml:space="preserve">The theoretical foundations of explainable AI have been the subject of previous research that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conceptual contributions have direct implications for the study because they establish that a role-aware dashboard must decide not only which explanations to display but also which underlying notion of interpretability each stakeholder actually requires.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observe that the field lacks agreed evaluation protocols, leaving many claims about explanation quality difficult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specifically, Khosravi et al. (2022) map the state of explainable AI in education and identify six recurring stakeholder groups, including learners, teachers, and administrators, whose explanation needs are structurally different. Their analysis reinforces the central design proposition of this study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extend the case for role-aware design from a normative argument to an evidence-based design requirement.</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the question of what would have to change for a prediction to be different, which is precisely the question that a practitioner facing an intervention decision needs to answer. Susnjak, Ramaswami, and Mathrani (2022) integrate counterfactual reasoning into a learner-facing dashboard that is deployed for trials at a higher education institution, but their design addresses a single stakeholder group. The comparative literature therefore establishes both the technical maturity and the educational value of counterfactual explanations while confirming that their role-differentiated presentation remains an open problem.</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finding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the dashboard development methodology of this study. Cabral et al. (2025), in a recent systematic review of AI-powered learning analytics dashboards,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the design of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dashboard literature reviewed above sits within a longer research tradition that has attempted to systematise the design space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 making. Bodily and Verbert (2017) offer a complementary review focused specifically on student-facing dashboards and educational recommender systems, and observe that the field has developed rich technical methods for surfacing behavioural indicators while making comparatively little progress on how those indicators should be interpreted by their intended users. Read alongside the more recent review by Cabral, Pinto, and Goncalves (2025), these earlier reviews show that the limited explanation of analytical outputs has been a recognised gap in the literature for some time.</w:t>
      </w:r>
    </w:p>
    <w:p w:rsidR="00000000" w:rsidDel="00000000" w:rsidP="00000000" w:rsidRDefault="00000000" w:rsidRPr="00000000" w14:paraId="000000A1">
      <w:pPr>
        <w:spacing w:after="200" w:lineRule="auto"/>
        <w:jc w:val="both"/>
        <w:rPr/>
      </w:pPr>
      <w:r>
        <w:rPr>
          <w:rtl w:val="0"/>
        </w:rPr>
        <w:t xml:space="preserve">Empirical evaluations of dashboard effectiveness have arrived at similarly cautious conclusions. Matcha, Gaševic, and Pardo (2020) synthesise the findings of 21 empirical studies of learning analytics dashboards through a self-regulated learning lens and report that most systems are neither theoretically grounded nor evaluated against learning outcomes, with the majority of studies limiting themselves to usability measurement or short-term satisfaction surveys. Sedrakyan, Malmberg, Verbert, Jarvela, and Kirschner (2020) argue that this evaluation deficit is partly a consequence of design decisions that treat the dashboard as a terminal reporting artefact rather than as one component of a broader feedback loop, and they call for designs that explicitly model how analytical outputs enter the practitioner's decision-making process. The study responds to this call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implies that the design of an instructor interface, an advisor interface, and an administrator interface must begin from an explicit analysis of the tasks each role performs and the knowledge each role brings to those tasks, rather than from a uniform visual template applied across roles. This is the modelling stance adopted throughout this study.</w:t>
      </w:r>
    </w:p>
    <w:p w:rsidR="00000000" w:rsidDel="00000000" w:rsidP="00000000" w:rsidRDefault="00000000" w:rsidRPr="00000000" w14:paraId="000000A6">
      <w:pPr>
        <w:spacing w:after="200" w:lineRule="auto"/>
        <w:jc w:val="both"/>
        <w:rPr/>
      </w:pPr>
      <w:r>
        <w:rPr>
          <w:rtl w:val="0"/>
        </w:rPr>
        <w:t xml:space="preserve">Human-centred XAI research reinforces the same principle from a different direction. Liao &amp; Varshney (2022) and Ehsan et al. (2021) have argued that the effectiveness of an explanation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observations together in a checklist that treats stakeholder involvement, design, and evaluation as dimensions to be planned together, a position that shapes both the design and the evaluation components of the present study.</w:t>
      </w:r>
    </w:p>
    <w:p w:rsidR="00000000" w:rsidDel="00000000" w:rsidP="00000000" w:rsidRDefault="00000000" w:rsidRPr="00000000" w14:paraId="000000A8">
      <w:pPr>
        <w:spacing w:after="200" w:lineRule="auto"/>
        <w:jc w:val="both"/>
        <w:rPr/>
      </w:pPr>
      <w:r>
        <w:rPr>
          <w:rtl w:val="0"/>
        </w:rPr>
        <w:t xml:space="preserve">Comparative analysis across these bodies of work reveals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contributes to closing this methodological gap by combining the CommonKADS agent and communication models with the Kaliisa et al. (2023) design checklist, thereby providing a structured route from stakeholder analysis to role-differentiated interface content that is currently absent from the reviewed literature.</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collectively establishes a well-supported research gap in the intersection of student at-risk prediction, explainable AI, and role-aware learning analytics dashboard design. Several specific and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Firstly, while ensemble predictive models have achieved high accuracy on OULAD and comparable datasets (Guevara-Reyes et al., 2025; Jin et al., 2024; Rebelo Marcolino et al., 2025; Wang, 2025), none of these studies addresses the practitioner-facing communication of predictions. The evaluation criteria across this body of work remain overwhelmingly technical, with F1-score, accuracy, and AUC dominating reporting, and with the human interpretability of model outputs receiving little or no consideration.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the technical feasibility of post-hoc explanation methods in educational settings but stops short of examining how explanations should be structured differently for different institutional stakeholder roles. The only role-specific XAI dashboard identified in the literature reviewed for this study, that of Afzaal et al. (2021), is directed at students, not at the instructors, advisors, and administrators who are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Furthermore, from a methodological standpoint, the knowledge engineering aspect of XAI dashboard development has received little attention. The representation of explanation knowledge, specifically how SHAP and LIME outputs are modelled as knowledge structures and delivered to role-differentiated recipients, is a knowledge engineering problem that existing studies have not conceptualised as such. The application of a structured KE methodology such as CommonKADS (Schreiber et al., 2000) to this design context represents an original methodological contribution.</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predominantly generic and do not account for the role-specific differences in how trust, understanding, and decision quality manifest across different LMS stakeholder groups. This study addresses these dimensions through a technically evaluated artefact and a proposed framework for subsequent expert validation, providing a theoretically grounded, role-differentiated XAI dashboard within a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Collectively, these five dimensions of the research gap reflect a common underlying issue: the field has developed its technical, methodological, and evaluation components in relative isolation, and the small number of studies that combine them tend to do so for a single stakeholder role. What is required, and what this current study provides, is an integrated approach in which the predictive model, the explanation layer, the role-aware interface, and the evaluation framework are all designed against a shared knowledge engineering specification. Based on these findings, the study extends previous work by bringing these areas together to address a gap that has received limited attention in earlier research.</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has reviewed related literature on learning analytics, student at-risk prediction, explainable artificial intelligence, and learning analytics dashboard design, and has traced how each of these literatures contributes to, but does not by itself address, the design problem addressed by this study.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At the same time, the critical review of these literatures has shown that predictive accuracy has not translated into institutional impact, that explanation techniques are rarely tailored to their recipients, and that dashboards continue to be designed for a single archetypal user despite well-documented differences in stakeholder information needs.</w:t>
      </w:r>
    </w:p>
    <w:p w:rsidR="00000000" w:rsidDel="00000000" w:rsidP="00000000" w:rsidRDefault="00000000" w:rsidRPr="00000000" w14:paraId="000000B4">
      <w:pPr>
        <w:jc w:val="both"/>
        <w:rPr/>
      </w:pPr>
      <w:r>
        <w:rPr>
          <w:rtl w:val="0"/>
        </w:rPr>
        <w:t xml:space="preserve">The research gap identified in the previous section follows directly from this synthesis. The approach used in the remainder of the thesis, namely the use of the CommonKADS knowledge engineering framework alongside the Kaliisa et al. (2023) design checklist and the human-centred evaluation framework of Kim et al. (2024), is a direct response to the shortcomings surfaced by this review.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central design problem in this study is fundamentally a knowledge engineering problem: how should the knowledge produced by an AI prediction system, specifically the SHAP and LIME explanations of at-risk predictions, be acquired, represented, and delivered to three distinct stakeholder roles in a form that supports decision making for each? CommonKADS was specifically developed for the analysis and design of knowledge-intensive systems, making it directly appropriate for a system whose core function is the acquisition of student behavioural knowledge from LMS data, the representation of that knowledge as predictive model outputs and XAI explanations, and the communication of that knowledge to role-differentiated users (Schreiber et al., 2000).</w:t>
      </w:r>
    </w:p>
    <w:p w:rsidR="00000000" w:rsidDel="00000000" w:rsidP="00000000" w:rsidRDefault="00000000" w:rsidRPr="00000000" w14:paraId="000000BB">
      <w:pPr>
        <w:spacing w:after="160" w:lineRule="auto"/>
        <w:jc w:val="both"/>
        <w:rPr/>
      </w:pPr>
      <w:r>
        <w:rPr>
          <w:rtl w:val="0"/>
        </w:rPr>
        <w:t xml:space="preserve">The suitability of CommonKADS for this study is further supported by applications of the methodology in educational analytics. Rodríguez-Ortiz et al. (2022) report that CommonKADS-derived models substantially improved the traceability of design decisions in a decision support system for academic performance monitoring, providing empirical support for its use in educational analytics contexts. This indicates that the methodological framework adopted here is not merely inherited from earlier expert-systems research but continues to be applied within the wider field of intelligent decision support.</w:t>
      </w:r>
    </w:p>
    <w:p w:rsidR="00000000" w:rsidDel="00000000" w:rsidP="00000000" w:rsidRDefault="00000000" w:rsidRPr="00000000" w14:paraId="000000BC">
      <w:pPr>
        <w:spacing w:after="160" w:lineRule="auto"/>
        <w:jc w:val="both"/>
        <w:rPr/>
      </w:pPr>
      <w:r>
        <w:rPr>
          <w:rtl w:val="0"/>
        </w:rPr>
        <w:t xml:space="preserve">Schreiber et al. (2000) structure CommonKADS around six interacting analytical components (covering institutional context, task decomposition, agent characterisation, domain knowledge formalisation, stakeholder communication patterns, and technical system design respectively), each of which maps directly onto a distinct design requirement of the present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the knowledge, capabilities, and explanation needs of each stakeholder role, informing the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structured approach ensures that the dashboard design is based on a systematic analysis of what knowledge each stakeholder role needs, rather than a technically driven design that presumes uniform information needs (Studer et al., 1998). Table 3.1 summarises how each of the six models was instantiated in this study, the evidence on which it draws, and the design decision that resulted.</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Each of the six models is instantiated concretely in the present study rather than treated as a purely conceptual scaffold. The Organisation Model is elaborated through a review of published accounts of institutional learning analytics governance (Tsai &amp; Gaševic, 2017; Leitner et al., 2019) together with the documented workflows of stakeholder groups reported by Kaliisa et al. (2023), and is used to produce an as-is description of how at-risk information currently traverses the institution, set out in the following paragraph. The Task Model draws on the task decomposition patterns proposed by Verbert et al. (2013) for learning analytics dashboards, refined to accommodate the additional sub-tasks introduced by post-hoc explanation. The Agent Model is informed by the role-specific information needs identified by Kostopoulos et al. (2024) and by Haque, Islam, and Mikalef (2023), who synthesise practitioner-facing evidence on how explanation preferences differ by expertise. Because no practitioners participated in the study, the Agent Model was populated from published literature rather than from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that can be checked against what the practitioner knows,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the decision each role makes, while the intervention decision remains with the practitioner.</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 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and not as an empirical framework in this study; a TAM-based practitioner evaluation is identified in Chapter 7 as future work. The research proceeds through four iterative phases: knowledge acquisition and organisation analysis; knowledge and system modelling; artifact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rather than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Using TAM in parallel with the CommonKADS Agent and Communication Models therefore gives the design process a well validated pair of design lenses, perceived usefulness and perceived ease of use from TAM, and role-specific informational need from the Agent and Communication Models, complementing the human-centred XAI evaluation framework of Kim et al. (2024), which identifies these same constructs as central to how AI explanations are ultimately received once a direct practitioner evaluation is conducted.</w:t>
      </w:r>
    </w:p>
    <w:p w:rsidR="00000000" w:rsidDel="00000000" w:rsidP="00000000" w:rsidRDefault="00000000" w:rsidRPr="00000000" w14:paraId="000000CA">
      <w:pPr>
        <w:spacing w:after="160" w:lineRule="auto"/>
        <w:jc w:val="both"/>
        <w:rPr/>
      </w:pPr>
      <w:r>
        <w:rPr>
          <w:rtl w:val="0"/>
        </w:rPr>
        <w:t xml:space="preserve">The research is additionally informed by the design science paradigm articulated by Hevner et al. (2004) and later refined into the Design Science Research Methodology by Peffers et al. (2007). Both formulations argue that a research contribution centred on a purposeful artefact is legitimated by the rigour of the construction process and by the demonstrable utility of the artefact when evaluated against a well-defined problem. This position aligns closely with the intent of the present study, which contributes both a dashboard system and design guidelines derived from the evaluation. The iterative process proposed by Peffers et al. (2007) is adopted alongside CommonKADS. It comprises of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relationship between these frameworks is therefore hierarchical.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is used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was conducted from published literature rather than through user-based elicitation, so findings from the literature review fed into the modelling phase where an agent characterisation was refined, and outputs of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The architecture of this system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is therefore structured to separate data processing, prediction, explanation, and user interaction, ensuring that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organized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allows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which has been identified as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additionally responsible for temporal alignment of interaction records with assessment deadlines, a step that is essential for the construction of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allows the same feature pipeline to be reused for both training and inference without leakage of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the use of ensemble learning methods. Ensemble models have consistently demonstrated superior predictive performance in at-risk classification tasks (Rebelo Marcolino et al., 2025; Wang, 2025). However, their increased complexity reduces interpretability, thereby necessitating the inclusion of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both cohort-level and instance-level interpretation needs are adequately addressed.</w:t>
      </w:r>
    </w:p>
    <w:p w:rsidR="00000000" w:rsidDel="00000000" w:rsidP="00000000" w:rsidRDefault="00000000" w:rsidRPr="00000000" w14:paraId="000000F7">
      <w:pPr>
        <w:spacing w:after="160" w:lineRule="auto"/>
        <w:jc w:val="both"/>
        <w:rPr/>
      </w:pPr>
      <w:r>
        <w:rPr>
          <w:rtl w:val="0"/>
        </w:rPr>
        <w:t xml:space="preserve">The Explainability Module is implemented with two internal sub-services. The first, a global explanation service, is responsible for computing and caching TreeSHAP values (Lundberg et al., 2020) across the training population; these values underpin the cohort-level visualisations used by administrators and, at a coarser grain, by advisors. The second, a local explanation service, is responsible for generating on-demand LIME approximations for individual predictions (Ribeiro, Singh, &amp; Guestrin, 2016) and for producing a corresponding local SHAP explanation using the tree-path-dependent estimator, so that the two techniques can be compared side by side within the interface. Storing global SHAP outputs while computing LIME on demand reflects the difference in computing time between the two methods reported by Salih et al. (2024), in which SHAP has a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ensures that a single predictive model supports multiple stakeholders without redundancy while improving usability and decision support.</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 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the composition of visual components, the management of interaction state, and the translation of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namely the risk indicator, the feature attribution panel, and the cohort comparison view, each of which is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intended for heterogeneous audiences benefit from layered disclosure in which summary indicators are shown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that the Explainability Module remains agnostic to the visualisation choices made downstream.</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caching, and scheduled scoring,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Authentication and authorisation are enforced at the Presentation Layer, so that a practitioner is only ever exposed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OULAD has, in the years since its release,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The decision to adopt OULAD is therefore also a decision to situate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The use of OULAD is further justified by its scale, completeness, and ethical suitability. Its anonymised structure eliminates concerns relating to personally identifiable information, while its size supports the development of robust and generalisable models. The dataset is therefore selected on the basis of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where Withdrawn and Fail are mapped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of every observation so that cross-validation folds can be grouped by presentation, mitigating the risk of optimistic estimates arising from ignoring the panel structure of the data,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immediate screening decision supported by the classifier is binary: whether a student should be flagged for further consideration. Albreiki</w:t>
      </w:r>
      <w:commentRangeStart w:id="38"/>
      <w:r>
        <w:rPr>
          <w:rtl w:val="0"/>
        </w:rPr>
        <w:t xml:space="preserve"/>
      </w:r>
      <w:commentRangeEnd w:id="38"/>
      <w:r>
        <w:commentReference w:id="38"/>
      </w:r>
      <w:r>
        <w:rPr>
          <w:rtl w:val="0"/>
        </w:rPr>
        <w:t xml:space="preserve"> et al. (2021) report that the majority of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Feature engineering is guided by prior studies identifying submission timeliness, VLE interaction frequency, assessment performance trends, and demographic indicators as key predictors of student outcomes (Guevara-Reyes et al., 2025; Wang, 2025). The selection of these features ensures alignment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Three ensemble models are compared: Random Forest, XGBoost, and Gradient Boosting Classifier. The use of ensemble methods is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widely regarded as a strong general-purpose baseline in tabular classification. XGBoost, introduced by Chen and Guestrin (2016), applies regularised gradient boosting on decision trees and has become the reference implementation of boosting for structured data, particularly in the presence of heterogeneous feature types. Gradient Boosting Classifier, as implemented in scikit-learn following the original formulation of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that observations from the same presentation never appear in both the training and the validation partition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ROC-AUC is also recorded by the training code.</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design of the study specified several refinements to the modelling and evaluation pipeline that were not implemented in the final evaluation. They are recorded here so that this chapter describes the final method accurately while remaining transparent about the original plan. The literature motivating each refinement is reviewed in Chapter 2, Section 2.2.</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The integration of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design of the explanation subsystem is grounded in the distinction drawn by Doshi-Velez and Kim (2017)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that the resulting explanations are subjected to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demonstrate that SHAP and LIME can be manipulated by adversarial classifiers to conceal discriminatory behaviour, and although the present study does not confront an adversarial setting, the same underlying sensitivity to perturbation choices motivates the reporting of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in that they should clarify why a particular outcome was predicted rather than a plausible alternative. Explanations should be selective, in that they should surface the small number of factors that most strongly account for the outcome rather than the full attribution vector. Explanations should be social, in that they should be phrased in terms accessible to the intended recipient. The presentation layer draws on the selective and social properties by rendering per-instance explanations as signed feature attributions limited to a small number of leading features, with human-readable feature labels, at a level of aggregation suited to the associated stakeholder role. The explanations implemented in the prototype are feature attributions rather than contrastive or counterfactual explanations, and natural-language comparative statements were not implemented, so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of the three interface variants is specified against a distinct information brief derived from the CommonKADS Agent Model. The instructor interface prioritises class-level engagement over the current teaching period and per-student explanations of risk drivers at the granularity of assessments and weekly activity,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Grouping the interfaces around these role-specific briefs prevents the dashboard from defaulting to a single view that is optimal for none of the intended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Interface conventions follow the established human-computer interaction heuristics of Nielsen (1994), particularly the principles of visibility of system status, match between system and the real world, recognition rather than recall, and consistency and standards. Colour usage is designed to remain informative for practitioners with common forms of colour vision deficiency by relying on colour-blind safe palettes and by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No documented iterative heuristic review, with recorded iterations, reviewers, or severity ratings, was conducted in this study. The Nielsen (1994) criteria were instead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reproduced in this thesis, so the architecture diagrams in Figures 3.3 and 4.1 are the principal design documentation presented, in line with the design-artefact expectations of Hevner et al. (2004) for a design science contribution.</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 selection of these libraries reflects considered technical judgement rather than convenience. Scikit-learn is adopted for its consistent estimator interface and its well-tested implementations of cross-validation, preprocessing, and model evaluation utilities, as documented by Pedregosa et al. (2011). XGBoost is adopted for the reasons articulated by Chen and Guestrin (2016), including its regularised objective, sparsity-aware split finding, and out-of-core training capability.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as the API layer, a combination selected because it allows for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authentication is implemented using JSON Web Tokens following the specification of Jones, Bradley, and Sakimura (2015). Role-based access control is enforced at the API layer as well as at the interface layer, consistent with the defence-in-depth principle articulated by Saltzer and Schroeder (1975), so that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Software quality was intended to be safeguarded through a layered testing strategy, with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following the practice recommended by Humble and Farley (2010) for reliable software delivery, was also planned. This testing and continuous integration pipeline is not demonstrated in this thesis, and it is therefore described as planned practice rather than as completed infrastructure. Similarly, the codebase, the trained model artefacts, and the derived experimental data are intended for deposit in a public repository in accordance with the FAIR data principles articulated by Wilkinson et al. (2016), but this deposit is not reported here as completed.</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conducted as a technical evaluation of the predictive and explanatory components against the OULAD dataset, rather than as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so that every prediction is produced by a model that has not seen the presentation it is evaluated 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The three ensemble models introduced in Section 3.4, Random Forest, XGBoost, and Gradient Boosting, are compared under an identical pipeline and protocol using F1-score for comparative reporting, and the model deployed in the prototype is selected on recall, with F1-score as a secondary metric, as set out in Section 3.4. Performance is additionally reported separately for each held-out course presentation, giving a direct empirical indication of how much variability to expect across cohorts. Because the features are computed over the full course presentation, this evaluation measures retrospective classification using the available OULAD feature set; it does not establish performance at a predefined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aggregate rankings are compared for overlap in their leading features, and instance-level overlap is quantified by comparing each sampled instance's top-ranked SHAP features against its top-ranked LIME features, giving a concrete measure of how consistently the two explanation methods agree at the level of an individual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technical evaluation is completed by a verification step, in which the metrics and figures reported during system development (Chapter 4) are independently reproduced from the trained model artefact, and by a structured comparison with the methodology specified earlier in this chapter, so that any point where the implemented system extends or refines the originally specified approach is identified and reported rather than left undocumented.</w:t>
      </w:r>
    </w:p>
    <w:p w:rsidR="00000000" w:rsidDel="00000000" w:rsidP="00000000" w:rsidRDefault="00000000" w:rsidRPr="00000000" w14:paraId="00000132">
      <w:pPr>
        <w:spacing w:after="160" w:lineRule="auto"/>
        <w:jc w:val="both"/>
        <w:rPr/>
      </w:pPr>
      <w:r>
        <w:rPr>
          <w:rtl w:val="0"/>
        </w:rPr>
        <w:t xml:space="preserve">This technical evaluation establishes whether the predictive and explanatory components function correctly, perform well, and behave consistently, which is the necessary foundation for the dashboard's practitioner-facing value. Direct evaluation of that practitioner-facing value, instructor, advisor, and administrator trust, understanding, and decision quality when using the dashboard, requires primary data collection from practitioners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The findings of this evaluation are reported against a three-level evidence model that is used throughout the remainder of the thesis. Findings that were demonstrated are those measured directly in the technical evaluation, such as predictive performance and cross-method agreement. Findings supported by design are properties of the dashboard that are implemented and traceable to stated requirements and to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this study relies exclusively on the secondary OULAD dataset (Section 3.3) and does not involve primary data collection from students, instructors, advisors, or administrators, the ethical considerations addressed here concern data handling and algorithmic fairness rather than human-subjects research procedures such as informed consent or participant recruitment.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treated as an integral ethical consideration rather than as a separate concern.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specified that any subgroup performance disparities should be reported openly rather than concealed, in line with the transparency norm advocated by Mitchell et al. (2019) in their model card proposal, and it responds to the empirical evidence of Yu, Li, Fischer, Doroudi, and Xu (2020) that predictive models in higher education can exhibit systematically different error rates across student sub-groups even when aggregate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the avoidance of harm. In line with this argument, the design of the dashboard deliberately avoids features that would automate high-stakes decisions about students, keeping the practitioner as the final decision-maker in any intervention. Slade and Prinsloo (2013) further note that learning analytics interventions carry a risk of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has presented the methodology through which the study designs, implements, and technically evaluates a role-aware explainable AI dashboard for student at-risk prediction in Learning Management Systems, using the Open University Learning Analytics Dataset as its sole empirical basis. The research follows the Design Science Research Methodology of Peffers et al. (2007) as its overarching process, with the CommonKADS Knowledge Engineering methodology as its knowledge-engineering and design framework, the Technology Acceptance Model as a design lens only, and the Kaliisa et al. (2023) checklist as dashboard design guidance.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Overall, these design decisions provide a coherent and reproducible plan for producing an evidence-based answer to the research questions established in Chapter One.</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Where Chapter 3 established the CommonKADS-derived design rationale (the Organisation, Task, Agent, Knowledge, Communication, and Design Models), this chapter documents how that design was realised as a working prototype: the specific frameworks</w:t>
      </w:r>
      <w:commentRangeStart w:id="53"/>
      <w:r>
        <w:rPr>
          <w:rtl w:val="0"/>
        </w:rPr>
        <w:t xml:space="preserve"/>
      </w:r>
      <w:commentRangeEnd w:id="53"/>
      <w:r>
        <w:commentReference w:id="53"/>
      </w:r>
      <w:r>
        <w:rPr>
          <w:rtl w:val="0"/>
        </w:rPr>
        <w:t xml:space="preserve"> and libraries used at each architectural layer, the model development environment, the containerisation strategy used for local Learning Management System (LMS) integration testing, and the prototype deployment topology across the hosting providers used.</w:t>
      </w:r>
    </w:p>
    <w:p w:rsidR="00000000" w:rsidDel="00000000" w:rsidP="00000000" w:rsidRDefault="00000000" w:rsidRPr="00000000" w14:paraId="0000013F">
      <w:pPr>
        <w:spacing w:after="200" w:lineRule="auto"/>
        <w:jc w:val="both"/>
        <w:rPr/>
      </w:pPr>
      <w:r>
        <w:rPr>
          <w:rtl w:val="0"/>
        </w:rPr>
        <w:t xml:space="preserve">The system was implemented and validated end to end against the actual Open University Learning Analytics Dataset (OULAD) described in Chapter 3, rather than synthetic or placeholder data, so that the architectural decisions reported here reflect a system that has been tested against real data volumes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namely the development of an ensemble predictive model with integrated SHAP and LIME explanations and the implementation of a role-aware dashboard delivering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is also intended to establish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frequently difficult to interpret because the systems under study are described only in general terms, leaving it unclear which interface property is responsible for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the layers correspond to distinct rates of change, and this condition holds in the present system because the feature engineering logic, the trained model artefact, the explanation services, and the interface components are each expected to be revised on different schedules. Mohseni, Zarei, and Ragan (2021) make the related point for explainable systems specifically, observing that architectures which treat explanation as a separate architectural component rather than as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spacing w:after="120" w:before="120" w:lineRule="auto"/>
        <w:rPr/>
      </w:pPr>
      <w:r>
        <w:rPr>
          <w:rtl w:val="0"/>
        </w:rPr>
      </w:r>
    </w:p>
    <w:p w:rsidR="00000000" w:rsidDel="00000000" w:rsidP="00000000" w:rsidRDefault="00000000" w:rsidRPr="00000000" w14:paraId="00000147">
      <w:pPr>
        <w:spacing w:after="100" w:before="150" w:lineRule="auto"/>
        <w:jc w:val="center"/>
        <w:rPr/>
      </w:pPr>
      <w:r>
        <w:rPr/>
        <w:drawing>
          <wp:inline distB="0" distT="0" distL="0" distR="0">
            <wp:extent cx="5400675" cy="6300788"/>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300788"/>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Prior to productionisation,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production codebase.</w:t>
      </w:r>
    </w:p>
    <w:p w:rsidR="00000000" w:rsidDel="00000000" w:rsidP="00000000" w:rsidRDefault="00000000" w:rsidRPr="00000000" w14:paraId="0000014B">
      <w:pPr>
        <w:spacing w:after="200" w:lineRule="auto"/>
        <w:jc w:val="both"/>
        <w:rPr/>
      </w:pPr>
      <w:r>
        <w:rPr>
          <w:rtl w:val="0"/>
        </w:rPr>
        <w:t xml:space="preserve">This separation between an exploratory notebook environment and a production codebase follows standard applied machine learning practice: Colab was used for rapid, temporary experimentation, while the code that actually runs in the prototype was rewritten as versioned, testable Python modules (data_layer, prediction_engine, explainability) independent of the notebook environment, so that the production pipeline does not depend on Colab's session-based execution model or its GPU availability at inference time.</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production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 pyarrow</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parquet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Edge / gateway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Cloudflare Workers, Wrangler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Auth gateway in front of the API; role verification; Workers KV for caching nightly batch-scored cohort results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LTI / token verification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jose (JavaScript)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HS256 verification of the application's own JWTs; RS256 verification of Moodle LTI 1.3 launch tokens against a live JWKS endpoint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Hosting (frontend)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Cloudflare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Static hosting and global CDN distribution of the built frontend React application</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Hosting (backend)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Render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Hosting for the Python Flask API, given that SHAP/XGBoost require a full Python runtime unavailable in a cloudflare edge Worker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LTI 1.3 launch integration and iframe/External-URL embedding, run locally in Docker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(libjay/canvas-docker)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Local reproduction of both candidate LMS environments for integration testing prior to any prior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29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3.4, VLE engagement features are computed as deadline-anchored rolling windows (7, 14, and 28 days prior to each assessment submission deadline) rather than fixed calendar-week windows, and a leakage guard is enforced programmatically: any window construction that would draw on activity dated on or after its associated deadline raises an assertion error rather than silently including it.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understood by users in a social context and must be phrased in terms accessible to the recipient, and an attribution expressed against an unlabelled column name does not satisfy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deployment criterion (Chapter 3, Section 3.4) and evaluated using GroupKFold cross-validation grouped by course presentation (of which OULAD contains four: 2013B, 2013J, 2014B, and 2014J), ensuring that no fold is evaluated on a presentation the model was also trained on. </w:t>
      </w:r>
      <w:commentRangeStart w:id="56"/>
      <w:r>
        <w:rPr>
          <w:rtl w:val="0"/>
        </w:rPr>
        <w:t xml:space="preserve">Held-out, out-of-fold performance across the full dataset was 88.0% accuracy, 0.890 F1-score, and 0.964 AUC.</w:t>
      </w:r>
      <w:commentRangeEnd w:id="56"/>
      <w:r>
        <w:commentReference w:id="56"/>
      </w:r>
      <w:r>
        <w:rPr>
          <w:rtl w:val="0"/>
        </w:rPr>
        <w:t xml:space="preserve"> The fitted preprocessing pipeline and model are persisted as a single versioned artifact together with a manifest recording the training date, the feature dictionary version used, and the evaluation metrics, so that a prediction returned by the API can always be traced back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The grouping of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that reported accuracies are not straightforwardly comparable across the literature as a result. Krstajic et al. (2014) make the general form of the same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precisely because accuracy is uninformative under class imbalance, and recall as the primary criterion for selecting the prototype model, and Chicco and Jurman (2020) argue that summary metrics should be interpreted alongside the full confusion matrix rather than in place of it. Reporting recall and specificity separately, as is done above, shows the trade-off that a single threshold imposes, and it is this trade-off that the dashboard exposes to practitioners rather than resolving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The persistence of the model manifest alongside the fitted artefact is what makes disaggregated reporting of this kind tractable, since any subsequent audit can reconstruct the exact feature contract and model version against which subgroup performance was computed,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15,702 of 17,208 genuinely at-risk students are correctly flagged (91.2% recall) and 12,994 of 15,385 not-at-risk students are correctly left unflagged (84.5% specificity), with 2,391 false positives and 1,506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both a local SHAP explanation and an independent LIME explanation on demand for a single prediction, reconstructing the exact feature vector the model was originally scored against, so that the two explanation methods can be displayed side by side in the instructor view and any agreement or disagreement between them is directly visible to the end user.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visible any divergence between them, which provides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The same design decision responds to the known limitations of post-hoc explanation discussed back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is the mechanism through which that choice is made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independently of the Cloudflare Worker positioned in front of it, following a defence-in-depth principle: a request carrying a forwarded role header is only trusted if it is accompanied by a shared secret known only to the Worker and the API, so that role separation does not collapse to a single point of failure at the network edge.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Learning Management System integrations that do not use LTI 1.3 (covered in Section 4.9),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edge and the API reflects the defence-in-depth principle of Saltzer and Schroeder (1975), cited earlier in Chapter 3, Section 3.7, under which no single component should constitute the sole enforcement point for an access control decision. The consequence in this system is that a forwarded role header is treated as an unverified claim requiring corroboration, not as an established fact, which is the appropriate posture given that the dashboard is designed to be embedded within a Learning Management System and, as a result, to receive requests that originate outside its own trust boundary. Token issuance and verification follow the JSON Web Token specification of Jones, Bradley, and Sakimura (2015), and the separation between the HS256 verification path used for the application's own tokens and the RS256 verification path used for LTI launch tokens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substantive requirement of the study rather than a purely technical concept.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which is a visualisation of signed SHAP/LIME contributions at three different levels of aggregation: individual-student detail for the instructor view, cohort-averaged detail for the advisor view, and full-population detail for the administrator view, so that the same visual format is used across all three levels of the Agent Model rather than requiring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the roles by the granularity and framing of the knowledge each requires, not by the visual vocabulary in which that knowledge is expressed, and Sokol and Flach (2020) argue on similar grounds that explanation type, granularity, and format should be treated as separable configuration parameters. Reusing the reasoning trail at three levels of aggregation also reduces the effort required to interpret the information for practitioners who occupy more than one role in practice, which is common in smaller institutions, and it aligns with the recognition-rather-than-recall and consistency heuristics of Nielsen (1994), referenced earlier in Chapter 3, Section 3.6.</w:t>
      </w:r>
    </w:p>
    <w:p w:rsidR="00000000" w:rsidDel="00000000" w:rsidP="00000000" w:rsidRDefault="00000000" w:rsidRPr="00000000" w14:paraId="00000199">
      <w:pPr>
        <w:spacing w:after="200" w:lineRule="auto"/>
        <w:jc w:val="both"/>
        <w:rPr/>
      </w:pPr>
      <w:r>
        <w:rPr>
          <w:rtl w:val="0"/>
        </w:rPr>
        <w:t xml:space="preserve">The content of each view is derived from the role-specific information briefs set out earlier, in Chapter 3, Section 3.6. The instructor view foregrounds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is concerned with distributional rather than individual behaviour, in line with the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spacing w:after="120" w:before="120" w:lineRule="auto"/>
        <w:rPr/>
      </w:pPr>
      <w:r>
        <w:rPr>
          <w:rtl w:val="0"/>
        </w:rPr>
      </w:r>
    </w:p>
    <w:p w:rsidR="00000000" w:rsidDel="00000000" w:rsidP="00000000" w:rsidRDefault="00000000" w:rsidRPr="00000000" w14:paraId="0000019B">
      <w:pPr>
        <w:spacing w:after="100" w:before="150" w:lineRule="auto"/>
        <w:jc w:val="center"/>
        <w:rPr/>
      </w:pPr>
      <w:r>
        <w:rPr/>
        <w:drawing>
          <wp:inline distB="0" distT="0" distL="0" distR="0">
            <wp:extent cx="5400675" cy="3384423"/>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384423"/>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spacing w:after="120" w:before="120" w:lineRule="auto"/>
        <w:rPr/>
      </w:pPr>
      <w:r>
        <w:rPr>
          <w:rtl w:val="0"/>
        </w:rPr>
      </w:r>
    </w:p>
    <w:p w:rsidR="00000000" w:rsidDel="00000000" w:rsidP="00000000" w:rsidRDefault="00000000" w:rsidRPr="00000000" w14:paraId="0000019E">
      <w:pPr>
        <w:spacing w:after="100" w:before="150" w:lineRule="auto"/>
        <w:jc w:val="center"/>
        <w:rPr/>
      </w:pPr>
      <w:r>
        <w:rPr/>
        <w:drawing>
          <wp:inline distB="0" distT="0" distL="0" distR="0">
            <wp:extent cx="5400675" cy="2304288"/>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304288"/>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spacing w:after="120" w:before="120" w:lineRule="auto"/>
        <w:rPr/>
      </w:pPr>
      <w:r>
        <w:rPr>
          <w:rtl w:val="0"/>
        </w:rPr>
      </w:r>
    </w:p>
    <w:p w:rsidR="00000000" w:rsidDel="00000000" w:rsidP="00000000" w:rsidRDefault="00000000" w:rsidRPr="00000000" w14:paraId="000001A1">
      <w:pPr>
        <w:spacing w:after="100" w:before="150" w:lineRule="auto"/>
        <w:jc w:val="center"/>
        <w:rPr/>
      </w:pPr>
      <w:r>
        <w:rPr/>
        <w:drawing>
          <wp:inline distB="0" distT="0" distL="0" distR="0">
            <wp:extent cx="5400675" cy="2304288"/>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2304288"/>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jc w:val="center"/>
              <w:rPr>
                <w:color w:val="000000"/>
                <w:sz w:val="18"/>
                <w:szCs w:val="18"/>
              </w:rPr>
            </w:pPr>
            <w:r>
              <w:rPr>
                <w:i w:val="1"/>
                <w:iCs w:val="1"/>
                <w:color w:val="000000"/>
                <w:sz w:val="18"/>
                <w:szCs w:val="18"/>
                <w:shd w:fill="f8f9fa" w:val="clear"/>
                <w:rtl w:val="0"/>
              </w:rPr>
              <w:t xml:space="preserve">(a) login screen</w:t>
            </w:r>
            <w:r>
              <w:rPr>
                <w:rtl w:val="0"/>
              </w:rPr>
            </w:r>
          </w:p>
          <w:p w:rsidR="00000000" w:rsidDel="00000000" w:rsidP="00000000" w:rsidRDefault="00000000" w:rsidRPr="00000000" w14:paraId="000001A5">
            <w:pPr>
              <w:spacing w:after="120" w:before="120" w:lineRule="auto"/>
              <w:rPr>
                <w:color w:val="000000"/>
              </w:rPr>
            </w:pPr>
            <w:r>
              <w:rPr>
                <w:rtl w:val="0"/>
              </w:rPr>
            </w:r>
          </w:p>
          <w:p w:rsidR="00000000" w:rsidDel="00000000" w:rsidP="00000000" w:rsidRDefault="00000000" w:rsidRPr="00000000" w14:paraId="000001A6">
            <w:pPr>
              <w:jc w:val="center"/>
              <w:rPr/>
            </w:pPr>
            <w:r>
              <w:rPr/>
              <w:drawing>
                <wp:inline distB="0" distT="0" distL="0" distR="0">
                  <wp:extent cx="2880000" cy="3024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2880000" cy="3024000"/>
                          </a:xfrm>
                          <a:prstGeom prst="rect"/>
                          <a:ln/>
                        </pic:spPr>
                      </pic:pic>
                    </a:graphicData>
                  </a:graphic>
                </wp:inline>
              </w:drawing>
            </w:r>
            <w:r>
              <w:rPr>
                <w:rtl w:val="0"/>
              </w:rPr>
            </w:r>
          </w:p>
          <w:p w:rsidR="00000000" w:rsidDel="00000000" w:rsidP="00000000" w:rsidRDefault="00000000" w:rsidRPr="00000000" w14:paraId="000001A7">
            <w:pPr>
              <w:jc w:val="center"/>
              <w:rPr/>
            </w:pPr>
            <w:r>
              <w:rPr/>
              <w:drawing>
                <wp:inline distB="0" distT="0" distL="0" distR="0">
                  <wp:extent cx="5220000" cy="2775512"/>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75512"/>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dashboard authentication and role resolution</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a substantive part of the implementation rather than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 making. A dashboard that cannot be reached from within the environment in which instructors and advisors already work is unlikely to overcome that constraint, and demonstrating that the system launches from a Learning Management System with the launching user's role and course context intact is, as a result, evidence of technical integration feasibility, supporting the contribution stated earlier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approximately 1.6GB unpacked, substantially smaller than the official Bitnami or MoodleHQ development images) was run locally via Docker, together with a PostgreSQL container. Because LTI 1.3 requires a publicly resolvable HTTPS endpoint, the local Moodle instance was exposed using Cloudflare Tunnel rather than a full VPS deployment, in keeping with the rest of the system's reliance on Cloudflare infrastructure. Moodle supports both a full LTI 1.3 launch (automatically communicating the launching user's role and course context to the dashboard) and a simpler iframe/External-URL embedding.</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spacing w:after="120" w:before="120" w:lineRule="auto"/>
              <w:rPr>
                <w:color w:val="000000"/>
              </w:rPr>
            </w:pPr>
            <w:r>
              <w:rPr>
                <w:rtl w:val="0"/>
              </w:rPr>
            </w:r>
          </w:p>
          <w:p w:rsidR="00000000" w:rsidDel="00000000" w:rsidP="00000000" w:rsidRDefault="00000000" w:rsidRPr="00000000" w14:paraId="000001AF">
            <w:pPr>
              <w:spacing w:before="700" w:lineRule="auto"/>
              <w:jc w:val="center"/>
              <w:rPr/>
            </w:pPr>
            <w:r>
              <w:rPr>
                <w:b w:val="1"/>
                <w:bCs w:val="1"/>
                <w:color w:val="6a737b"/>
                <w:sz w:val="22"/>
                <w:szCs w:val="22"/>
              </w:rPr>
              <w:drawing>
                <wp:inline distB="0" distT="0" distL="0" distR="0">
                  <wp:extent cx="5731510" cy="3515360"/>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515360"/>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Moodle course page with the dashboard embedded </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As with the equivalent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spacing w:after="120" w:before="120" w:lineRule="auto"/>
        <w:rPr/>
      </w:pPr>
      <w:r>
        <w:rPr>
          <w:rtl w:val="0"/>
        </w:rPr>
      </w:r>
    </w:p>
    <w:p w:rsidR="00000000" w:rsidDel="00000000" w:rsidP="00000000" w:rsidRDefault="00000000" w:rsidRPr="00000000" w14:paraId="000001B4">
      <w:pPr>
        <w:spacing w:after="200" w:lineRule="auto"/>
        <w:jc w:val="both"/>
        <w:rPr/>
      </w:pPr>
      <w:r>
        <w:rPr>
          <w:rtl w:val="0"/>
        </w:rPr>
        <w:t xml:space="preserve"/>
      </w:r>
      <w:r>
        <w:drawing>
          <wp:anchor allowOverlap="1" behindDoc="0" distB="0" distT="0" distL="114300" distR="114300" hidden="0" layoutInCell="1" locked="0" relativeHeight="0" simplePos="0">
            <wp:simplePos x="0" y="0"/>
            <wp:positionH relativeFrom="column">
              <wp:posOffset>257908</wp:posOffset>
            </wp:positionH>
            <wp:positionV relativeFrom="paragraph">
              <wp:posOffset>476737</wp:posOffset>
            </wp:positionV>
            <wp:extent cx="5731510" cy="4091940"/>
            <wp:effectExtent b="0" l="0" r="0" t="0"/>
            <wp:wrapTopAndBottom distB="0" dist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4091940"/>
                    </a:xfrm>
                    <a:prstGeom prst="rect"/>
                    <a:ln/>
                  </pic:spPr>
                </pic:pic>
              </a:graphicData>
            </a:graphic>
          </wp:anchor>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page with the dashboard embedded</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r>
        <w:rPr>
          <w:rtl w:val="0"/>
        </w:rPr>
        <w:t xml:space="preserve">In the prototype, the frontend is deployed as a static build to Cloudflare Pages.</w:t>
      </w:r>
      <w:commentRangeStart w:id="59"/>
      <w:r>
        <w:rPr>
          <w:rtl w:val="0"/>
        </w:rPr>
        <w:t xml:space="preserve"/>
      </w:r>
      <w:commentRangeEnd w:id="59"/>
      <w:r>
        <w:commentReference w:id="59"/>
      </w:r>
      <w:r>
        <w:rPr>
          <w:rtl w:val="0"/>
        </w:rPr>
        <w:t xml:space="preserve"> The Cloudflare Worker sits between the frontend and the backend API, performing authentication, role verification, and request proxying, and is deployed via Wrangler CLI. The Flask API and the Python-dependent components of the system (the trained model, SHAP/LIME computation) are hosted on Render, since these require a full Python runtime that is not available within the edge-isolate execution model used by Cloudflare Workers. A nightly scheduled job, triggered by a Cloudflare Worker Cron Trigger, calls the API's batch-scoring endpoint and caches the resulting cohort-wide risk scores in Workers KV, so that administrator- and advisor-level dashboard views are served from a cached copy rather than recomputing predictions for the full student population on every page load.</w:t>
      </w:r>
    </w:p>
    <w:p w:rsidR="00000000" w:rsidDel="00000000" w:rsidP="00000000" w:rsidRDefault="00000000" w:rsidRPr="00000000" w14:paraId="000001B8">
      <w:pPr>
        <w:spacing w:after="200" w:lineRule="auto"/>
        <w:jc w:val="both"/>
        <w:rPr/>
      </w:pPr>
      <w:r>
        <w:rPr>
          <w:rtl w:val="0"/>
        </w:rPr>
        <w:t xml:space="preserve">The separation between the nightly batch path and the synchronous per-student path follows the serving pattern documented by Sculley et al. (2015), who observe that co-locating batch and online scoring behind a single interface accumulates hidden coupling and makes latency behaviour difficult to reason about, whereas distinguishing the two access paths allows cohort refreshes to be scheduled without competing with interactive traffic. In this system, this means that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and machine learning), JavaScript/TypeScript (edge gateway and frontend), and containerised LMS environments for integration testing. The following chapter reports the results obtained from evaluating this implementation against the OULAD dataset, including model performance and explanation quality, together with a discussion of what these technical findings imply for practitioner use, drawing on existing literature rather than on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The integration of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what this chapter establishes is that the system evaluated in the following chapter is a working prototype tested against the full OULAD population rather than one limited to illustrative cases, which is the precondition for the technical evidence Chapter 5 reports, though it is not itself a measurement of practitioner response.</w:t>
      </w:r>
    </w:p>
    <w:p w:rsidR="00000000" w:rsidDel="00000000" w:rsidP="00000000" w:rsidRDefault="00000000" w:rsidRPr="00000000" w14:paraId="000001BC">
      <w:pPr>
        <w:spacing w:after="200" w:lineRule="auto"/>
        <w:jc w:val="both"/>
        <w:rPr/>
      </w:pPr>
      <w:r>
        <w:rPr>
          <w:rtl w:val="0"/>
        </w:rPr>
        <w:t xml:space="preserve">Two limitations of the implementation should be recorded before the evaluation is reported.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transferability of the system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 to 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completed for this chapter. Section 5.5 reports the variability of performance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predictive and explanatory components of the system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was carried out on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substantially a withdrawal predictor rather than a pure academic-failure predictor, and this qualification is carried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60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0.8804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0.8678</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0.9125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0.8896</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12,994 true negatives, 2,391 false positives, 1,506 false negatives, and 15,702 true positives. Precision is not stated numerically anywhere in Chapter 4, which reports recall and specificity; it is derivable from the Chapter 4 confusion matrix as 15,702 divided by the sum of 15,702 and 2,391, which equals 0.8678,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0.8804 indicates that the classifier assigns the correct label, at-risk or not-at-risk, to 88.0% of the 32,593 held-out observations. Because the classes are only mildly imbalanced (52.8% versus 47.2%), accuracy is not as misleading a summary here as it would be under severe imbalance, but it still collapses two different kinds of error, false positives and false negatives, into a single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0.8678 means that of every 1,000 students the model flags as at-risk, approximately 868 subsequently received the at-risk outcome label used in this study and approximately 132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that some proportion of flagged students did not go on to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0.9125 means that of the 17,208 genuinely at-risk students in the held-out data, 15,702 are correctly identified by the model and 1,506 are missed. This is the figure most directly relevant to the early-intervention rationale of the study, and it is the primary criterion for selecting the prototype model (Chapter 3, Section 3.4), because a student who is at risk but not flagged receives no benefit from the dashboard at all. The recall obtained here is higher than the precision, which indicates that, at the default 0.5 threshold, the model is somewhat more conservative about withholding an at-risk flag than it is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0.8896 is the harmonic mean of precision and recall and summarises the balance between the two. Because recall (0.9125) exceeds precision (0.8678)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(2,391 false positives, approximately 15.5% of the not-at-risk group). Neither figure should be read in isolation from the confusion matrix in Figure 5.1, since Chicco and Jurman (2020) caution that summary metrics can obscure the underlying error profile, and it is that full profile, not any single number, that determines what an institution should expect operationally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0.8804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0.8678</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0.9125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0.8896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0.9053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0.8967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0.9010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0.8867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0.9004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obtains the highest F1-score (0.9010), ahead of Gradient Boosting (0.8935) and the prototype XGBoost model (0.8896), and also obtains the highest accuracy and precision of the three, while XGBoost retains the highest recall, correctly identifying more of the genuinely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0.9125 against 0.9004 for Gradient Boosting and 0.8967 for Random Forest. The retention of XGBoost in the prototype is therefore consistent with the stated criterion, while the higher F1-score of Random Forest is recorded as a relevant finding for future iterations of the pipeline, particularly if the relative priority of recall and precision were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it is possible to report the prototype model's out-of-fold performance separately for each of the four presentations, which is a more exacting test of generalisation than the pooled figures in Table 5.1 since each fold's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0.8702</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0.9114</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0.9228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0.9721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0.8686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0.9175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0.8606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0.8501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0.8114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0.9238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0.8640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0.87), while the two later presentations, 2014B and 2014J, show the reverse pattern: lower precision (around 0.81 to 0.82) with markedly higher recall (up to 0.965 for 2014B). Accuracy ranges from 0.8501 (2014J) to 0.9228 (2013J), a spread of over seven percentage points. Because only four groups are available for GroupKFold,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is a limitation on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60-column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2.8397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0.9127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0.6353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0.5037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0.4769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0.3847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0.3172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0.2653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0.1896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0.1884</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0.1502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0.1173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0.1132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0.0832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clicks_7d_before_deadline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0.0684</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three times the mean absolute SHAP value of the second-ranked feature, mean assessment score.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-0.74 and -0.98),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(+0.8267)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This explanation was not tested statistically in this evaluation, for example through a correlation matrix, variance inflation factors, or a SHAP dependence analysis,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0.3347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0.1065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0.1059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0.0642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0.0594</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0.0532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0.0487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age_band = 55&lt;=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0.0406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0.0294</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two leading features, n_assessments_submitted and mean_score, and share six further features in their respective top 10 rankings: active_days, clicks_28d_before_deadline, total_clicks, code_module = FFF, module_presentation_length, and code_module = EEE. They diverge on the remainder: SHAP's global ranking places min_score and n_late_submissions in its top 10, where LIME does not, while LIME's aggregate ranking surfaces age_band = 55&lt;= and code_module = AAA, where SHAP's global ranking does not. Measured at the level of individual explanations rather than aggregate rankings, the mean top-5 overlap across the 40 sampled instances is 0.595 (standard deviation 0.192), meaning that on average just under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more highly than SHAP's global ranking does, which is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0.9997 against a true label of 1, both methods identify n_assessments_submitted as the leading contributor, with SHAP additionally weighting the FFF module indicator and total clicks, and LIME's discretised condition on assessments submitted (between 1 and 5) carrying the largest local weight. For a student in module FFF, presentation 2014B, predicted at 0.0037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all of the findings in this section, the language used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confirmation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w:t>
      </w:r>
      <w:r>
        <w:rPr>
          <w:rtl w:val="0"/>
        </w:rPr>
        <w:t xml:space="preserve">Every numerical claim made in Chapter 4, Section 4.6 and the caption of Figure 4.3 was reproduced in this execution. Chapter 4 states 88.0% accuracy; this execution obtained 0.8804, which rounds to 88.0%. Chapter 4 states an F1-score of 0.890; this execution obtained 0.8896, which rounds to 0.890. Chapter 4 states an AUC of 0.964; this execution obtained 0.9642. Chapter 4's Figure 4.3 caption states 91.2% recall and 84.5% specificity; this execution obtained 0.9125 and 0.8446 respectively. The confusion matrix reported in Chapter 4, [[12,994, 2,391], [1,506, 15,702]], reproduced cell for cell. The number of observations, 32,593, is identical. Precision is not stated numerically anywhere in Chapter 4; the value obtained here, 0.8678, is consistent with the confusion matrix Chapter 4 does report. This reproduction held despite the evaluation environment for this chapter using newer library versions (scikit-learn 1.9.0, xgboost 3.4.1) than the original training environment, which is a further indication that the result is robust and not an artefact of a specific software version.</w:t>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XGBoost only, so this chapter completed the comparison directly, evaluating Random Forest and Gradient Boosting under the identical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reported in Table 5.1 give a clear picture of predictive performance; the additional secondary metrics and a calibration study were specified but not implemented in the final experimental pipeline, and they remain natural extensions for a future iteration,</w:t>
      </w:r>
      <w:commentRangeStart w:id="69"/>
      <w:r>
        <w:rPr>
          <w:rtl w:val="0"/>
        </w:rPr>
        <w:t xml:space="preserve"/>
      </w:r>
      <w:commentRangeEnd w:id="69"/>
      <w:r>
        <w:commentReference w:id="69"/>
      </w:r>
      <w:r>
        <w:rPr>
          <w:rtl w:val="0"/>
        </w:rPr>
        <w:t xml:space="preserve"> and calibration in particular would add confidence to the individual risk scores shown on the dashboard, alongside the strong discrimination already demonstrated (AUC 0.9642).</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Confirmed finding: the 28-day click window ranking. </w:t>
      </w:r>
      <w:r>
        <w:rPr>
          <w:rtl w:val="0"/>
        </w:rPr>
        <w:t xml:space="preserve">The project documentation asserts that the 28-day pre-deadline click window outranks raw total clicks in importance. The global TreeSHAP ranking in Table 5.4 confirms this independently: clicks_28d_before_deadline (mean |SHAP| = 0.5037) ranks above total_clicks (0.4769), while the 14-day and 7-day windows rank far lower, below several demographic and module indicators. This claim is verified by the evidence in this chapter, with the qualification about the direction of the 28-day effect discussed in Section 5.6.</w:t>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reinforce that observation empirically: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methodologically closer to this thesis's engagement-feature-driven approach than many of the demographic-only baselines surveyed elsewhere in the literature; their specific reported accuracy and F1 figures could not be independently retrieved from the source used to verify this literature set, and are accordingly not quoted or compared numerically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the SHAP and TreeSHAP methods used throughout Section 5.6, and Ribeiro, Singh, and Guestrin (2016) provide the corresponding basis for LIME; the top-5 instance-level overlap of 0.595 reported in this chapter (Section 5.6) is a direct, dataset-specific measurement of the kind of partial agreement these two families of method are understood to produce when applied to the same model, rather than a finding specific to student data. Alharbi and Janarthanan (2024) conducted a PRISMA-style review of SHAP and LIME applications specifically within educational machine learning, which is the closest published analogue to the side-by-side SHAP-versus-LIME comparison in this chapter; the review's synthesis figures could not be retrieved in full from the verification source used and are not quoted numerically, but its existence supports the framing of SHAP-versus-LIME comparison as an established line of enquiry in this specific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learning-analytics dashboard research broadly, and both are consistent with the role-differentiated design rationale set out in Chapter 3, Section 3.6 and implemented in Chapter 4, Section 4.9, without providing OULAD-specific or SHAP/LIME-specific benchmark figures against which this thesis's dashboard could be numerically compared. Their relevance here is to the design rationale documented in Chapter 4 rather than to any quantitative finding in this chapter.</w:t>
      </w:r>
    </w:p>
    <w:p w:rsidR="00000000" w:rsidDel="00000000" w:rsidP="00000000" w:rsidRDefault="00000000" w:rsidRPr="00000000" w14:paraId="00000295">
      <w:pPr>
        <w:spacing w:after="200" w:lineRule="auto"/>
        <w:jc w:val="both"/>
        <w:rPr/>
      </w:pPr>
      <w:r>
        <w:rPr>
          <w:rtl w:val="0"/>
        </w:rPr>
        <w:t xml:space="preserve">The comparison with the greatest bearing on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here as external evidence that this type of question is answerable in principle for a SHAP-and-LIME dashboard of the kind implemented in Chapter 4, not as a measurement of this project's own dashboard; their specific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(2020) review at-risk prediction specifically as the task this thesis undertakes. Read together, this literature situates the technical contribution reported in this chapter, a working predictive and explanatory pipeline with verified performance figures, as addressing one necessary precondition for effective learning analytics decision support, while the practitioner-facing question of whether that precondition translates into better decisions remains open in the absence of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(91.3%) of genuinely at-risk students in the held-out data, and approximately 86.8%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What the results support is that a model of this kind can distinguish at-risk from not-at-risk students on retrospective, full-presentation data with useful accuracy; whether the same performance would hold if features were truncated earlier in the presentation, which is the condition under which an early-warning system would actually operate, has not been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particular fitted model, which has a practical implication for the dashboard's reasoning trail: the leading contribution shown to a practitioner for most students will typically relate to assessment completion rather than to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surfaced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eight of ten top features, but agree only partially at the level of individual predictions (mean top-5 overlap 0.595).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being appropriate: a system that displayed only one method's ranking would have concealed a genuine,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the content of what each view would show; how practitioners actually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are drawn from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88.0% accuracy, 0.868 precision, 0.913 recall, and 0.890 F1-score, out-of-fold, under a protocol that isolates entire course presentations across folds, which is a demanding test of generalisation. This is clear evidence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genuinely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itself a useful property for a dashboard whose purpose includes surfacing disagreement rather than concealing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 4.8 and Section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explain.py, per the evaluation run log)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primary evaluation of practitioner response is identified in Chapter 7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demonstrates that the recorded manifest metrics trace to an executable pipeline rather than to a written-in figure. One limitation on reproducibility should be noted: the raw OULAD CSV files were not available for this evaluation, so the feature-engineering step that produces the feature table from raw data could not be re-executed, and that step is verified only by inspection of the code, not by re-running it.</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0.9642)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surfaces genuine, checkable disagreement between explanation methods rather than presenting a single unexamined ranking. This is a positive answer to Research Question 1 at the level the thesis was scoped to test: a systematic, traceable, reproducible integration of SHAP and LIME into the prediction pipeline. Whether this integration is experienced as more transparent by a practitioner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it is answered by the design itself together with the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evidenced both by the design literature and by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and stable discrimination (Section 5.3, AUC 0.9642) together with the confirmed, literature-consistent feature rankings in Section 5.6 provide the technical preconditions for a future investigation of trust in the predictions themselves, independent of how that trust is ultimately measured. Second, the partial agreement between SHAP and LIME (mean top-5 overlap 0.595, Section 5.6) indicates that a dashboard surfacing both methods side by side, as implemented in Chapter 4, Section 4.7, gives practitioners visibility into genuine disagreement between explanation methods rather than a false sense of single-method certainty, which the XAI literature (Ribeiro et al., 2016; Lundberg et al., 2020) associates with more defensible trust than an opaque prediction alone. In addition, Brdnik, Podgorelec, and Sumak (2023), discussed in Section 5.8, show that practitioner trust and satisfaction with multiple explanation techniques in a learning-analytics setting is a measurable and actively researched construct; their specific reported scores could not be independently verified for this thesis and are not quoted, and their study is external context indicating how the question could be investigated rather than a finding of this thesis. Taken together, the technical evidence in this chapter indicates that the technical preconditions for supporting practitioner interpretation and decision-making, accurate predictions and traceable, cross-checked explanations, are in place; whether they translate into better interpretation, trust, or decisions for this specific dashboard is the question for the direct empirical study proposed as the immediate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88.0% accuracy, 0.868 precision, 0.913 recall, and 0.890 F1-score out-of-fold, under a protocol that holds out entire course presentations, correctly identifying 15,702 of the 17,208 genuinely at-risk students in the held-out data. A three-way comparison completed for this chapter found Random Forest with a marginally higher F1-score than the prototype XGBoost model, a useful finding for future iterations, while XGBoost retained the highest recall of the three, which is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and mean assessment score, and agree partially (mean top-5 overlap 0.595) at the level of individual predictions, which is a useful property for a dashboard designed to surface cross-checked explanations rather than a single unexamined ranking. Chapter 4's previously reported figures were independently reproduced in full, and Section 5.7 confirmed one of the project's own documented findings, that the 28-day pre-deadline click window outranks total clicks in importance, while identifying six areas where the implemented pipeline can be extended in future work,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is shown to function correctly and traceably (Research Question 1), the role-differentiated design is shown to rest on sound underlying content and established design literature (Research Question 2), and the system is shown to provide technical properties, accurate predictions and cross-checked explanations, that can be evaluated in a subsequent practitioner study of trust and understanding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0.8804 accuracy, 0.8678 precision, 0.9125 recall, and 0.8896 F1-score out of fold, with an AUC of 0.9642,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That is a closer approximation of the situation an institution faces when it applies an existing model to a new presentation than the stratified random splits used in much of the OULAD literature, and it means the reported figures should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consequential aspect of the error profile for this study is its asymmetry. Recall of 0.9125 exceeds precision of 0.8678, which means the model at the default threshold is more willing to raise a flag that turns out to be unnecessary than to withhold one that turns out to be needed. This produces a higher recall than precision at the selected threshold. A student who is genuinely at risk but is not flagged receives nothing at all from the dashboard, and the 1,506 false negatives in the confusion matrix represent students for whom the system would have provided no basis for any of the three roles to act. The 2,391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threshold of 0.5 used throughout was not tuned to this asymmetry, and the fact that the model already leans in the useful direction at an untuned threshold is a point in favour of the pipeline rather than a design achievement of it.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0.9010, ahead of Gradient Boosting at 0.8935 and the prototype XGBoost model at 0.8896,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with the greatest bearing on how confidently the pooled figures can be read. Accuracy ranged from 0.8501 for 2014J to 0.9228 for 2013J, and the pattern of errors reversed across the dataset: the two 2013 presentations produced high precision above 0.95 with recall near 0.87, while the two 2014 presentations produced precision around 0.81 to 0.82 with recall as high as 0.9654.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applying a model of this kind would therefore be applying a classifier whose error profile it cannot fully anticipate for a cohort it has not yet observed, which is an argument for periodic recalibration and for reporting the current operating point to the roles that rely on it, rather than an argument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the meaning of a flag. A student flagged by this model is a student whose behavioural and assessment profile resembles that of students who withdrew or failed in the presentations the model was trained on, and withdrawal in particular is an outcome with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it was not tested. Adnan et al. (2021) address precisely this question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not sufficient, and this gap is carried into Section 6.11 as a limitation rather than presented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systematically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60-column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2.8397 is more than three times that of the second-ranked feature, mean_score at 0.9127.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foreground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-0.74 and -0.98, so higher values push the prediction away from the at-risk class. This is the expected pattern and is consistent with the feature families described in Chapter 3, Section 3.4. The exception is clicks_28d_before_deadline, whose correlation of +0.8267 places it in the opposite direction to total_clicks and active_days. Chapter 5 identifies collinearity among the engagement counts as one possible explanation, although this was not tested statistically, and that cautious reading is retained here. The point worth drawing out is what the finding demonstrates about the value of inspecting direction alongside magnitude. The same feature ranks fourth in global importance and confirms a claim made in the project documentation, that the 28-day pre-deadline window outranks raw total clicks,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serves as a caution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aggregate level the agreement is strong: SHAP and LIME lead with the same two features and share eight of their respective top ten. At the level of individual predictions the mean top-5 overlap across the 40 sampled instances is 0.595 with a standard deviation of 0.192, meaning that on average slightly fewer than three of a given student’s top five SHAP features also appear in that student’s top five LIME features. The two methods are therefore not interchangeable for the explanation of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0.595 converts that into an argument from evidence within this system: displaying one method alone would have concealed a moderate, genuine, and measurable level of instance-level explanation or attribution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is information about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in any case ambiguous, since a student who has already decided to withdraw will stop submitting. What the explanations establish is that the model’s output for a given student is driven by a small number of identifiable, human-readable quantities, which is a precondition for a practitioner being able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rather than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evidence available to answer it is correspondingly of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is positioned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foregrounds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bear on this view specifically. Because assessment submission dominates the attribution, the leading contribution an instructor sees will usually concern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of a kind the gradebook does not supply,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since the model is substantially a withdrawal predictor, the flags an advisor sees are weighted towards the outcome that advising conversations are most directly concerned with, which is a student’s continued registration rather than their mark on a particular assessment. Second, and less comfortably, the per-presentation variability in Section 5.5 means the composition of an advisor’s caseload depends on the operating point of the model for the cohort in question. In a presentation resembling 2014B, where recall reached 0.9654 and precision fell to 0.8213,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are concerned with distributions rather than individuals, and the findings that matter most at this level are the aggregate ones. The between-presentation variability in Table 5.3 is arguably the single most useful piece of information the technical evaluation offers an administrator, since it indicates how much the behaviour of the model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What the administrator view must not become is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which is realised as the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since the roles are differentiated in that model by the granularity and framing of the knowledge each requires rather than by the visual vocabulary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What role awareness contributes, on this evidence, is a defined mapping between a technical output and the level at which each role makes decisions. That is a real contribution to the design problem, and it is one that the technical evaluation supports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is the decomposition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is the content that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would have been unlikely to do. The separation between the Knowledge Model and the Communication Model kept the question of what the system knows distinct from the question of how it says it, and this separation is what made role differentiation a design variable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the quality of that knowledge depends. It had nothing to say about whether the feature window should be truncated for early warning, about which of the three candidate models should be used in the prototype, or about whether post-hoc attributions are an adequate representation of a gradient-boosted ensemble. It also does not validate the agent characterisations it produces. The Agent Model in this study was populated from published accounts of practitioner information needs rather than from knowledge elicitation with practitioners, which is the acquisition activity the methodology would ordinarily expect, and the consequence is that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Rodríguez-Ortiz et al. (2022) report a comparable traceability benefit for a CommonKADS-derived decision support system in academic performance monitoring, and the present study is consistent with that finding.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concerns what the predictive and explainability findings indicate about the technical potential of the dashboard to support practitioner interpretation and decision-making. This section addresses that question at the level of the decision-support argument, and Section 6.12 returns to the research question itself. The distinction that governs the whole discussion is that this study conducted a technical evaluation and no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What the technical evaluation </w:t>
      </w:r>
      <w:commentRangeStart w:id="74"/>
      <w:r>
        <w:rPr>
          <w:rtl w:val="0"/>
        </w:rPr>
        <w:t xml:space="preserve">demonstrated</w:t>
      </w:r>
      <w:commentRangeEnd w:id="74"/>
      <w:r>
        <w:commentReference w:id="74"/>
      </w:r>
      <w:r>
        <w:rPr>
          <w:rtl w:val="0"/>
        </w:rPr>
        <w:t xml:space="preserve"> is a set of properties of the system. The predictive component discriminates well between the two classes on unseen cohorts, with an AUC of 0.9642,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using newer library versions,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What the design supports without demonstrating is the delivery of those properties to each role in a usable form. The role-gated views, the shared reasoning trail rendered at three levels of aggregation, and the progressive disclosure of attribution detail are implemented and documented, and they are grounded in the Agent and Communication Models and in the dashboard literature reviewed in Chapter 2. The architecture makes it possible for an instructor to see why a particular student was flagged, for an advisor to see what is common across a caseload, and for an administrator to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What the findings suggest, without establishing, is that the combination of accurate prediction and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It has not been observed in this study.</w:t>
      </w:r>
    </w:p>
    <w:p w:rsidR="00000000" w:rsidDel="00000000" w:rsidP="00000000" w:rsidRDefault="00000000" w:rsidRPr="00000000" w14:paraId="000002D8">
      <w:pPr>
        <w:spacing w:after="200" w:lineRule="auto"/>
        <w:jc w:val="both"/>
        <w:rPr/>
      </w:pPr>
      <w:r>
        <w:rPr>
          <w:rtl w:val="0"/>
        </w:rPr>
        <w:t xml:space="preserve">What has not been validated is anything concerning practitioner response. No instructor, advisor, or administrator used the system in this study. There is no evidence that practitioners trust the predictions, that they understand the reasoning trail, that they prefer one explanation method to the other, that role differentiation improves their comprehension relative to a single undifferentiated view, or that decisions taken with the dashboard differ in quality from decisions taken without it. Nor is there evidence on the failure modes that a practitioner study would be expected to surface, and these are not remote possibilities. Explanations can produce unwarranted confidence in a prediction as readily as warranted confidence, particularly where the explanation is plausible and the underlying prediction is wrong, and the 2,391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published study assessing perceived trust and satisfaction across multiple explanation techniques including SHAP and LIME in a learning analytics context, which establishes that these questions are answerable in principle for a dashboard of this kind, and their study indicates the form the necessary follow-up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design of the dashboard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Only the first two stages are performed by the system, and the dashboard is designed to support the third without taking over the fourth. The paragraphs that follow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is a statement about statistical resemblance within a particular dataset under a particular label definition, and Section 6.1 has already noted that this definition is weighted towards withdrawal. The model explanation is an attribution of that prediction to features of the input,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to alter something in the course, to record the case and wait, or to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means of checking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is checkable against independent knowledge in a way that a probability is 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should be done. The appropriate response depends on why the submissions are missing, and that is precisely what the model does not know: a student who is struggling with the material, a student managing a period of illness, and a student who has decided to leave may all present the same feature values. The explanation narrows the space of possible situations and tells the practitioner where to direct their attention. It does not select the intervention, and a system that presented attributions as though they were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knowledge the system holds. The role-aware views operationalise that division by presenting each role with the information relevant to the decision it is positioned to make while leaving the decision itself outside the system. Progressive disclosure serves the same end, in that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the differing information needs of institutional stakeholders are rarely reflected in dashboard design. The framework developed across Chapters 3 and 4 addresses all three in construction. This section considers how far the evidence supports that address.</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the parts that are inconvenient, such as the seven-point spread in accuracy across presentations and the marginally higher F1-score of a model that was not selected for the prototype. The explainability integration works at full scale, produces both global and local attributions, and the relationship between the two methods was measured rather than assumed. The pipeline is reproducible, and Chapter 4’s figures were reproduced cell for cell in a later execution under newer library versions. The implemented system exists as a working artefact with role-gated views, an authentication path enforced at two layers, and tested LTI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the sense that the design reasoning is documented and the content they present is verified, not in the sense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So are several technical properties that bear on practical use: probability calibration was not assessed, and strong discrimination is a distinct property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framing of the problem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more general argument that choices in cross-validation, filtering, and metric selection materially change reported performance independently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is consistent with the direction of the OULAD literature, in which assessment and VLE interaction features both carry predictive weight and assessment behaviour tends to be the stronger signal (Kuzilek et al., 2017; Jin et al., 2024). Waheed et al. (2020) predict academic performance from VLE clickstream data using deep learning, which is closer in feature philosophy to the engagement side of the present feature set, though their reported figures were not independently verified for this thesis and are not compared numerically. The more specific finding, that the 28-day pre-deadline click window outranks raw total clicks, is consistent with Hlosta, Zdrahal, and Zendulka (2017), who report that windows aligned to submission dates yield stronger early-warning signals on OULAD, and it supports the deadline-anchored feature construction adopted in Chapter 3, Section 3.4 over a calendar-week alternative. The counter-intuitive sign of that feature’s contribution, discussed in Section 6.2, is a caution about interpretation rather than a contradiction of the ranking.</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Alharbi and Janarthanan (2024) review SHAP and LIME applications specifically within educational machine learning. The mean top-5 instance-level overlap of 0.595 reported here is consistent with that characterisation and adds a quantity to it for this model and dataset. This is where the present study makes a contribution beyond replication: much of the educational XAI literature applies one method or reports the two separately, whereas the measured instance-level overlap gives a concrete figure for how far a practitioner consulting one method rather than the other would see a different account of the same prediction.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is directed at students rather than at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 making. The present study is positioned on the side of that argument which holds that the connection to decisions is where the difficulty lies, and its technical results are consistent with that position in a specific sense: obtaining a well-performing classifier on OULAD was achievable with a fixed, untuned configuration and no resampling, whereas establishing that its outputs would be usable by three distinct staff roles remains, at the close of this study, unfinished.</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explanations should be reported. The instance-level divergence between SHAP and LIME measured in Section 5.6 indicates that a single attribution method does not give a complete account of a model’s local behaviour. For practice, the implication is that systems reporting one method as the explanation are presenting a more settled picture than the underlying attributions support, and that where two methods are available their level of agreement is itself information worth surfacing.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and not only how much, and that developers of such systems should expect artefacts of this kind to appear and should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in which model outputs are communicated. Throughout this study the terms contribution, attribution, and association have been used in preference to causal language, following the position set out in Chapter 3, Section 3.5. This is not only an academic convention. A reasoning trail that identifies low assessment submission as the leading contributor to a flag will be read by an instructor under time pressure, and the difference between it having contributed to a prediction and it having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the error profile of a model in use is a property of the cohort as well as of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into recommending actions, follows from the limits of what the attributions establish and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worked with a public benchmark dataset and no identifiable students, but a system of this kind,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 since a model with strong aggregate performance may distribute its errors unevenly. The second is that access control is a substantive rather than an incidental requirement, which is the reasoning behind enforcing role separation at both the edge and the API in Chapter 4, Section 4.8: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The findings of this study were obtained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on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 of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a more common and differently motivated event. Since withdrawals account for 59 per cent of the positive class here, the target variable is partly a reflection of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rather than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the fitted model, the attribution rankings, and the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with cohorts held out, and enough ongoing data to retrain as cohorts change. It would need the three roles to exist in a recognisable form, since an institution where advising is carried out by the teaching staff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bear on the question of transfer to institutions in Nigeria and elsewhere in Africa, which is relevant given where this research is situated, but they bear on it only as conditions and not as conclusions. Higher education across the continent is not a single context, and institutions differ widely in LMS adoption, in the completeness of the interaction data their systems retain, in the availability of computing infrastructure and technical staff, and in their data governance arrangements. This study gathered no evidence about any of them. What can be said from the evidence it does have is limited and specific: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with the most direct bearing on the early-warning purpose that motivates this line of research. As Section 6.1 set out, the features were computed over the full course presentation, so the evaluation establishes retrospective classification using the available OULAD feature set and does not establish performance at a predefined early-warning point. Every statement in this chapter about identifying students who may be at risk should be read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60-column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0.595 between the two methods adds a further element, in that the integration surfaces checkable disagreement between two attribution methods rather than presenting a single unexamined ranking, and the clicks_28d_before_deadline artefact shows that inspecting direction alongside magnitude surfaces model behaviour that a ranking alone conceals. The answer is bounded in two respects. The transparency is about the model and not about the causes of student outcomes, for the reasons given in Section 6.2, and whether the resulting interface is experienced as more transparent by a practitioner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contributes to the answer by confirming that the content these views render is sound, since the attributions every view ultimately displays were shown to be reproducible and traceable, and by identifying content each role specifically needs, most notably the between-cohort variability that determines the current operating point. What the study cannot claim is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and fully traceable specification, offered as a candidate for empirical validation rather than as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0.9642, a recall of 0.9125, and a precision of 0.8678, which means that approximately 86.8%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which gives a practitioner the means to test a flag against what they independently know rather than only to accept or reject it. The measured partial agreement between the two methods may, in addition,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What the evidence establishes is therefore that the technical preconditions for supporting practitioner interpretation and decision-making are in place, meaning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turned on the conditions of the evaluation rather than on the size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retrospective separability rather than early-warning capability is what the figures establish. The variability across the four presentations is the most consequential single finding for practical use, since the observed operating point varied substantially across the four held-out presentations, which indicates that it is a property of the cohort as well as of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0.595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value of the framework in this study was traceability from institutional context through task decomposition and agent characterisation to interface granularity, and that this produced three differentiated views sharing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indicated that </w:t>
      </w:r>
      <w:commentRangeStart w:id="82"/>
      <w:r>
        <w:rPr>
          <w:rtl w:val="0"/>
        </w:rPr>
        <w:t xml:space="preserve">the difference from the highest OULAD results may reflect the stricter evaluation protocol, and the available evidence does not permit the difference to be attributed solely to model quality,</w:t>
      </w:r>
      <w:commentRangeEnd w:id="82"/>
      <w:r>
        <w:commentReference w:id="82"/>
      </w:r>
      <w:r>
        <w:rPr>
          <w:rtl w:val="0"/>
        </w:rPr>
        <w:t xml:space="preserve"> that the feature findings are consistent with the OULAD literature and support the deadline-anchored feature construction, that the measured SHAP and LIME overlap adds a quantity to a relationship the educational XAI literature has described qualitatively, and that no comparable role-aware staff-facing dashboard was identified in the reviewed literature against which the design could be numerically compared.</w:t>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sets out the contributions of the work and the directions it opens up. The purpose is not to repeat earlier material but to give a clear account of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on its own changes little. A tutor told that a student has a 70 per cent chance of failing needs to know why the model reached that view, whether the reason is something that can be acted on, and what a sensible next step would be. This study supplies an explanation of why the model reached its prediction alongside the prediction itself; it does not establish recommended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designed and implemented a role-aware explainable analytics system for predicting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 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scope of the study.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at what moment.</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0.8804, precision of 0.8678, recall of 0.9125, an F1 score of 0.8896, and an area under the ROC curve of 0.9642. Random Forest obtained a marginally higher F1 score (0.9010)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0.595,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level of system construction.</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 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is designed to allow users to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 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with allocating limited resources and spotting where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technical potential of the dashboard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prediction and explanation can be delivered together in a single system rather than treated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the responsibilities and questions of different users, and documents how those views were arrived at.</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 specific views are read in practice and how the explanations shape action, and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other modes of study, extending the reach of the design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deployment against live activity data opens questions of timing, drift, and refresh that a retrospective dataset cannot expose, and addressing these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model that performs well to the person who has to act on its output, and it approached this by treating prediction, explanation, and role as one design problem rather than three. The model performed strongly on retrospective classification, the explanations were coherent and consistent with what is known about study behaviour, and the dashboard presents both at the level of aggregation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C">
      <w:pPr>
        <w:spacing w:after="160" w:lineRule="auto"/>
        <w:ind w:left="720" w:hanging="720"/>
        <w:jc w:val="both"/>
        <w:rPr/>
      </w:pPr>
      <w:r>
        <w:rPr>
          <w:rtl w:val="0"/>
        </w:rPr>
        <w:t xml:space="preserve">Alharbi, A., &amp; Janarthanan, M. (2024). SHAP-centric interpretability in educational machine learning: A PRISMA systematic review of SHAP and LIME. Letters in Biomathematics.</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(2020). Prediction of at-risk students using learning analytics: A literature review. Hong Kong Metropolitan University.</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C">
      <w:pPr>
        <w:spacing w:after="160" w:lineRule="auto"/>
        <w:ind w:left="720" w:hanging="720"/>
        <w:rPr/>
      </w:pPr>
      <w:r>
        <w:rPr>
          <w:rtl w:val="0"/>
        </w:rPr>
        <w:t xml:space="preserve">Rodríguez-Ortiz, C. E., Sánchez-Torres, J. M., &amp; Rueda-Rueda, J. S. (2022). Knowledge engineering approach for decision support systems in academic performance monitoring. Journal of Intelligent &amp; Fuzzy Systems, 42(3), 2381–2393. https://doi.org/10.3233/JIFS-211603</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49</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52</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53</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dashboard authentication and role resolution</w:t>
      </w:r>
      <w:r>
        <w:tab/>
      </w:r>
      <w:r>
        <w:t>54</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Moodle course page with the dashboard embedded</w:t>
      </w:r>
      <w:r>
        <w:tab/>
      </w:r>
      <w:r>
        <w:t>55</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page with the dashboard embedded</w:t>
      </w:r>
      <w:r>
        <w:tab/>
      </w:r>
      <w:r>
        <w:t>56</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61</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62</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63</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65</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67</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86</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60</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62</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63</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64</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66</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68</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91</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114</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115</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9">
      <w:pPr>
        <w:spacing w:after="120" w:lineRule="auto"/>
        <w:ind w:left="2160" w:hanging="2160"/>
        <w:rPr/>
      </w:pPr>
      <w:r>
        <w:rPr>
          <w:b w:val="1"/>
          <w:bCs w:val="1"/>
          <w:rtl w:val="0"/>
        </w:rPr>
        <w:t xml:space="preserve">CDN</w:t>
      </w:r>
      <w:r>
        <w:tab/>
      </w:r>
      <w:r>
        <w:rPr>
          <w:rtl w:val="0"/>
        </w:rPr>
        <w:t xml:space="preserve">Content Delivery Network</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3FF">
      <w:pPr>
        <w:spacing w:after="120" w:lineRule="auto"/>
        <w:ind w:left="2160" w:hanging="2160"/>
        <w:rPr/>
      </w:pPr>
      <w:r>
        <w:rPr>
          <w:b w:val="1"/>
          <w:bCs w:val="1"/>
          <w:rtl w:val="0"/>
        </w:rPr>
        <w:t xml:space="preserve">JWKS</w:t>
      </w:r>
      <w:r>
        <w:tab/>
      </w:r>
      <w:r>
        <w:rPr>
          <w:rtl w:val="0"/>
        </w:rPr>
        <w:t xml:space="preserve">JSON Web Key Set</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2">
      <w:pPr>
        <w:spacing w:after="120" w:lineRule="auto"/>
        <w:ind w:left="2160" w:hanging="2160"/>
        <w:rPr/>
      </w:pPr>
      <w:r>
        <w:rPr>
          <w:b w:val="1"/>
          <w:bCs w:val="1"/>
          <w:rtl w:val="0"/>
        </w:rPr>
        <w:t xml:space="preserve">KV</w:t>
      </w:r>
      <w:r>
        <w:tab/>
      </w:r>
      <w:r>
        <w:rPr>
          <w:rtl w:val="0"/>
        </w:rPr>
        <w:t xml:space="preserve">Key-Value (Cloudflare Workers KV store)</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Items that were not recorded in the evaluation outputs available for this thesis are highlighted for completion.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production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1.9.0 and xgboost 3.4.1, newer than the original training environment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pyarrow, SHAP, LIME, joblib, Flask, PyJWT)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Serialised joblib pipeline (preprocessing and model) with a JSON manifest recording the training date, feature dictionary version, and evaluation metrics (Chapter 4, Section 4.6). Identifier: [To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60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2.8397</w:t>
      </w:r>
    </w:p>
    <w:p w:rsidR="00000000" w:rsidDel="00000000" w:rsidP="00000000" w:rsidRDefault="00000000" w:rsidRPr="00000000" w14:paraId="0000043B">
      <w:pPr>
        <w:spacing w:after="120" w:lineRule="auto"/>
        <w:ind w:left="360" w:hanging="360"/>
        <w:jc w:val="both"/>
        <w:rPr/>
      </w:pPr>
      <w:r>
        <w:rPr>
          <w:rtl w:val="0"/>
        </w:rPr>
        <w:t xml:space="preserve">2. mean_score: 0.9127</w:t>
      </w:r>
    </w:p>
    <w:p w:rsidR="00000000" w:rsidDel="00000000" w:rsidP="00000000" w:rsidRDefault="00000000" w:rsidRPr="00000000" w14:paraId="0000043C">
      <w:pPr>
        <w:spacing w:after="120" w:lineRule="auto"/>
        <w:ind w:left="360" w:hanging="360"/>
        <w:jc w:val="both"/>
        <w:rPr/>
      </w:pPr>
      <w:r>
        <w:rPr>
          <w:rtl w:val="0"/>
        </w:rPr>
        <w:t xml:space="preserve">3. active_days: 0.6353</w:t>
      </w:r>
    </w:p>
    <w:p w:rsidR="00000000" w:rsidDel="00000000" w:rsidP="00000000" w:rsidRDefault="00000000" w:rsidRPr="00000000" w14:paraId="0000043D">
      <w:pPr>
        <w:spacing w:after="120" w:lineRule="auto"/>
        <w:ind w:left="360" w:hanging="360"/>
        <w:jc w:val="both"/>
        <w:rPr/>
      </w:pPr>
      <w:r>
        <w:rPr>
          <w:rtl w:val="0"/>
        </w:rPr>
        <w:t xml:space="preserve">4. clicks_28d_before_deadline: 0.5037</w:t>
      </w:r>
    </w:p>
    <w:p w:rsidR="00000000" w:rsidDel="00000000" w:rsidP="00000000" w:rsidRDefault="00000000" w:rsidRPr="00000000" w14:paraId="0000043E">
      <w:pPr>
        <w:spacing w:after="120" w:lineRule="auto"/>
        <w:ind w:left="360" w:hanging="360"/>
        <w:jc w:val="both"/>
        <w:rPr/>
      </w:pPr>
      <w:r>
        <w:rPr>
          <w:rtl w:val="0"/>
        </w:rPr>
        <w:t xml:space="preserve">5. total_clicks: 0.4769</w:t>
      </w:r>
    </w:p>
    <w:p w:rsidR="00000000" w:rsidDel="00000000" w:rsidP="00000000" w:rsidRDefault="00000000" w:rsidRPr="00000000" w14:paraId="0000043F">
      <w:pPr>
        <w:spacing w:after="120" w:lineRule="auto"/>
        <w:ind w:left="360" w:hanging="360"/>
        <w:jc w:val="both"/>
        <w:rPr/>
      </w:pPr>
      <w:r>
        <w:rPr>
          <w:rtl w:val="0"/>
        </w:rPr>
        <w:t xml:space="preserve">6. code_module = FFF: 0.3847</w:t>
      </w:r>
    </w:p>
    <w:p w:rsidR="00000000" w:rsidDel="00000000" w:rsidP="00000000" w:rsidRDefault="00000000" w:rsidRPr="00000000" w14:paraId="00000440">
      <w:pPr>
        <w:spacing w:after="120" w:lineRule="auto"/>
        <w:ind w:left="360" w:hanging="360"/>
        <w:jc w:val="both"/>
        <w:rPr/>
      </w:pPr>
      <w:r>
        <w:rPr>
          <w:rtl w:val="0"/>
        </w:rPr>
        <w:t xml:space="preserve">7. min_score: 0.3172</w:t>
      </w:r>
    </w:p>
    <w:p w:rsidR="00000000" w:rsidDel="00000000" w:rsidP="00000000" w:rsidRDefault="00000000" w:rsidRPr="00000000" w14:paraId="00000441">
      <w:pPr>
        <w:spacing w:after="120" w:lineRule="auto"/>
        <w:ind w:left="360" w:hanging="360"/>
        <w:jc w:val="both"/>
        <w:rPr/>
      </w:pPr>
      <w:r>
        <w:rPr>
          <w:rtl w:val="0"/>
        </w:rPr>
        <w:t xml:space="preserve">8. module_presentation_length: 0.2653</w:t>
      </w:r>
    </w:p>
    <w:p w:rsidR="00000000" w:rsidDel="00000000" w:rsidP="00000000" w:rsidRDefault="00000000" w:rsidRPr="00000000" w14:paraId="00000442">
      <w:pPr>
        <w:spacing w:after="120" w:lineRule="auto"/>
        <w:ind w:left="360" w:hanging="360"/>
        <w:jc w:val="both"/>
        <w:rPr/>
      </w:pPr>
      <w:r>
        <w:rPr>
          <w:rtl w:val="0"/>
        </w:rPr>
        <w:t xml:space="preserve">9. code_module = EEE: 0.1896</w:t>
      </w:r>
    </w:p>
    <w:p w:rsidR="00000000" w:rsidDel="00000000" w:rsidP="00000000" w:rsidRDefault="00000000" w:rsidRPr="00000000" w14:paraId="00000443">
      <w:pPr>
        <w:spacing w:after="120" w:lineRule="auto"/>
        <w:ind w:left="360" w:hanging="360"/>
        <w:jc w:val="both"/>
        <w:rPr/>
      </w:pPr>
      <w:r>
        <w:rPr>
          <w:rtl w:val="0"/>
        </w:rPr>
        <w:t xml:space="preserve">10. n_late_submissions: 0.1884</w:t>
      </w:r>
    </w:p>
    <w:p w:rsidR="00000000" w:rsidDel="00000000" w:rsidP="00000000" w:rsidRDefault="00000000" w:rsidRPr="00000000" w14:paraId="00000444">
      <w:pPr>
        <w:spacing w:after="120" w:lineRule="auto"/>
        <w:ind w:left="360" w:hanging="360"/>
        <w:jc w:val="both"/>
        <w:rPr/>
      </w:pPr>
      <w:r>
        <w:rPr>
          <w:rtl w:val="0"/>
        </w:rPr>
        <w:t xml:space="preserve">11. mean_days_late: 0.1502</w:t>
      </w:r>
    </w:p>
    <w:p w:rsidR="00000000" w:rsidDel="00000000" w:rsidP="00000000" w:rsidRDefault="00000000" w:rsidRPr="00000000" w14:paraId="00000445">
      <w:pPr>
        <w:spacing w:after="120" w:lineRule="auto"/>
        <w:ind w:left="360" w:hanging="360"/>
        <w:jc w:val="both"/>
        <w:rPr/>
      </w:pPr>
      <w:r>
        <w:rPr>
          <w:rtl w:val="0"/>
        </w:rPr>
        <w:t xml:space="preserve">12. code_module = DDD: 0.1173</w:t>
      </w:r>
    </w:p>
    <w:p w:rsidR="00000000" w:rsidDel="00000000" w:rsidP="00000000" w:rsidRDefault="00000000" w:rsidRPr="00000000" w14:paraId="00000446">
      <w:pPr>
        <w:spacing w:after="120" w:lineRule="auto"/>
        <w:ind w:left="360" w:hanging="360"/>
        <w:jc w:val="both"/>
        <w:rPr/>
      </w:pPr>
      <w:r>
        <w:rPr>
          <w:rtl w:val="0"/>
        </w:rPr>
        <w:t xml:space="preserve">13. highest_education = Lower Than A Level: 0.1132</w:t>
      </w:r>
    </w:p>
    <w:p w:rsidR="00000000" w:rsidDel="00000000" w:rsidP="00000000" w:rsidRDefault="00000000" w:rsidRPr="00000000" w14:paraId="00000447">
      <w:pPr>
        <w:spacing w:after="120" w:lineRule="auto"/>
        <w:ind w:left="360" w:hanging="360"/>
        <w:jc w:val="both"/>
        <w:rPr/>
      </w:pPr>
      <w:r>
        <w:rPr>
          <w:rtl w:val="0"/>
        </w:rPr>
        <w:t xml:space="preserve">14. clicks_14d_before_deadline: 0.0832</w:t>
      </w:r>
    </w:p>
    <w:p w:rsidR="00000000" w:rsidDel="00000000" w:rsidP="00000000" w:rsidRDefault="00000000" w:rsidRPr="00000000" w14:paraId="00000448">
      <w:pPr>
        <w:spacing w:after="120" w:lineRule="auto"/>
        <w:ind w:left="360" w:hanging="360"/>
        <w:jc w:val="both"/>
        <w:rPr/>
      </w:pPr>
      <w:r>
        <w:rPr>
          <w:rtl w:val="0"/>
        </w:rPr>
        <w:t xml:space="preserve">15. clicks_7d_before_deadline: 0.0684</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0.3347</w:t>
      </w:r>
    </w:p>
    <w:p w:rsidR="00000000" w:rsidDel="00000000" w:rsidP="00000000" w:rsidRDefault="00000000" w:rsidRPr="00000000" w14:paraId="0000044B">
      <w:pPr>
        <w:spacing w:after="120" w:lineRule="auto"/>
        <w:ind w:left="360" w:hanging="360"/>
        <w:jc w:val="both"/>
        <w:rPr/>
      </w:pPr>
      <w:r>
        <w:rPr>
          <w:rtl w:val="0"/>
        </w:rPr>
        <w:t xml:space="preserve">2. mean_score: 0.1065</w:t>
      </w:r>
    </w:p>
    <w:p w:rsidR="00000000" w:rsidDel="00000000" w:rsidP="00000000" w:rsidRDefault="00000000" w:rsidRPr="00000000" w14:paraId="0000044C">
      <w:pPr>
        <w:spacing w:after="120" w:lineRule="auto"/>
        <w:ind w:left="360" w:hanging="360"/>
        <w:jc w:val="both"/>
        <w:rPr/>
      </w:pPr>
      <w:r>
        <w:rPr>
          <w:rtl w:val="0"/>
        </w:rPr>
        <w:t xml:space="preserve">3. code_module = FFF: 0.1059</w:t>
      </w:r>
    </w:p>
    <w:p w:rsidR="00000000" w:rsidDel="00000000" w:rsidP="00000000" w:rsidRDefault="00000000" w:rsidRPr="00000000" w14:paraId="0000044D">
      <w:pPr>
        <w:spacing w:after="120" w:lineRule="auto"/>
        <w:ind w:left="360" w:hanging="360"/>
        <w:jc w:val="both"/>
        <w:rPr/>
      </w:pPr>
      <w:r>
        <w:rPr>
          <w:rtl w:val="0"/>
        </w:rPr>
        <w:t xml:space="preserve">4. code_module = EEE: 0.0698</w:t>
      </w:r>
    </w:p>
    <w:p w:rsidR="00000000" w:rsidDel="00000000" w:rsidP="00000000" w:rsidRDefault="00000000" w:rsidRPr="00000000" w14:paraId="0000044E">
      <w:pPr>
        <w:spacing w:after="120" w:lineRule="auto"/>
        <w:ind w:left="360" w:hanging="360"/>
        <w:jc w:val="both"/>
        <w:rPr/>
      </w:pPr>
      <w:r>
        <w:rPr>
          <w:rtl w:val="0"/>
        </w:rPr>
        <w:t xml:space="preserve">5. active_days: 0.0642</w:t>
      </w:r>
    </w:p>
    <w:p w:rsidR="00000000" w:rsidDel="00000000" w:rsidP="00000000" w:rsidRDefault="00000000" w:rsidRPr="00000000" w14:paraId="0000044F">
      <w:pPr>
        <w:spacing w:after="120" w:lineRule="auto"/>
        <w:ind w:left="360" w:hanging="360"/>
        <w:jc w:val="both"/>
        <w:rPr/>
      </w:pPr>
      <w:r>
        <w:rPr>
          <w:rtl w:val="0"/>
        </w:rPr>
        <w:t xml:space="preserve">6. clicks_28d_before_deadline: 0.0594</w:t>
      </w:r>
    </w:p>
    <w:p w:rsidR="00000000" w:rsidDel="00000000" w:rsidP="00000000" w:rsidRDefault="00000000" w:rsidRPr="00000000" w14:paraId="00000450">
      <w:pPr>
        <w:spacing w:after="120" w:lineRule="auto"/>
        <w:ind w:left="360" w:hanging="360"/>
        <w:jc w:val="both"/>
        <w:rPr/>
      </w:pPr>
      <w:r>
        <w:rPr>
          <w:rtl w:val="0"/>
        </w:rPr>
        <w:t xml:space="preserve">7. total_clicks: 0.0532</w:t>
      </w:r>
    </w:p>
    <w:p w:rsidR="00000000" w:rsidDel="00000000" w:rsidP="00000000" w:rsidRDefault="00000000" w:rsidRPr="00000000" w14:paraId="00000451">
      <w:pPr>
        <w:spacing w:after="120" w:lineRule="auto"/>
        <w:ind w:left="360" w:hanging="360"/>
        <w:jc w:val="both"/>
        <w:rPr/>
      </w:pPr>
      <w:r>
        <w:rPr>
          <w:rtl w:val="0"/>
        </w:rPr>
        <w:t xml:space="preserve">8. module_presentation_length: 0.0487</w:t>
      </w:r>
    </w:p>
    <w:p w:rsidR="00000000" w:rsidDel="00000000" w:rsidP="00000000" w:rsidRDefault="00000000" w:rsidRPr="00000000" w14:paraId="00000452">
      <w:pPr>
        <w:spacing w:after="120" w:lineRule="auto"/>
        <w:ind w:left="360" w:hanging="360"/>
        <w:jc w:val="both"/>
        <w:rPr/>
      </w:pPr>
      <w:r>
        <w:rPr>
          <w:rtl w:val="0"/>
        </w:rPr>
        <w:t xml:space="preserve">9. age_band = 55&lt;=: 0.0406</w:t>
      </w:r>
    </w:p>
    <w:p w:rsidR="00000000" w:rsidDel="00000000" w:rsidP="00000000" w:rsidRDefault="00000000" w:rsidRPr="00000000" w14:paraId="00000453">
      <w:pPr>
        <w:spacing w:after="120" w:lineRule="auto"/>
        <w:ind w:left="360" w:hanging="360"/>
        <w:jc w:val="both"/>
        <w:rPr/>
      </w:pPr>
      <w:r>
        <w:rPr>
          <w:rtl w:val="0"/>
        </w:rPr>
        <w:t xml:space="preserve">10. code_module = AAA: 0.0294</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