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In addition, the explanation stability and fidelity checks, the probability calibration analysis, and the subgroup fairness assessment specified in the methodology were not completed within the final evaluation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field's emergence from earlier traditions in educational data mining and academic analytics, arguing that its distinctiveness lies not in the data or algorithms it employs but in its explicit orientation towards improving learning. Gaševic,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Goncalves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Gaševic,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the dashboard design is based on an explicit analysis of each stakeholder role's knowledge needs, rather than a technically driven design that assumes uniform information needs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the artefact's demonstrable utility when evaluated against a well-defined problem. This position aligns closely with the intent of the present study, which contributes both a dashboard system and design guidelines derived from the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suits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This study did not include a documented iterative heuristic review with recorded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is therefore described as planned practice rather than completed infrastructure. Similarly, the codebase, the trained model artefacts, and the derived experimental data are intended for deposit in a public repository in accordance with the FAIR data principles articulated by Wilkinson et al. (2016), but this deposit is not reported as completed here.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prototype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prototype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users understand explanations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artefact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(2023)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on OULAD precisely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precisely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is positioned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identifies low assessment submission as the leading contributor to a flag,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 substantive rather than incidental requirement,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do so only as conditions, not as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consequential single finding for practical use, since the observed operating point varied substantially across the four held-out presentations, indicating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team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lets users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and it could draw on the perceived usefulness ad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