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Predictive models using LMS behavioural and assessment data have been investigated for the early identification of students at risk of failing or withdrawing. However, existing systems typically present these predictions as isolated risk scores, with little insight into the underlying reasoning and no differentiation between the needs of different institutional stakeholders. Guided by the CommonKADS knowledge engineering methodology, this study designed a dashboard that delivers explanations tailored separately to instructors, academic advisors, and administrators from a single underlying prediction system. The prototype runs in Docker and was integrated with locally hosted Moodle, through a local plugin, and Canvas, through an embedded course page.</w:t>
      </w:r>
      <w:commentRangeStart w:id="9"/>
      <w:r>
        <w:rPr>
          <w:rtl w:val="0"/>
          <w:sz w:val="23"/>
          <w:szCs w:val="23"/>
        </w:rPr>
        <w:t xml:space="preserve"/>
      </w:r>
      <w:commentRangeEnd w:id="9"/>
      <w:r>
        <w:commentReference w:id="9"/>
      </w:r>
      <w:r>
        <w:rPr>
          <w:rtl w:val="0"/>
          <w:sz w:val="23"/>
          <w:szCs w:val="23"/>
        </w:rPr>
        <w:t xml:space="preserve"/>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criterion, achieved an out-of-fold accuracy of 87.7%, a precision of 0.866, a recall of 0.909, and an F1-score of 0.887, correctly identifying most at-risk students in the held-out data. Random Forest obtained a marginally higher F1-score of 0.898. Because the features were computed over the full course presentation, these results describe retrospective classification and do not establish performance at a predefined early-warning point. SHAP and LIME agreed only partially (mean top-5 overlap 0.635), so presenting both methods side by side gives a cross-checked view of model behaviour and a basis for future practitioner evaluation.</w:t>
      </w:r>
      <w:commentRangeStart w:id="10"/>
      <w:commentRangeStart w:id="11"/>
      <w:r>
        <w:rPr>
          <w:rtl w:val="0"/>
          <w:sz w:val="23"/>
          <w:szCs w:val="23"/>
        </w:rPr>
        <w:t xml:space="preserve"/>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technical and used a secondary dataset rather than practitioners, the findings establish the technical feasibility of the approach. Its effect on practitioner trust, understanding, and intervention decisions remains to be tested in future work.</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Other studies have examined the purpose of learning analytics and the groups it is intended to support. Ferguson (2012) traces the field's emergence from earlier traditions in educational data mining and academic analytics, arguing that its distinctiveness lies not in the data or algorithms it employs but in its explicit orientation towards improving learning. Gašević,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Gašević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Gonçalves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Gašević,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Gutiérrez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(Schreiber et al., 2000). This makes it suitable for the present study, which uses LMS data to generate predictions and XAI explanations for different stakeholder roles.</w:t>
      </w:r>
    </w:p>
    <w:p w:rsidR="00000000" w:rsidDel="00000000" w:rsidP="00000000" w:rsidRDefault="00000000" w:rsidRPr="00000000" w14:paraId="000000BC">
      <w:pPr>
        <w:spacing w:after="160" w:lineRule="auto"/>
        <w:jc w:val="both"/>
        <w:rPr/>
      </w:pPr>
      <w:r>
        <w:rPr>
          <w:rtl w:val="0"/>
        </w:rPr>
        <w:t xml:space="preserve">Schreiber et al. (2000) structure CommonKADS as six models covering organisational context, tasks, agents, knowledge, communication, and system design. Each model addresses a specific design requirement in this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Gašević,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(Tsai &amp; Gašević, 2017; Leitner et al., 2019) and the stakeholder workflows reported by Kaliisa et al. (2023). It was used to describe how at-risk information currently moves between institutional roles, as set out in the following paragraph. The Task Model draws on the task decomposition proposed by Verbert et al. (2013) and was extended to include the additional tasks required for post-hoc explanations. The Agent Model is informed by the role-specific information needs identified by Kostopoulos et al. (2024) and by Haque, Islam, and Mikalef (2023),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Gašević,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Kim et al. (2024) identify the same constructs as central to how AI explanations are received, which makes them relevant to a future practitioner evaluation.</w:t>
      </w:r>
    </w:p>
    <w:p w:rsidR="00000000" w:rsidDel="00000000" w:rsidP="00000000" w:rsidRDefault="00000000" w:rsidRPr="00000000" w14:paraId="000000CA">
      <w:pPr>
        <w:spacing w:after="160" w:lineRule="auto"/>
        <w:jc w:val="both"/>
        <w:rPr/>
      </w:pPr>
      <w:r>
        <w:rPr>
          <w:rtl w:val="0"/>
        </w:rPr>
        <w:t xml:space="preserve">The study also draws on the design science paradigm described by Hevner et al. (2004), which Peffers et al. (2007)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Gašević (2017). These role-specific briefs prevent the dashboard from using the same view for all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The interface follows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The study did not conduct a formal iterative heuristic review with documented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Pedregosa et al. (2011). XGBoost was selected because of its regularised objective, sparsity-aware split finding, and out-of-core training capabilities (Chen &amp; Guestrin, 2016).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was also planned, following the software delivery practices described by Humble and Farley (2010). This testing and continuous integration pipeline is not demonstrated in this thesis and is therefore described as planned practice rather than completed infrastructure. The prototype source code is held in a version-controlled Git repository (https://github.com/daniel-larry/python-run-result), including the data preparation, model training and explanation code, the Flask API, the React dashboard, the Moodle plugin, the Docker Compose configuration, the feature dictionary, and the model manifest. The trained model and the SHAP cache are not stored in the repository; they are rebuilt from the OULAD files when the prototype is first started (Chapter 4, Section 4.11). The repository also contains an environment configuration file with test-only credentials for the local Docker services, included so that other reviewers can run the prototype without further setup; these credentials are not used in any institutional system. A formal archive of the code, trained model artefacts, and derived data with a persistent identifier, in accordance with the FAIR data principles articulated by Wilkinson et al. (2016), has not been made.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32">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required any subgroup performance differences to be reported openly. This follows the transparency principle advocated by Mitchell et al. (2019) in their model card proposal and the evidence from Yu et al. (2020)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Peffers et al. (2007). CommonKADS provides the knowledge engineering and design framework, while TAM is used only as a design lens and the Kaliisa et al. (2023)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commentRangeStart w:id="53"/>
      <w:r>
        <w:rPr>
          <w:rtl w:val="0"/>
        </w:rPr>
        <w:t xml:space="preserve"/>
      </w:r>
      <w:commentRangeEnd w:id="53"/>
      <w:r>
        <w:commentReference w:id="53"/>
      </w:r>
      <w:r>
        <w:rPr>
          <w:rtl w:val="0"/>
        </w:rPr>
        <w:t xml:space="preserve"/>
      </w:r>
    </w:p>
    <w:p w:rsidR="00000000" w:rsidDel="00000000" w:rsidP="00000000" w:rsidRDefault="00000000" w:rsidRPr="00000000" w14:paraId="0000013F">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layers change at different rates. This holds here: the feature engineering logic, the trained model,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Nielsen (1994) referred to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emphasises per-student detail because Molenaar and Knoop-van Campen (2019) show that teachers act on dashboard information at the level of the individual learner. Kaliisa and Dolonen (2022) also find that instructors prioritise summary-level alerts over granular statistical breakdowns, which is why the full attribution is reached through the reasoning trail rather than shown by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Gašević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part of the implementation, not as a deployment detail. The literature reviewed in Chapter 2 (Section 2.1) identifies institutional uptake, rather than predictive capability, as the main constraint on learning analytics. Tsai and Gašević (2017) attribute limited adoption partly to the shortage of practitioner-facing decision support, and Leitner, Ebner, and Ebner (2019) document a persistent disconnect between sophisticated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Sculley et al. (2015),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They were specified from the CommonKADS Agent Model and the dashboard design literature cited in Section 4.9 and were not validated with practitioners,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Chicco and Jurman (2020)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w:t>
      </w:r>
      <w:commentRangeStart w:id="69"/>
      <w:r>
        <w:rPr>
          <w:rtl w:val="0"/>
        </w:rPr>
        <w:t xml:space="preserve"/>
      </w:r>
      <w:commentRangeEnd w:id="69"/>
      <w:r>
        <w:commentReference w:id="69"/>
      </w:r>
      <w:r>
        <w:rPr>
          <w:rtl w:val="0"/>
        </w:rPr>
        <w:t xml:space="preserv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SHAP and TreeSHAP, used throughout Section 5.6, and Ribeiro, Singh, and Guestrin (2016) provide the basis for LIME. The top-5 instance-level overlap of 0.635 found in this study (Section 5.6) measures, for this dataset, the partial agreement these two methods are understood to produce when applied to the same model; it is not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Gašević, and Pardo (2020)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Gašević, Dawson, and Siemens (2015) frame learning analytics as a field whose value lies in connecting data to actionable decisions rather than in predictive accuracy alone, and Li, Wong, and Chan (2023)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is built on the same reasoning trail rendered at a different level of granularity, following the differentiated information-need rationale of Kaliisa and Dolonen (2022), Gutiérrez et al. (2020), and Tsai and Gašević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(Ribeiro et al., 2016; Lundberg et al., 2020) associates with more defensible trust than an opaque prediction. In addition, Brdnik, Podgorelec, and Sumak (2023),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where both are led by the count of assessments submitted, with the FFF module indicator, mean assessment score, and active days also prominent in both. At the level of individual predictions they agree only partially (mean top-5 overlap 0.635),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Gašević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rests on the traceability of the modelling process from conceptual model to operational system, not on the novelty of any single component. That is the form the contribution takes here: each interface decision can be traced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Gašević, Dawson, and Siemens (2015) argue that the value of learning analytics lies in connecting data to actionable decisions rather than in predictive accuracy alone, and Tsai and Gašević (2017) and Leitner, Ebner, and Ebner (2019)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The explanation findings therefore rest on cross-method agreement alone, the risk scores have not been shown to be calibrated, and there is no evidence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share one reasoning trail component rendered at three levels of aggregation: per-student detail for the instructor, cohort-level aggregation across students at or above the watch threshold for the advisor, and full-population aggregation for the administrator. Each view uses progressive disclosure of attribution detail, and role separation is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so approximately 86.6% of positive predictions corresponded to observations later labelled at-risk under the study’s outcome definition. A system whose flags were often wrong could not support well-founded interpretation however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interpret the reasoning trail as intended, understand more with role differentiation, and make better decisions with the dashboard than without it are questions for a study with practitioners. This thesis provides the verified technical foundation for such a study, not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commentRangeStart w:id="82"/>
      <w:r>
        <w:rPr>
          <w:rtl w:val="0"/>
        </w:rPr>
        <w:t xml:space="preserve"/>
      </w:r>
      <w:commentRangeEnd w:id="82"/>
      <w:r>
        <w:commentReference w:id="82"/>
      </w:r>
      <w:r>
        <w:rPr>
          <w:rtl w:val="0"/>
        </w:rPr>
        <w:t xml:space="preserve"/>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this study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main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XGBoost was retained for the prototype because recall was the primary selection criterion: missing a struggling student costs more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how SHAP and LIME could be integrated into a knowledge engineering pipeline to improve transparency in student at-risk prediction. The study provides a working answer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silently choosing one, is intended to make the explanations usable, because users can see where the two methods agree and where they differ.</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This would establish performance at a predefined early-warning point rather than inferring it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before the system is used to direct institutional resources. The assessment should also check whether explanation quality holds evenly across student groups.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Gašević,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Gašević,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Gašević,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