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6">
      <w:pPr>
        <w:jc w:val="center"/>
        <w:rPr/>
      </w:pP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rsidR="00000000" w:rsidDel="00000000" w:rsidP="00000000" w:rsidRDefault="00000000" w:rsidRPr="00000000" w14:paraId="0000000E">
      <w:pPr>
        <w:jc w:val="center"/>
        <w:rPr/>
      </w:pPr>
      <w:r>
        <w:rPr>
          <w:rtl w:val="0"/>
        </w:rPr>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88.0%, a precision of 0.868, a recall of 0.913, and an F1-score of 0.890, correctly identifying the large majority of at-risk students in the held-out data, while Random Forest obtained a marginally higher F1-score of 0.901.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54</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79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116</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ensures that a single predictive model supports multiple stakeholders without redundancy while improving usability and decision support.</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caching, and scheduled scoring,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containerisation strategy used for local Learning Management System (LMS) integration testing, and the prototype deployment topology across the hosting providers used.</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spacing w:after="120" w:before="120" w:lineRule="auto"/>
        <w:rPr/>
      </w:pPr>
      <w:r>
        <w:rPr>
          <w:rtl w:val="0"/>
        </w:rPr>
      </w:r>
    </w:p>
    <w:p w:rsidR="00000000" w:rsidDel="00000000" w:rsidP="00000000" w:rsidRDefault="00000000" w:rsidRPr="00000000" w14:paraId="00000147">
      <w:pPr>
        <w:spacing w:after="100" w:before="150" w:lineRule="auto"/>
        <w:jc w:val="center"/>
        <w:rPr/>
      </w:pPr>
      <w:r>
        <w:rPr/>
        <w:drawing>
          <wp:inline distB="0" distT="0" distL="0" distR="0">
            <wp:extent cx="5400675" cy="6300788"/>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300788"/>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Prior to productionisation,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production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production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production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production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 pyarrow</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parquet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Edge / gateway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Cloudflare Workers, Wrangler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Auth gateway in front of the API; role verification; Workers KV for caching nightly batch-scored cohort results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LTI / token verification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jose (JavaScript)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HS256 verification of the application's own JWTs; RS256 verification of Moodle LTI 1.3 launch tokens against a live JWKS endpoint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Hosting (frontend)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Cloudflare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Static hosting and global CDN distribution of the built frontend React application</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Hosting (backend)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Render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Hosting for the Python Flask API, given that SHAP/XGBoost require a full Python runtime unavailable in a cloudflare edge Worker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LTI 1.3 launch integration and iframe/External-URL embedding, run locally in Docker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(libjay/canvas-docker)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Local reproduction of both candidate LMS environments for integration testing prior to any prior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29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88.0% accuracy, 0.890 F1-score, and 0.964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15,702 of 17,208 genuinely at-risk students are correctly flagged (91.2% recall) and 12,994 of 15,385 not-at-risk students are correctly left unflagged (84.5% specificity), with 2,391 false positives and 1,506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independently of the Cloudflare Worker positioned in front of it, following a defence-in-depth principle: a request carrying a forwarded role header is only trusted if it is accompanied by a shared secret known only to the Worker and the API, so that role separation does not collapse to a single point of failure at the network edge.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Learning Management System integrations that do not use LTI 1.3 (covered in Section 4.9),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edge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verification path used for the application's own tokens and the RS256 verification path used for LTI launch tokens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spacing w:after="120" w:before="120" w:lineRule="auto"/>
        <w:rPr/>
      </w:pPr>
      <w:r>
        <w:rPr>
          <w:rtl w:val="0"/>
        </w:rPr>
      </w:r>
    </w:p>
    <w:p w:rsidR="00000000" w:rsidDel="00000000" w:rsidP="00000000" w:rsidRDefault="00000000" w:rsidRPr="00000000" w14:paraId="0000019B">
      <w:pPr>
        <w:spacing w:after="100" w:before="150" w:lineRule="auto"/>
        <w:jc w:val="center"/>
        <w:rPr/>
      </w:pPr>
      <w:r>
        <w:rPr/>
        <w:drawing>
          <wp:inline distB="0" distT="0" distL="0" distR="0">
            <wp:extent cx="5400675" cy="3384423"/>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384423"/>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spacing w:after="120" w:before="120" w:lineRule="auto"/>
        <w:rPr/>
      </w:pPr>
      <w:r>
        <w:rPr>
          <w:rtl w:val="0"/>
        </w:rPr>
      </w:r>
    </w:p>
    <w:p w:rsidR="00000000" w:rsidDel="00000000" w:rsidP="00000000" w:rsidRDefault="00000000" w:rsidRPr="00000000" w14:paraId="0000019E">
      <w:pPr>
        <w:spacing w:after="100" w:before="150" w:lineRule="auto"/>
        <w:jc w:val="center"/>
        <w:rPr/>
      </w:pPr>
      <w:r>
        <w:rPr/>
        <w:drawing>
          <wp:inline distB="0" distT="0" distL="0" distR="0">
            <wp:extent cx="5400675" cy="2304288"/>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304288"/>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spacing w:after="120" w:before="120" w:lineRule="auto"/>
        <w:rPr/>
      </w:pPr>
      <w:r>
        <w:rPr>
          <w:rtl w:val="0"/>
        </w:rPr>
      </w:r>
    </w:p>
    <w:p w:rsidR="00000000" w:rsidDel="00000000" w:rsidP="00000000" w:rsidRDefault="00000000" w:rsidRPr="00000000" w14:paraId="000001A1">
      <w:pPr>
        <w:spacing w:after="100" w:before="150" w:lineRule="auto"/>
        <w:jc w:val="center"/>
        <w:rPr/>
      </w:pPr>
      <w:r>
        <w:rPr/>
        <w:drawing>
          <wp:inline distB="0" distT="0" distL="0" distR="0">
            <wp:extent cx="5400675" cy="2304288"/>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2304288"/>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jc w:val="center"/>
              <w:rPr>
                <w:color w:val="000000"/>
                <w:sz w:val="18"/>
                <w:szCs w:val="18"/>
              </w:rPr>
            </w:pPr>
            <w:r>
              <w:rPr>
                <w:i w:val="1"/>
                <w:iCs w:val="1"/>
                <w:color w:val="000000"/>
                <w:sz w:val="18"/>
                <w:szCs w:val="18"/>
                <w:shd w:fill="f8f9fa" w:val="clear"/>
                <w:rtl w:val="0"/>
              </w:rPr>
              <w:t xml:space="preserve">(a) login screen</w:t>
            </w:r>
            <w:r>
              <w:rPr>
                <w:rtl w:val="0"/>
              </w:rPr>
            </w:r>
          </w:p>
          <w:p w:rsidR="00000000" w:rsidDel="00000000" w:rsidP="00000000" w:rsidRDefault="00000000" w:rsidRPr="00000000" w14:paraId="000001A5">
            <w:pPr>
              <w:spacing w:after="120" w:before="120" w:lineRule="auto"/>
              <w:rPr>
                <w:color w:val="000000"/>
              </w:rPr>
            </w:pPr>
            <w:r>
              <w:rPr>
                <w:rtl w:val="0"/>
              </w:rPr>
            </w:r>
          </w:p>
          <w:p w:rsidR="00000000" w:rsidDel="00000000" w:rsidP="00000000" w:rsidRDefault="00000000" w:rsidRPr="00000000" w14:paraId="000001A6">
            <w:pPr>
              <w:jc w:val="center"/>
              <w:rPr/>
            </w:pPr>
            <w:r>
              <w:rPr/>
              <w:drawing>
                <wp:inline distB="0" distT="0" distL="0" distR="0">
                  <wp:extent cx="2880000" cy="3024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2880000" cy="3024000"/>
                          </a:xfrm>
                          <a:prstGeom prst="rect"/>
                          <a:ln/>
                        </pic:spPr>
                      </pic:pic>
                    </a:graphicData>
                  </a:graphic>
                </wp:inline>
              </w:drawing>
            </w:r>
            <w:r>
              <w:rPr>
                <w:rtl w:val="0"/>
              </w:rPr>
            </w:r>
          </w:p>
          <w:p w:rsidR="00000000" w:rsidDel="00000000" w:rsidP="00000000" w:rsidRDefault="00000000" w:rsidRPr="00000000" w14:paraId="000001A7">
            <w:pPr>
              <w:jc w:val="center"/>
              <w:rPr/>
            </w:pPr>
            <w:r>
              <w:rPr/>
              <w:drawing>
                <wp:inline distB="0" distT="0" distL="0" distR="0">
                  <wp:extent cx="5220000" cy="2775512"/>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75512"/>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dashboard authentication and role resolution</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approximately 1.6GB unpacked, substantially smaller than the official Bitnami or MoodleHQ development images) was run locally via Docker, together with a PostgreSQL container. Because LTI 1.3 requires a publicly resolvable HTTPS endpoint, the local Moodle instance was exposed using Cloudflare Tunnel rather than a full VPS deployment, in keeping with the rest of the system's reliance on Cloudflare infrastructure. Moodle supports both a full LTI 1.3 launch (automatically communicating the launching user's role and course context to the dashboard) and a simpler iframe/External-URL embedding.</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spacing w:after="120" w:before="120" w:lineRule="auto"/>
              <w:rPr>
                <w:color w:val="000000"/>
              </w:rPr>
            </w:pPr>
            <w:r>
              <w:rPr>
                <w:rtl w:val="0"/>
              </w:rPr>
            </w:r>
          </w:p>
          <w:p w:rsidR="00000000" w:rsidDel="00000000" w:rsidP="00000000" w:rsidRDefault="00000000" w:rsidRPr="00000000" w14:paraId="000001AF">
            <w:pPr>
              <w:spacing w:before="700" w:lineRule="auto"/>
              <w:jc w:val="center"/>
              <w:rPr/>
            </w:pPr>
            <w:r>
              <w:rPr>
                <w:b w:val="1"/>
                <w:bCs w:val="1"/>
                <w:color w:val="6a737b"/>
                <w:sz w:val="22"/>
                <w:szCs w:val="22"/>
              </w:rPr>
              <w:drawing>
                <wp:inline distB="0" distT="0" distL="0" distR="0">
                  <wp:extent cx="5731510" cy="3515360"/>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515360"/>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Moodle course page with the dashboard embedded </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As with the equivalent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spacing w:after="120" w:before="120" w:lineRule="auto"/>
        <w:rPr/>
      </w:pPr>
      <w:r>
        <w:rPr>
          <w:rtl w:val="0"/>
        </w:rPr>
      </w:r>
    </w:p>
    <w:p w:rsidR="00000000" w:rsidDel="00000000" w:rsidP="00000000" w:rsidRDefault="00000000" w:rsidRPr="00000000" w14:paraId="000001B4">
      <w:pPr>
        <w:spacing w:after="200" w:lineRule="auto"/>
        <w:jc w:val="both"/>
        <w:rPr/>
      </w:pPr>
      <w:r>
        <w:rPr>
          <w:rtl w:val="0"/>
        </w:rPr>
        <w:t xml:space="preserve"/>
      </w:r>
      <w:r>
        <w:drawing>
          <wp:anchor allowOverlap="1" behindDoc="0" distB="0" distT="0" distL="114300" distR="114300" hidden="0" layoutInCell="1" locked="0" relativeHeight="0" simplePos="0">
            <wp:simplePos x="0" y="0"/>
            <wp:positionH relativeFrom="column">
              <wp:posOffset>257908</wp:posOffset>
            </wp:positionH>
            <wp:positionV relativeFrom="paragraph">
              <wp:posOffset>476737</wp:posOffset>
            </wp:positionV>
            <wp:extent cx="5731510" cy="4091940"/>
            <wp:effectExtent b="0" l="0" r="0" t="0"/>
            <wp:wrapTopAndBottom distB="0" dist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4091940"/>
                    </a:xfrm>
                    <a:prstGeom prst="rect"/>
                    <a:ln/>
                  </pic:spPr>
                </pic:pic>
              </a:graphicData>
            </a:graphic>
          </wp:anchor>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page with the dashboard embedded</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r>
        <w:rPr>
          <w:rtl w:val="0"/>
        </w:rPr>
        <w:t xml:space="preserve">In the prototype, the frontend is deployed as a static build to Cloudflare Pages.</w:t>
      </w:r>
      <w:commentRangeStart w:id="59"/>
      <w:r>
        <w:rPr>
          <w:rtl w:val="0"/>
        </w:rPr>
        <w:t xml:space="preserve"/>
      </w:r>
      <w:commentRangeEnd w:id="59"/>
      <w:r>
        <w:commentReference w:id="59"/>
      </w:r>
      <w:r>
        <w:rPr>
          <w:rtl w:val="0"/>
        </w:rPr>
        <w:t xml:space="preserve"> The Cloudflare Worker sits between the frontend and the backend API, performing authentication, role verification, and request proxying, and is deployed via Wrangler CLI. The Flask API and the Python-dependent components of the system (the trained model, SHAP/LIME computation) are hosted on Render, since these require a full Python runtime that is not available within the edge-isolate execution model used by Cloudflare Workers. A nightly scheduled job, triggered by a Cloudflare Worker Cron Trigger, calls the API's batch-scoring endpoint and caches the resulting cohort-wide risk scores in Workers KV, so that administrator- and advisor-level dashboard views are served from a cached copy rather than recomputing predictions for the full student population on every page load.</w:t>
      </w:r>
    </w:p>
    <w:p w:rsidR="00000000" w:rsidDel="00000000" w:rsidP="00000000" w:rsidRDefault="00000000" w:rsidRPr="00000000" w14:paraId="000001B8">
      <w:pPr>
        <w:spacing w:after="200" w:lineRule="auto"/>
        <w:jc w:val="both"/>
        <w:rPr/>
      </w:pPr>
      <w:r>
        <w:rPr>
          <w:rtl w:val="0"/>
        </w:rPr>
        <w:t xml:space="preserve">The separation between the nightly batch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and machine learning), JavaScript/TypeScript (edge gateway and frontend),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60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0.8804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0.8678</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0.9125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0.8896</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12,994 true negatives, 2,391 false positives, 1,506 false negatives, and 15,702 true positives. Precision is not stated numerically anywhere in Chapter 4, which reports recall and specificity; it is derivable from the Chapter 4 confusion matrix as 15,702 divided by the sum of 15,702 and 2,391, which equals 0.8678,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0.8804 indicates that the classifier assigns the correct label, at-risk or not-at-risk, to 88.0%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0.8678 means that of every 1,000 students the model flags as at-risk, approximately 868 subsequently received the at-risk outcome label used in this study and approximately 132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0.9125 means that of the 17,208 genuinely at-risk students in the held-out data, 15,702 are correctly identified by the model and 1,506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0.8896 is the harmonic mean of precision and recall and summarises the balance between the two. Because recall (0.9125) exceeds precision (0.8678)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(2,391 false positives, approximately 15.5%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0.8804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0.8678</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0.9125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0.8896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0.9053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0.9010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0.8867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0.9004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(0.9010), ahead of Gradient Boosting (0.8935) and the prototype XGBoost model (0.8896),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0.9125 against 0.9004 for Gradient Boosting and 0.8967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0.8702</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0.9114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0.9228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0.9721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0.8686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0.9175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0.8606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0.8501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0.8114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0.9238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0.8640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0.87), while the two later presentations, 2014B and 2014J, show the reverse pattern: lower precision (around 0.81 to 0.82) with markedly higher recall (up to 0.965 for 2014B). Accuracy ranges from 0.8501 (2014J) to 0.9228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60-column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2.8397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0.9127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0.6353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0.5037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0.4769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0.3847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0.3172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0.2653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0.1896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0.1884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0.1502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0.1173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0.1132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0.0832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clicks_7d_before_deadline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0.0684</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three times the mean absolute SHAP value of the second-ranked feature, mean assessment score.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-0.74 and -0.98),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(+0.8267)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This explanation was not tested statistically in this evaluation, for example through a correlation matrix, variance inflation factors, or a SHAP dependence analysis,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0.3347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0.1065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0.1059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0.0642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0.0594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0.0532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0.0487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age_band = 55&lt;=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0.0406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0.0294</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two leading features, n_assessments_submitted and mean_score, and share six further features in their respective top 10 rankings: active_days, clicks_28d_before_deadline, total_clicks, code_module = FFF, module_presentation_length, and code_module = EEE. They diverge on the remainder: SHAP's global ranking places min_score and n_late_submissions in its top 10, where LIME does not, while LIME's aggregate ranking surfaces age_band = 55&lt;= and code_module = AAA, where SHAP's global ranking does not. Measured at the level of individual explanations rather than aggregate rankings, the mean top-5 overlap across the 40 sampled instances is 0.595 (standard deviation 0.192), meaning that on average just under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0.9997 against a true label of 1, both methods identify n_assessments_submitted as the leading contributor, with SHAP additionally weighting the FFF module indicator and total clicks, and LIME's discretised condition on assessments submitted (between 1 and 5) carrying the largest local weight. For a student in module FFF, presentation 2014B, predicted at 0.0037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confirmation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w:t>
      </w:r>
      <w:r>
        <w:rPr>
          <w:rtl w:val="0"/>
        </w:rPr>
        <w:t xml:space="preserve">Every numerical claim made in Chapter 4, Section 4.6 and the caption of Figure 4.3 was reproduced in this execution. Chapter 4 states 88.0% accuracy; this execution obtained 0.8804, which rounds to 88.0%. Chapter 4 states an F1-score of 0.890; this execution obtained 0.8896, which rounds to 0.890. Chapter 4 states an AUC of 0.964; this execution obtained 0.9642. Chapter 4's Figure 4.3 caption states 91.2% recall and 84.5% specificity; this execution obtained 0.9125 and 0.8446 respectively. The confusion matrix reported in Chapter 4, [[12,994, 2,391], [1,506, 15,702]], reproduced cell for cell. The number of observations, 32,593, is identical. Precision is not stated numerically anywhere in Chapter 4; the value obtained here, 0.8678, is consistent with the confusion matrix Chapter 4 does report. This reproduction held despite the evaluation environment for this chapter using newer library versions (scikit-learn 1.9.0, xgboost 3.4.1) than the original training environment, which is a further indication that the result is robust and not an artefact of a specific software version.</w:t>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0.9642).</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Confirmed finding: the 28-day click window ranking. </w:t>
      </w:r>
      <w:r>
        <w:rPr>
          <w:rtl w:val="0"/>
        </w:rPr>
        <w:t xml:space="preserve">The project documentation asserts that the 28-day pre-deadline click window outranks raw total clicks in importance. The global TreeSHAP ranking in Table 5.4 confirms this independently: clicks_28d_before_deadline (mean |SHAP| = 0.5037) ranks above total_clicks (0.4769), while the 14-day and 7-day windows rank far lower, below several demographic and module indicators. This claim is verified by the evidence in this chapter, with the qualification about the direction of the 28-day effect discussed in Section 5.6.</w:t>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0.595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(91.3%) of genuinely at-risk students in the held-out data, and approximately 86.8%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eight of ten top features, but agree only partially at the level of individual predictions (mean top-5 overlap 0.595).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88.0% accuracy, 0.868 precision, 0.913 recall, and 0.890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explain.py, per the evaluation run log)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One limitation on reproducibility should be noted: the raw OULAD CSV files were not available for this evaluation, so the feature-engineering step that produces the feature table from raw data could not be re-executed, and that step is verified only by inspection of the code, not by re-running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0.9642)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0.9642)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0.595,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88.0% accuracy, 0.868 precision, 0.913 recall, and 0.890 F1-score out-of-fold, under a protocol that holds out entire course presentations, correctly identifying 15,702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and mean assessment score, and agree partially (mean top-5 overlap 0.595) at the level of individual predictions, which is a useful property for a dashboard designed to surface cross-checked explanations rather than a single unexamined ranking. Chapter 4's previously reported figures were independently reproduced in full, and Section 5.7 confirmed one of the project's own documented findings, that the 28-day pre-deadline click window outranks total clicks in importance,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0.8804 accuracy, 0.8678 precision, 0.9125 recall, and 0.8896 F1-score out of fold, with an AUC of 0.9642,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0.9125 exceeds precision of 0.8678,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1,506 false negatives in the confusion matrix represent students for whom the system would have provided no basis for any of the three roles to act. The 2,391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0.9010, ahead of Gradient Boosting at 0.8935 and the prototype XGBoost model at 0.8896,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0.8501 for 2014J to 0.9228 for 2013J, and the pattern of errors reversed across the dataset: the two 2013 presentations produced high precision above 0.95 with recall near 0.87, while the two 2014 presentations produced precision around 0.81 to 0.82 with recall as high as 0.9654.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60-column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2.8397 is more than three times that of the second-ranked feature, mean_score at 0.9127.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-0.74 and -0.98, so higher values push the prediction away from the at-risk class. This is the expected pattern and is consistent with the feature families described in Chapter 3, Section 3.4. The exception is clicks_28d_before_deadline, whose correlation of +0.8267 places it in the opposite direction to total_clicks and active_days. Chapter 5 identifies collinearity among the engagement counts as one possible explanation, although this was not tested statistically, and that cautious reading is retained here. The point worth drawing out is what the finding demonstrates about the value of inspecting direction alongside magnitude. The same feature ranks fourth in global importance and confirms a claim made in the project documentation, that the 28-day pre-deadline window outranks raw total clicks,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two features and share eight of their respective top ten. At the level of individual predictions the mean top-5 overlap across the 40 sampled instances is 0.595 with a standard deviation of 0.192, meaning that on average slightly fewer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0.595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0.9654 and precision fell to 0.8213,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0.9642,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using newer library versions,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2,391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later execution under newer library versions. The implemented system exists as a working artefact with role-gated views, an authentication path enforced at two layers, and tested LTI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finding, that the 28-day pre-deadline click window outranks raw total clicks, is consistent with Hlosta, Zdrahal, and Zendulka (2017), who report that windows aligned to submission dates yield stronger early-warning signals on OULAD, and it supports the deadline-anchored feature construction adopted in Chapter 3, Section 3.4 over a calendar-week alternative. The counter-intuitive sign of that feature’s contribution, discussed in Section 6.2, is a caution about interpretation rather than a contradiction of the ranking.</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0.595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60-column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0.595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0.9642, a recall of 0.9125, and a precision of 0.8678, which means that approximately 86.8%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0.595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0.8804, precision of 0.8678, recall of 0.9125, an F1 score of 0.8896, and an area under the ROC curve of 0.9642. Random Forest obtained a marginally higher F1 score (0.9010)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0.595,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49</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52</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53</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dashboard authentication and role resolution</w:t>
      </w:r>
      <w:r>
        <w:tab/>
      </w:r>
      <w:r>
        <w:t>54</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Moodle course page with the dashboard embedded</w:t>
      </w:r>
      <w:r>
        <w:tab/>
      </w:r>
      <w:r>
        <w:t>55</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page with the dashboard embedded</w:t>
      </w:r>
      <w:r>
        <w:tab/>
      </w:r>
      <w:r>
        <w:t>56</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61</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62</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63</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65</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67</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60</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62</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63</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64</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66</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68</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91</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115</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116</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9">
      <w:pPr>
        <w:spacing w:after="120" w:lineRule="auto"/>
        <w:ind w:left="2160" w:hanging="2160"/>
        <w:rPr/>
      </w:pPr>
      <w:r>
        <w:rPr>
          <w:b w:val="1"/>
          <w:bCs w:val="1"/>
          <w:rtl w:val="0"/>
        </w:rPr>
        <w:t xml:space="preserve">CDN</w:t>
      </w:r>
      <w:r>
        <w:tab/>
      </w:r>
      <w:r>
        <w:rPr>
          <w:rtl w:val="0"/>
        </w:rPr>
        <w:t xml:space="preserve">Content Delivery Network</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3FF">
      <w:pPr>
        <w:spacing w:after="120" w:lineRule="auto"/>
        <w:ind w:left="2160" w:hanging="2160"/>
        <w:rPr/>
      </w:pPr>
      <w:r>
        <w:rPr>
          <w:b w:val="1"/>
          <w:bCs w:val="1"/>
          <w:rtl w:val="0"/>
        </w:rPr>
        <w:t xml:space="preserve">JWKS</w:t>
      </w:r>
      <w:r>
        <w:tab/>
      </w:r>
      <w:r>
        <w:rPr>
          <w:rtl w:val="0"/>
        </w:rPr>
        <w:t xml:space="preserve">JSON Web Key Set</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2">
      <w:pPr>
        <w:spacing w:after="120" w:lineRule="auto"/>
        <w:ind w:left="2160" w:hanging="2160"/>
        <w:rPr/>
      </w:pPr>
      <w:r>
        <w:rPr>
          <w:b w:val="1"/>
          <w:bCs w:val="1"/>
          <w:rtl w:val="0"/>
        </w:rPr>
        <w:t xml:space="preserve">KV</w:t>
      </w:r>
      <w:r>
        <w:tab/>
      </w:r>
      <w:r>
        <w:rPr>
          <w:rtl w:val="0"/>
        </w:rPr>
        <w:t xml:space="preserve">Key-Value (Cloudflare Workers KV store)</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Items that were not recorded in the evaluation outputs available for this thesis are highlighted for completion.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1.9.0 and xgboost 3.4.1, newer than the original training environment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pyarrow, SHAP, LIME, joblib, Flask, PyJWT)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Serialised joblib pipeline (preprocessing and model) with a JSON manifest recording the training date, feature dictionary version, and evaluation metrics (Chapter 4, Section 4.6). Identifier: [To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60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2.8397</w:t>
      </w:r>
    </w:p>
    <w:p w:rsidR="00000000" w:rsidDel="00000000" w:rsidP="00000000" w:rsidRDefault="00000000" w:rsidRPr="00000000" w14:paraId="0000043B">
      <w:pPr>
        <w:spacing w:after="120" w:lineRule="auto"/>
        <w:ind w:left="360" w:hanging="360"/>
        <w:jc w:val="both"/>
        <w:rPr/>
      </w:pPr>
      <w:r>
        <w:rPr>
          <w:rtl w:val="0"/>
        </w:rPr>
        <w:t xml:space="preserve">2. mean_score: 0.9127</w:t>
      </w:r>
    </w:p>
    <w:p w:rsidR="00000000" w:rsidDel="00000000" w:rsidP="00000000" w:rsidRDefault="00000000" w:rsidRPr="00000000" w14:paraId="0000043C">
      <w:pPr>
        <w:spacing w:after="120" w:lineRule="auto"/>
        <w:ind w:left="360" w:hanging="360"/>
        <w:jc w:val="both"/>
        <w:rPr/>
      </w:pPr>
      <w:r>
        <w:rPr>
          <w:rtl w:val="0"/>
        </w:rPr>
        <w:t xml:space="preserve">3. active_days: 0.6353</w:t>
      </w:r>
    </w:p>
    <w:p w:rsidR="00000000" w:rsidDel="00000000" w:rsidP="00000000" w:rsidRDefault="00000000" w:rsidRPr="00000000" w14:paraId="0000043D">
      <w:pPr>
        <w:spacing w:after="120" w:lineRule="auto"/>
        <w:ind w:left="360" w:hanging="360"/>
        <w:jc w:val="both"/>
        <w:rPr/>
      </w:pPr>
      <w:r>
        <w:rPr>
          <w:rtl w:val="0"/>
        </w:rPr>
        <w:t xml:space="preserve">4. clicks_28d_before_deadline: 0.5037</w:t>
      </w:r>
    </w:p>
    <w:p w:rsidR="00000000" w:rsidDel="00000000" w:rsidP="00000000" w:rsidRDefault="00000000" w:rsidRPr="00000000" w14:paraId="0000043E">
      <w:pPr>
        <w:spacing w:after="120" w:lineRule="auto"/>
        <w:ind w:left="360" w:hanging="360"/>
        <w:jc w:val="both"/>
        <w:rPr/>
      </w:pPr>
      <w:r>
        <w:rPr>
          <w:rtl w:val="0"/>
        </w:rPr>
        <w:t xml:space="preserve">5. total_clicks: 0.4769</w:t>
      </w:r>
    </w:p>
    <w:p w:rsidR="00000000" w:rsidDel="00000000" w:rsidP="00000000" w:rsidRDefault="00000000" w:rsidRPr="00000000" w14:paraId="0000043F">
      <w:pPr>
        <w:spacing w:after="120" w:lineRule="auto"/>
        <w:ind w:left="360" w:hanging="360"/>
        <w:jc w:val="both"/>
        <w:rPr/>
      </w:pPr>
      <w:r>
        <w:rPr>
          <w:rtl w:val="0"/>
        </w:rPr>
        <w:t xml:space="preserve">6. code_module = FFF: 0.3847</w:t>
      </w:r>
    </w:p>
    <w:p w:rsidR="00000000" w:rsidDel="00000000" w:rsidP="00000000" w:rsidRDefault="00000000" w:rsidRPr="00000000" w14:paraId="00000440">
      <w:pPr>
        <w:spacing w:after="120" w:lineRule="auto"/>
        <w:ind w:left="360" w:hanging="360"/>
        <w:jc w:val="both"/>
        <w:rPr/>
      </w:pPr>
      <w:r>
        <w:rPr>
          <w:rtl w:val="0"/>
        </w:rPr>
        <w:t xml:space="preserve">7. min_score: 0.3172</w:t>
      </w:r>
    </w:p>
    <w:p w:rsidR="00000000" w:rsidDel="00000000" w:rsidP="00000000" w:rsidRDefault="00000000" w:rsidRPr="00000000" w14:paraId="00000441">
      <w:pPr>
        <w:spacing w:after="120" w:lineRule="auto"/>
        <w:ind w:left="360" w:hanging="360"/>
        <w:jc w:val="both"/>
        <w:rPr/>
      </w:pPr>
      <w:r>
        <w:rPr>
          <w:rtl w:val="0"/>
        </w:rPr>
        <w:t xml:space="preserve">8. module_presentation_length: 0.2653</w:t>
      </w:r>
    </w:p>
    <w:p w:rsidR="00000000" w:rsidDel="00000000" w:rsidP="00000000" w:rsidRDefault="00000000" w:rsidRPr="00000000" w14:paraId="00000442">
      <w:pPr>
        <w:spacing w:after="120" w:lineRule="auto"/>
        <w:ind w:left="360" w:hanging="360"/>
        <w:jc w:val="both"/>
        <w:rPr/>
      </w:pPr>
      <w:r>
        <w:rPr>
          <w:rtl w:val="0"/>
        </w:rPr>
        <w:t xml:space="preserve">9. code_module = EEE: 0.1896</w:t>
      </w:r>
    </w:p>
    <w:p w:rsidR="00000000" w:rsidDel="00000000" w:rsidP="00000000" w:rsidRDefault="00000000" w:rsidRPr="00000000" w14:paraId="00000443">
      <w:pPr>
        <w:spacing w:after="120" w:lineRule="auto"/>
        <w:ind w:left="360" w:hanging="360"/>
        <w:jc w:val="both"/>
        <w:rPr/>
      </w:pPr>
      <w:r>
        <w:rPr>
          <w:rtl w:val="0"/>
        </w:rPr>
        <w:t xml:space="preserve">10. n_late_submissions: 0.1884</w:t>
      </w:r>
    </w:p>
    <w:p w:rsidR="00000000" w:rsidDel="00000000" w:rsidP="00000000" w:rsidRDefault="00000000" w:rsidRPr="00000000" w14:paraId="00000444">
      <w:pPr>
        <w:spacing w:after="120" w:lineRule="auto"/>
        <w:ind w:left="360" w:hanging="360"/>
        <w:jc w:val="both"/>
        <w:rPr/>
      </w:pPr>
      <w:r>
        <w:rPr>
          <w:rtl w:val="0"/>
        </w:rPr>
        <w:t xml:space="preserve">11. mean_days_late: 0.1502</w:t>
      </w:r>
    </w:p>
    <w:p w:rsidR="00000000" w:rsidDel="00000000" w:rsidP="00000000" w:rsidRDefault="00000000" w:rsidRPr="00000000" w14:paraId="00000445">
      <w:pPr>
        <w:spacing w:after="120" w:lineRule="auto"/>
        <w:ind w:left="360" w:hanging="360"/>
        <w:jc w:val="both"/>
        <w:rPr/>
      </w:pPr>
      <w:r>
        <w:rPr>
          <w:rtl w:val="0"/>
        </w:rPr>
        <w:t xml:space="preserve">12. code_module = DDD: 0.1173</w:t>
      </w:r>
    </w:p>
    <w:p w:rsidR="00000000" w:rsidDel="00000000" w:rsidP="00000000" w:rsidRDefault="00000000" w:rsidRPr="00000000" w14:paraId="00000446">
      <w:pPr>
        <w:spacing w:after="120" w:lineRule="auto"/>
        <w:ind w:left="360" w:hanging="360"/>
        <w:jc w:val="both"/>
        <w:rPr/>
      </w:pPr>
      <w:r>
        <w:rPr>
          <w:rtl w:val="0"/>
        </w:rPr>
        <w:t xml:space="preserve">13. highest_education = Lower Than A Level: 0.1132</w:t>
      </w:r>
    </w:p>
    <w:p w:rsidR="00000000" w:rsidDel="00000000" w:rsidP="00000000" w:rsidRDefault="00000000" w:rsidRPr="00000000" w14:paraId="00000447">
      <w:pPr>
        <w:spacing w:after="120" w:lineRule="auto"/>
        <w:ind w:left="360" w:hanging="360"/>
        <w:jc w:val="both"/>
        <w:rPr/>
      </w:pPr>
      <w:r>
        <w:rPr>
          <w:rtl w:val="0"/>
        </w:rPr>
        <w:t xml:space="preserve">14. clicks_14d_before_deadline: 0.0832</w:t>
      </w:r>
    </w:p>
    <w:p w:rsidR="00000000" w:rsidDel="00000000" w:rsidP="00000000" w:rsidRDefault="00000000" w:rsidRPr="00000000" w14:paraId="00000448">
      <w:pPr>
        <w:spacing w:after="120" w:lineRule="auto"/>
        <w:ind w:left="360" w:hanging="360"/>
        <w:jc w:val="both"/>
        <w:rPr/>
      </w:pPr>
      <w:r>
        <w:rPr>
          <w:rtl w:val="0"/>
        </w:rPr>
        <w:t xml:space="preserve">15. clicks_7d_before_deadline: 0.0684</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0.3347</w:t>
      </w:r>
    </w:p>
    <w:p w:rsidR="00000000" w:rsidDel="00000000" w:rsidP="00000000" w:rsidRDefault="00000000" w:rsidRPr="00000000" w14:paraId="0000044B">
      <w:pPr>
        <w:spacing w:after="120" w:lineRule="auto"/>
        <w:ind w:left="360" w:hanging="360"/>
        <w:jc w:val="both"/>
        <w:rPr/>
      </w:pPr>
      <w:r>
        <w:rPr>
          <w:rtl w:val="0"/>
        </w:rPr>
        <w:t xml:space="preserve">2. mean_score: 0.1065</w:t>
      </w:r>
    </w:p>
    <w:p w:rsidR="00000000" w:rsidDel="00000000" w:rsidP="00000000" w:rsidRDefault="00000000" w:rsidRPr="00000000" w14:paraId="0000044C">
      <w:pPr>
        <w:spacing w:after="120" w:lineRule="auto"/>
        <w:ind w:left="360" w:hanging="360"/>
        <w:jc w:val="both"/>
        <w:rPr/>
      </w:pPr>
      <w:r>
        <w:rPr>
          <w:rtl w:val="0"/>
        </w:rPr>
        <w:t xml:space="preserve">3. code_module = FFF: 0.1059</w:t>
      </w:r>
    </w:p>
    <w:p w:rsidR="00000000" w:rsidDel="00000000" w:rsidP="00000000" w:rsidRDefault="00000000" w:rsidRPr="00000000" w14:paraId="0000044D">
      <w:pPr>
        <w:spacing w:after="120" w:lineRule="auto"/>
        <w:ind w:left="360" w:hanging="360"/>
        <w:jc w:val="both"/>
        <w:rPr/>
      </w:pPr>
      <w:r>
        <w:rPr>
          <w:rtl w:val="0"/>
        </w:rPr>
        <w:t xml:space="preserve">4. code_module = EEE: 0.0698</w:t>
      </w:r>
    </w:p>
    <w:p w:rsidR="00000000" w:rsidDel="00000000" w:rsidP="00000000" w:rsidRDefault="00000000" w:rsidRPr="00000000" w14:paraId="0000044E">
      <w:pPr>
        <w:spacing w:after="120" w:lineRule="auto"/>
        <w:ind w:left="360" w:hanging="360"/>
        <w:jc w:val="both"/>
        <w:rPr/>
      </w:pPr>
      <w:r>
        <w:rPr>
          <w:rtl w:val="0"/>
        </w:rPr>
        <w:t xml:space="preserve">5. active_days: 0.0642</w:t>
      </w:r>
    </w:p>
    <w:p w:rsidR="00000000" w:rsidDel="00000000" w:rsidP="00000000" w:rsidRDefault="00000000" w:rsidRPr="00000000" w14:paraId="0000044F">
      <w:pPr>
        <w:spacing w:after="120" w:lineRule="auto"/>
        <w:ind w:left="360" w:hanging="360"/>
        <w:jc w:val="both"/>
        <w:rPr/>
      </w:pPr>
      <w:r>
        <w:rPr>
          <w:rtl w:val="0"/>
        </w:rPr>
        <w:t xml:space="preserve">6. clicks_28d_before_deadline: 0.0594</w:t>
      </w:r>
    </w:p>
    <w:p w:rsidR="00000000" w:rsidDel="00000000" w:rsidP="00000000" w:rsidRDefault="00000000" w:rsidRPr="00000000" w14:paraId="00000450">
      <w:pPr>
        <w:spacing w:after="120" w:lineRule="auto"/>
        <w:ind w:left="360" w:hanging="360"/>
        <w:jc w:val="both"/>
        <w:rPr/>
      </w:pPr>
      <w:r>
        <w:rPr>
          <w:rtl w:val="0"/>
        </w:rPr>
        <w:t xml:space="preserve">7. total_clicks: 0.0532</w:t>
      </w:r>
    </w:p>
    <w:p w:rsidR="00000000" w:rsidDel="00000000" w:rsidP="00000000" w:rsidRDefault="00000000" w:rsidRPr="00000000" w14:paraId="00000451">
      <w:pPr>
        <w:spacing w:after="120" w:lineRule="auto"/>
        <w:ind w:left="360" w:hanging="360"/>
        <w:jc w:val="both"/>
        <w:rPr/>
      </w:pPr>
      <w:r>
        <w:rPr>
          <w:rtl w:val="0"/>
        </w:rPr>
        <w:t xml:space="preserve">8. module_presentation_length: 0.0487</w:t>
      </w:r>
    </w:p>
    <w:p w:rsidR="00000000" w:rsidDel="00000000" w:rsidP="00000000" w:rsidRDefault="00000000" w:rsidRPr="00000000" w14:paraId="00000452">
      <w:pPr>
        <w:spacing w:after="120" w:lineRule="auto"/>
        <w:ind w:left="360" w:hanging="360"/>
        <w:jc w:val="both"/>
        <w:rPr/>
      </w:pPr>
      <w:r>
        <w:rPr>
          <w:rtl w:val="0"/>
        </w:rPr>
        <w:t xml:space="preserve">9. age_band = 55&lt;=: 0.0406</w:t>
      </w:r>
    </w:p>
    <w:p w:rsidR="00000000" w:rsidDel="00000000" w:rsidP="00000000" w:rsidRDefault="00000000" w:rsidRPr="00000000" w14:paraId="00000453">
      <w:pPr>
        <w:spacing w:after="120" w:lineRule="auto"/>
        <w:ind w:left="360" w:hanging="360"/>
        <w:jc w:val="both"/>
        <w:rPr/>
      </w:pPr>
      <w:r>
        <w:rPr>
          <w:rtl w:val="0"/>
        </w:rPr>
        <w:t xml:space="preserve">10. code_module = AAA: 0.0294</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