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commentRangeStart w:id="9"/>
      <w:r>
        <w:rPr>
          <w:rtl w:val="0"/>
          <w:sz w:val="23"/>
          <w:szCs w:val="23"/>
        </w:rPr>
        <w:t xml:space="preserve"/>
      </w:r>
      <w:commentRangeEnd w:id="9"/>
      <w:r>
        <w:commentReference w:id="9"/>
      </w:r>
      <w:r>
        <w:rPr>
          <w:rtl w:val="0"/>
          <w:sz w:val="23"/>
          <w:szCs w:val="23"/>
        </w:rPr>
        <w:t xml:space="preserve"/>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commentRangeStart w:id="10"/>
      <w:commentRangeStart w:id="11"/>
      <w:r>
        <w:rPr>
          <w:rtl w:val="0"/>
          <w:sz w:val="23"/>
          <w:szCs w:val="23"/>
        </w:rPr>
        <w:t xml:space="preserve"/>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Other studies have examined the purpose of learning analytics and the groups it is intended to support. Ferguson (2012) traces the field's emergence from earlier traditions in educational data mining and academic analytics, arguing that its distinctiveness lies not in the data or algorithms it employs but in its explicit orientation towards improving learning. Gašević,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Gašević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Gonçalves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Gašević,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Gutiérrez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Gašević,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Gašević,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Gašević,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Kim et al. (2024) identify the same constructs as central to how AI explanations are received, which makes them relevant to a future practitioner evaluation.</w:t>
      </w:r>
    </w:p>
    <w:p w:rsidR="00000000" w:rsidDel="00000000" w:rsidP="00000000" w:rsidRDefault="00000000" w:rsidRPr="00000000" w14:paraId="000000CA">
      <w:pPr>
        <w:spacing w:after="160" w:lineRule="auto"/>
        <w:jc w:val="both"/>
        <w:rPr/>
      </w:pPr>
      <w:r>
        <w:rPr>
          <w:rtl w:val="0"/>
        </w:rPr>
        <w:t xml:space="preserve">The study also draws on the design science paradigm described by Hevner et al. (2004), which Peffers et al. (2007)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Gašević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The prototype source code is held in a version-controlled Git repository (https://github.com/daniel-larry/role-aware-xai-dashboard), including the data preparation, model training and explanation code, the Flask API, the React dashboard, the Moodle plugin, the Docker Compose configuration, the feature dictionary, and the model manifest. The trained model and the SHAP cache are not stored in the repository; they are rebuilt from the OULAD files when the prototype is first started (Chapter 4, Section 4.11). The repository also contains an environment configuration file with test-only credentials for the local Docker services, included so that other reviewers can run the prototype without further setup; these credentials are not used in any institutional system. A formal archive of the code, trained model artefacts, and derived data with a persistent identifier, in accordance with the FAIR data principles articulated by Wilkinson et al. (2016), has not been made.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commentRangeStart w:id="53"/>
      <w:r>
        <w:rPr>
          <w:rtl w:val="0"/>
        </w:rPr>
        <w:t xml:space="preserve"/>
      </w:r>
      <w:commentRangeEnd w:id="53"/>
      <w:r>
        <w:commentReference w:id="53"/>
      </w:r>
      <w:r>
        <w:rPr>
          <w:rtl w:val="0"/>
        </w:rPr>
        <w:t xml:space="preserve"/>
      </w:r>
    </w:p>
    <w:p w:rsidR="00000000" w:rsidDel="00000000" w:rsidP="00000000" w:rsidRDefault="00000000" w:rsidRPr="00000000" w14:paraId="0000013F">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layers change at different rates. This holds here: the feature engineering logic, the trained model,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Nielsen (1994) referred to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emphasises per-student detail because Molenaar and Knoop-van Campen (2019) show that teachers act on dashboard information at the level of the individual learner. Kaliisa and Dolonen (2022)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Gašević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Tsai and Gašević (2017) attribute limited adoption partly to the shortage of practitioner-facing decision support, and Leitner, Ebner, and Ebner (2019)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Sculley et al. (2015),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Chicco and Jurman (2020)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w:t>
      </w:r>
      <w:commentRangeStart w:id="69"/>
      <w:r>
        <w:rPr>
          <w:rtl w:val="0"/>
        </w:rPr>
        <w:t xml:space="preserve"/>
      </w:r>
      <w:commentRangeEnd w:id="69"/>
      <w:r>
        <w:commentReference w:id="69"/>
      </w:r>
      <w:r>
        <w:rPr>
          <w:rtl w:val="0"/>
        </w:rPr>
        <w:t xml:space="preserv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SHAP and TreeSHAP, used throughout Section 5.6, and Ribeiro, Singh, and Guestrin (2016) provide the basis for LIME. The top-5 instance-level overlap of 0.635 found in this study (Section 5.6) measures, for this dataset, the partial agreement these two methods are understood to produce when applied to the same model; it is not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Gašević, and Pardo (2020)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Gašević, Dawson, and Siemens (2015) frame learning analytics as a field whose value lies in connecting data to actionable decisions rather than in predictive accuracy alone, and Li, Wong, and Chan (2023)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Kaliisa and Dolonen (2022), Gutiérrez et al. (2020), and Tsai and Gašević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(Ribeiro et al., 2016; Lundberg et al., 2020) associates with more defensible trust than an opaque prediction. In addition, Brdnik, Podgorelec, and Sumak (2023),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Gašević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Gašević, Dawson, and Siemens (2015) argue that the value of learning analytics lies in connecting data to actionable decisions rather than in predictive accuracy alone, and Tsai and Gašević (2017) and Leitner, Ebner, and Ebner (2019)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commentRangeStart w:id="82"/>
      <w:r>
        <w:rPr>
          <w:rtl w:val="0"/>
        </w:rPr>
        <w:t xml:space="preserve"/>
      </w:r>
      <w:commentRangeEnd w:id="82"/>
      <w:r>
        <w:commentReference w:id="82"/>
      </w:r>
      <w:r>
        <w:rPr>
          <w:rtl w:val="0"/>
        </w:rPr>
        <w:t xml:space="preserve"/>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Gašević,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Gašević,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Gašević,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main of github.com/daniel-larry/role-aware-xai-dashboard, commit cd633ba.</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