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Pr>
          <w:rtl w:val="0"/>
        </w:rPr>
      </w:r>
    </w:p>
    <w:p w:rsidR="00000000" w:rsidDel="00000000" w:rsidP="00000000" w:rsidRDefault="00000000" w:rsidRPr="00000000" w14:paraId="00000002">
      <w:pPr>
        <w:jc w:val="center"/>
        <w:rPr/>
      </w:pPr>
      <w:r>
        <w:rPr>
          <w:rtl w:val="0"/>
        </w:rPr>
      </w:r>
    </w:p>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6">
      <w:pPr>
        <w:jc w:val="center"/>
        <w:rPr/>
      </w:pP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 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rsidR="00000000" w:rsidDel="00000000" w:rsidP="00000000" w:rsidRDefault="00000000" w:rsidRPr="00000000" w14:paraId="0000000E">
      <w:pPr>
        <w:jc w:val="center"/>
        <w:rPr/>
      </w:pPr>
      <w:r>
        <w:rPr>
          <w:rtl w:val="0"/>
        </w:rPr>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the mechanics of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with the purpose of understanding and optimising learning (Siemens &amp; Long, 2011). One of its most important applications is the early identification of students at risk of failing or withdrawing. Prior research has investigated predictive models trained on LMS behavioural logs, demographic records, and assessment histories for the early identification of these students, with the aim of affording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the question of what happens after a student is flagged as at-risk has remained largely unaddressed. Ali et al. (2023) document in their review of over 410 XAI studies, the outputs of many AI models are difficult to comprehend owing to their black-box nature. The field of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considerably because a prediction about a student’s future can directly affect both that student’s academic trajectory and the professional judgement of the instructor or advisor expected to act upon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that gap through the design and technical evaluation of</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With the increasing adoption of AI-driven student prediction systems in higher education, concerns have shifted from model accuracy to issues of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limited domain-specific frameworks extending beyond general measures such as trust (Al-Ansari, 2024). The problem addressed in this thesis is therefore framed as a design and technical research problem: how a role-aware explainable AI dashboard for at-risk student prediction can be designed, implemented, and technically evaluated, guided by a Knowledge Engineering approach grounded in the CommonKADS methodology. Because the study does not collect data from practitioners, it does not establish a demonstrated usability problem or measure practitioner decision-making; these questions are left to future practitioner-facing research.</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 for student at-risk within Learning Management System environments. The Open University Learning Analytics Dataset (OULAD) is used as the empirical basis of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The scope of this study was limited to the design and evaluation of a role-aware XAI dashboard for student at-risk prediction, focusing on higher education institutions operating LMS platforms that generate interaction log data. The primary dataset employed for model development was the publicly available OULAD dataset, capturing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sets out the limitations of the study.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field of research.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emergence of the field from earlier traditions in educational data mining and academic analytics, arguing that its distinctiveness lies not in the data or algorithms it employs but in its explicit orientation toward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one of the primary barriers to sustained adoption. Complementary evidence is provided by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inconsistently delivered. Read together with Leitner et al. (2019), this literature suggests that the effectiveness of learning analytics depends less on the sophistication of the underlying models and more on whether the resulting insights are communicated in a form that institutional actors can interpret and act upon,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The prediction of student at-risk status has attracted sustained research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the earlier findings of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increased focus on prediction within learning analytics has deep theoretical roots that are not always made explicit in the technical literature.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Deep learning approaches have also been investigated, though with mixed results relative to their computational cost. Waheed et al. (2020) trained deep artificial neural networks on OULAD and reported strong classification performance, but they also noted that the marginal accuracy gains over well-tuned ensembles were modest and did not justify the additional opacity that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treated as the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through which this becomes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borderline and adaptive variants of SMOTE have also been proposed, and Prati, Batista, and Silva (2015) describe a protocol for analysing the comparative behaviour of such treatment methods. Santos et al. (2018) further recommend that resampling occur only on the training partition of each cross-validation fold, so that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mislead practitioners into overreacting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is sensitive not only to accuracy but also to the perceived reliability of the confidence values displayed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the methodology of this study was planned;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finding SHAP most consistent for feature 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demonstrate that combining SHAP, Shapash, ELI5, and LIME with XGBoost enables fine-grained performance explanation suitable for institutional reporting, though their work stops short of evaluating how non-technical stakeholders receive and interpret such explanations.</w:t>
      </w:r>
    </w:p>
    <w:p w:rsidR="00000000" w:rsidDel="00000000" w:rsidP="00000000" w:rsidRDefault="00000000" w:rsidRPr="00000000" w14:paraId="00000098">
      <w:pPr>
        <w:spacing w:after="200" w:lineRule="auto"/>
        <w:jc w:val="both"/>
        <w:rPr/>
      </w:pPr>
      <w:r>
        <w:rPr>
          <w:rtl w:val="0"/>
        </w:rPr>
        <w:t xml:space="preserve">What is noticeably absent from all of these studies is a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The gap between what XAI techniques can deliver and what specific stakeholder roles actually require is the central research gap addressed in this study.</w:t>
      </w:r>
    </w:p>
    <w:p w:rsidR="00000000" w:rsidDel="00000000" w:rsidP="00000000" w:rsidRDefault="00000000" w:rsidRPr="00000000" w14:paraId="00000099">
      <w:pPr>
        <w:spacing w:after="200" w:lineRule="auto"/>
        <w:jc w:val="both"/>
        <w:rPr/>
      </w:pPr>
      <w:r>
        <w:rPr>
          <w:rtl w:val="0"/>
        </w:rPr>
        <w:t xml:space="preserve">The theoretical foundations of explainable AI have been the subject of previous research that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observe that the field lacks agreed evaluation protocols, leaving many claims about explanation quality difficult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specifically, Khosravi et al. (2022) map the state of explainable AI in education and identify six recurring stakeholder groups, including learners, teachers, and administrators, whose explanation needs are structurally different. Their analysis reinforces the central design proposition of this study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the question of what would have to change for a prediction to be different, which is precisely the question that a practitioner facing an intervention decision needs to answer.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finding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the dashboard development methodology of this study. Cabral et al. (2025), in a recent systematic review of AI-powered learning analytics dashboards,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the design of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 making. Bodily and Verbert (2017) offer a complementary review focused specifically on student-facing dashboards and educational recommender systems, and observe that the field has developed rich technical methods for surfacing behavioural indicators while making comparatively little progress on how those indicators should be interpreted by their intended users.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the findings of 21 empirical studies of learning analytics dashboards through a self-regulated learning lens and report that most systems are neither theoretically grounded nor evaluated against learning outcomes, with the majority of studies limiting themselves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to this call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the design of an instructor interface, an advisor interface, and an administrator interface must begin from an explicit analysis of the tasks each role performs and the knowledge each role brings to those tasks, rather than from a uniform visual template applied across roles. This is the modelling stance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have argued that the effectiveness of an explanation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and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addresses the practitioner-facing communication of predictions. The evaluation criteria across this body of work remain overwhelmingly technical, with F1-score, accuracy, and AUC dominating reporting, and with the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that of Afzaal et al. (2021), is directed at students, not at the instructors, advisors, and administrators who are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Furthermore, from a methodological standpoint,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The application of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small number of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has received limited attention in earlier research.</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has reviewed related literature on learning analytics, student at-risk prediction, explainable artificial intelligence, and learning analytics dashboard design, and has traced how each of these literatures contributes to, but does not by itself address, the design problem addressed by this study.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the critical review of these literatures has shown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 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B">
      <w:pPr>
        <w:spacing w:after="160" w:lineRule="auto"/>
        <w:jc w:val="both"/>
        <w:rPr/>
      </w:pPr>
      <w:r>
        <w:rPr>
          <w:rtl w:val="0"/>
        </w:rPr>
        <w:t xml:space="preserve">The suitability of CommonKADS for this study is further supported by applications of the methodology in educational analytics. Rodríguez-Ortiz et al. (2022) report that CommonKADS-derived models substantially improved the traceability of design decisions in a decision support system for academic performance monitoring, providing empirical support for its use in educational analytics contexts. This indicates that the methodological framework adopted here is not merely inherited from earlier expert-systems research but continues to be applied within the wider field of intelligent decision support.</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the knowledge, capabilities, and explanation needs of each stakeholder role, informing the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that the dashboard design is based on a systematic analysis of what knowledge each stakeholder role needs, rather than a technically driven design that presumes uniform information needs (Studer et al., 1998). Table 3.1 summarises how each of the six models was instantiated in this study, the evidence on which it draws, and the design decision that resulted.</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that can be checked against what the practitioner knows,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the decision each role makes, while the intervention decision remains with the practitioner.</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 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and not as an empirical framework in this study; a TAM-based practitioner evaluation is identified in Chapter 7 as future work. The research proceeds through four iterative phases: knowledge acquisition and organisation analysis; knowledge and system modelling; artifact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rather than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 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by the demonstrable utility of the artefact when evaluated against a well-defined problem. This position aligns closely with the intent of the present study, which contributes both a dashboard system and design guidelines derived from the evaluation. The iterative process proposed by Peffers et al. (2007) is adopted alongside CommonKADS. It comprises of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is used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was conducted from published literature rather than through user-based elicitation, so findings from the literature review fed into the modelling phase where an agent characterisation was refined, and outputs of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The architecture of this system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is therefore structured to separate data processing, prediction, explanation, and user interaction, ensuring that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organized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allows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which has been identified as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additionally responsible for temporal alignment of interaction records with assessment deadlines, a step that is essential for the construction of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allows the same feature pipeline to be reused for both training and inference without leakage of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the use of ensemble learning methods. Ensemble models have consistently demonstrated superior predictive performance in at-risk classification tasks (Rebelo Marcolino et al., 2025; Wang, 2025). However, their increased complexity reduces interpretability, thereby necessitating the inclusion of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both cohort-level and instance-level interpretation needs are adequately addressed.</w:t>
      </w:r>
    </w:p>
    <w:p w:rsidR="00000000" w:rsidDel="00000000" w:rsidP="00000000" w:rsidRDefault="00000000" w:rsidRPr="00000000" w14:paraId="000000F7">
      <w:pPr>
        <w:spacing w:after="160" w:lineRule="auto"/>
        <w:jc w:val="both"/>
        <w:rPr/>
      </w:pPr>
      <w:r>
        <w:rPr>
          <w:rtl w:val="0"/>
        </w:rPr>
        <w:t xml:space="preserve">The Explainability Module is implemented with two internal sub-services. The first, a global explanation service, is responsible for computing and caching TreeSHAP values (Lundberg et al., 2020) across the training population; these values underpin the cohort-level visualisations used by administrators and, at a coarser grain, by advisors. The second, a local explanation service, is responsible for generating on-demand LIME approximations for individual predictions (Ribeiro, Singh, &amp; Guestrin, 2016) and for producing a corresponding local SHAP explanation using the tree-path-dependent estimator, so that the two techniques can be compared side by side within the interface. Storing global SHAP outputs while computing LIME on demand reflects the difference in computing time between the two methods reported by Salih et al. (2024), in which SHAP has a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ensures that a single predictive model supports multiple stakeholders without redundancy while improving usability and decision support.</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 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the composition of visual components, the management of interaction state, and the translation of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namely the risk indicator, the feature attribution panel, and the cohort comparison view, each of which is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intended for heterogeneous audiences benefit from layered disclosure in which summary indicators are shown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that the Explainability Module remains agnostic to the visualisation choices made downstream.</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caching, and scheduled scoring,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Authentication and authorisation are enforced at the Presentation Layer, so that a practitioner is only ever exposed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OULAD has, in the years since its release,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The decision to adopt OULAD is therefore also a decision to situate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The use of OULAD is further justified by its scale, completeness, and ethical suitability. Its anonymised structure eliminates concerns relating to personally identifiable information, while its size supports the development of robust and generalisable models. The dataset is therefore selected on the basis of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where Withdrawn and Fail are mapped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of every observation so that cross-validation folds can be grouped by presentation, mitigating the risk of optimistic estimates arising from ignoring the panel structure of the data,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immediate screening decision supported by the classifier is binary: whether a student should be flagged for further consideration. Albreiki</w:t>
      </w:r>
      <w:commentRangeStart w:id="38"/>
      <w:r>
        <w:rPr>
          <w:rtl w:val="0"/>
        </w:rPr>
        <w:t xml:space="preserve"/>
      </w:r>
      <w:commentRangeEnd w:id="38"/>
      <w:r>
        <w:commentReference w:id="38"/>
      </w:r>
      <w:r>
        <w:rPr>
          <w:rtl w:val="0"/>
        </w:rPr>
        <w:t xml:space="preserve"> et al. (2021) report that the majority of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Feature engineering is guided by prior studies identifying submission timeliness, VLE interaction frequency, assessment performance trends, and demographic indicators as key predictors of student outcomes (Guevara-Reyes et al., 2025; Wang, 2025). The selection of these features ensures alignment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Three ensemble models are compared: Random Forest, XGBoost, and Gradient Boosting Classifier. The use of ensemble methods is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widely regarded as a strong general-purpose baseline in tabular classification. XGBoost, introduced by Chen and Guestrin (2016), applies regularised gradient boosting on decision trees and has become the reference implementation of boosting for structured data, particularly in the presence of heterogeneous feature types. Gradient Boosting Classifier, as implemented in scikit-learn following the original formulation of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that observations from the same presentation never appear in both the training and the validation partition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ROC-AUC is also recorded by the training code.</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design of the study specified several refinements to the modelling and evaluation pipeline that were not implemented in the final evaluation. They are recorded here so that this chapter describes the final method accurately while remaining transparent about the original plan. The literature motivating each refinement is reviewed in Chapter 2, Section 2.2.</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The integration of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design of the explanation subsystem is grounded in the distinction drawn by Doshi-Velez and Kim (2017)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that the resulting explanations are subjected to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demonstrate that SHAP and LIME can be manipulated by adversarial classifiers to conceal discriminatory behaviour, and although the present study does not confront an adversarial setting, the same underlying sensitivity to perturbation choices motivates the reporting of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in that they should clarify why a particular outcome was predicted rather than a plausible alternative. Explanations should be selective, in that they should surface the small number of factors that most strongly account for the outcome rather than the full attribution vector. Explanations should be social, in that they should be phrased in terms accessible to the intended recipient. The presentation layer draws on the selective and social properties by rendering per-instance explanations as signed feature attributions limited to a small number of leading features, with human-readable feature labels, at a level of aggregation suited to the associated stakeholder role. The explanations implemented in the prototype are feature attributions rather than contrastive or counterfactual explanations, and natural-language comparative statements were not implemented, so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is optimal for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the established human-computer interaction heuristics of Nielsen (1994), particularly the principles of visibility of system status, match between system and the real world, recognition rather than recall, and consistency and standards. Colour usage is designed to remain informative for practitioners with common forms of colour vision deficiency by relying on colour-blind safe palettes and by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No documented iterative heuristic review, with recorded iterations, reviewers, or severity ratings, was conducted in this study. The Nielsen (1994) criteria were instead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as the API layer, a combination selected because it allows for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authentication is implemented using JSON Web Tokens following the specification of Jones, Bradley, and Sakimura (2015). Role-based access control is enforced at the API layer as well as at the interface layer, consistent with the defence-in-depth principle articulated by Saltzer and Schroeder (1975), so that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it is therefore described as planned practice rather than as completed infrastructure. Similarly, the codebase, the trained model artefacts, and the derived experimental data are intended for deposit in a public repository in accordance with the FAIR data principles articulated by Wilkinson et al. (2016), but this deposit is not reported here as completed.</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conducted as a technical evaluation of the predictive and explanatory components against the OULAD dataset, rather than as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The findings of this evaluation are reported against a three-level evidence model that is used throughout the remainder of the thesis. Findings that were demonstrated are those measured directly in the technical evaluation, such as predictive performance and cross-method agreement. Findings supported by design are properties of the dashboard that are implemented and traceable to stated requirements and to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the avoidance of harm. In line with this argument, the design of the dashboard deliberately avoids features that would automate high-stakes decisions about students, keeping the practitioner as the final decision-maker in any intervention. Slade and Prinsloo (2013) further note that learning analytics interventions carry a risk of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namely the development of an ensemble predictive model with integrated SHAP and LIME explanations and the implementation of a role-aware dashboard delivering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is also intended to establish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frequently difficult to interpret because the systems under study are described only in general terms, leaving it unclear which interface property is responsible for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specifically, observing that architectures which treat explanation as a separate architectural component rather than as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Prior to productionisation,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production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production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production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production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understood by users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artifact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The grouping of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that reported accuracies are not straightforwardly comparable across the literature as a result. Krstajic et al. (2014) make the general form of the same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precisely because accuracy is uninformative under class imbalance, and recall as the primary criterion for selecting the prototype model, and Chicco and Jurman (2020) argue that summary metrics should be interpreted alongside the full confusion matrix rather than in place of it. Reporting recall and specificity separately, as is done above, shows the trade-off that a single threshold imposes, and it is this trade-off that the dashboard exposes to practitioners rather than resolving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visible any divergence between them, which provides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The same design decision responds to the known limitations of post-hoc explanation discussed back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is the mechanism through which that choice is made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the roles by the granularity and framing of the knowledge each requires, not by the visual vocabulary in which that knowledge is expressed,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is derived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is concerned with distributional rather than individual behaviour, in line with the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 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substantially smaller than the official Bitnami or MoodleHQ development images) was run locally via Docker, together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created by the plugin, and an Institution overview page for managers. Login, role, and course context are therefore taken from Moodle itself: an instructor sees only the students of a course they teach, and the plugin calls the API server to server with the shared service key described in Section 4.8, so that no dashboard credentials reach the browser. Access control was checked by attempting cross-role and cross-course requests, such as an instructor of module AAA opening the insights page of an FFF course, and each of these requests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and it stores these artefacts in a persistent volume, so that later restarts reuse the same model version. The out-of-fold risk scores for the full population and the global SHAP values are computed once per model version and served from this cache, so that administrator- and advisor-level dashboard views are served from a cached copy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this means that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the results obtained from evaluating this implementation against the OULAD dataset, including model performance and explanation quality, together with a discussion of what these technical findings imply for practitioner use, drawing on existing literature rather than on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The integration of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limitations of the implementation should be recorded before the evaluation is reported.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transferability of the system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 to 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completed for this chapter. Section 5.5 reports the variability of performance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predictive and explanatory components of the system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was carried out on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substantially a withdrawal predictor rather than a pure academic-failure predictor, and this qualification is carried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that some proportion of flagged students did not go on to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15,634 are correctly identified by the model and 1,574 are missed. This is the figure most directly relevant to the early-intervention rationale of the study, and it is the primary criterion for selecting the prototype model (Chapter 3, Section 3.4), because a student who is at risk but not flagged receives no benefit from the dashboard at all. The recall obtained here is higher than the precision, which indicates that, at the default 0.5 threshold, the model is somewhat more conservative about withholding an at-risk flag than it is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obtains the highest F1-score (0.8976), ahead of Gradient Boosting (0.8932) and the prototype XGBoost model (0.8867), and also obtains the highest accuracy and precision of the three, while XGBoost retains the highest recall, correctly identifying more of the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the higher F1-score of Random Forest is recorded as a relevant finding for future iterations of the pipeline, particularly if the relative priority of recall and precision were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only four groups are available for GroupKFold,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is a limitation on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This explanation was not tested statistically in this evaluation, for example through a correlation matrix, variance inflation factors, or a SHAP dependence analysis,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more highly than SHAP's global ranking does, which is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all of the findings in this section, the language used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XGBoost only, so this chapter completed the comparison directly, evaluating Random Forest and Gradient Boosting under the identical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Finding not confirmed: the 28-day click window ranking. The project documentation asserts that the 28-day pre-deadline click window outranks raw total clicks in importance. The global TreeSHAP ranking in Table 5.4 does not support this: clicks_28d_before_deadline (mean |SHAP| = 0.3111) ranks just below total_clicks (0.3819), although it ranks well above the 14-day window (0.1360), and the 7-day window falls outside the top fifteen. The claim is therefore not verified by the evidence in this chapter, and the qualification about the direction of the 28-day effect discussed in Section 5.6 applies in either case.</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reinforce that observation empirically: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Alharbi and Janarthanan (2024) conducted a PRISMA-style review of SHAP and LIME applications specifically within educational machine learning, which is the closest published analogue to the side-by-side SHAP-versus-LIME comparison in this chapter; the review's synthesis figures could not be retrieved in full from the verification source used and are not quoted numerically, but its existence supports the framing of SHAP-versus-LIME comparison as an established line of enquiry in this specific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is to the design rationale documented in Chapter 4 rather than to any quantitative finding in this chapter.</w:t>
      </w:r>
    </w:p>
    <w:p w:rsidR="00000000" w:rsidDel="00000000" w:rsidP="00000000" w:rsidRDefault="00000000" w:rsidRPr="00000000" w14:paraId="00000295">
      <w:pPr>
        <w:spacing w:after="200" w:lineRule="auto"/>
        <w:jc w:val="both"/>
        <w:rPr/>
      </w:pPr>
      <w:r>
        <w:rPr>
          <w:rtl w:val="0"/>
        </w:rPr>
        <w:t xml:space="preserve">The comparison with the greatest bearing on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(2020)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particular fitted model, which has a practical implication for the dashboard's reasoning trail: the leading contribution shown to a practitioner for most students will typically relate to assessment completion rather than to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being appropriate: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the content of what each view would show; how practitioners actually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are drawn from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is clear evidence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 4.8 and Section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primary evaluation of practitioner response is identified in Chapter 7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demonstrates that the recorded manifest metrics trace to an executable pipeline rather than to a written-in figure. The feature-engineering step is part of the same executable pipeline, which runs from the raw OULAD CSV files to the feature table, so it is covered by the same check.</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this integration is experienced as more transparent by a practitioner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it is answered by the design itself together with the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evidenced both by the design literature and by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and stable discrimination (Section 5.3, AUC 0.9624) together with the confirmed, literature-consistent feature rankings in Section 5.6 provide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completed for this chapter found Random Forest with a marginally higher F1-score than the prototype XGBoost model, a useful finding for future iterations, while XGBoost retained the highest recall of the three, which is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that it does not hold in the global ranking,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 of 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the error profile for this study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is not flagged receives nothing at all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threshold of 0.5 used throughout was not tuned to this asymmetry, and the fact that the model already leans in the useful direction at an untuned threshold is a point in favour of the pipeline rather than a design achievement of it.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with the greatest bearing on how confidently the pooled figures can be read. Accuracy ranged from 0.8456 for 2014J to 0.9161 for 2013J, and the pattern of errors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the meaning of a flag. A student flagged by this model is a student whose behavioural and assessment profile resembles that of students who withdrew or failed in the presentations the model was trained on, and withdrawal in particular is an outcome with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it was not tested. Adnan et al. (2021) address precisely this question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not sufficient, and this gap is carried into Section 6.11 as a limitation rather than presented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although this was not tested statistically, and that cautious reading is retained here. The point worth drawing out is what the finding demonstrates about the value of inspecting direction alongside magnitude. The same feature ranks sixth in global importance, just below raw total clicks,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serves as a caution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aggregate level the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the explanation of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is information about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in any case ambiguous, since a student who has already decided to withdraw will stop submitting. What the explanations establish is that the model’s output for a given student is driven by a small number of identifiable, human-readable quantities, which is a precondition for a practitioner being able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rather than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evidence available to answer it is correspondingly of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bear on this view specifically. Because assessment submission dominates the attribution, the leading contribution an instructor sees will usually concern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of a kind the gradebook does not supply,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since the model is substantially a withdrawal predictor, the flags an advisor sees are weighted towards the outcome that advising conversations are most directly concerned with, which is a student’s continued registration rather than their mark on a particular assessment. Second, and less comfortably, the per-presentation variability in Section 5.5 means the composition of an advisor’s caseload depends on the operating point of the model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are concerned with distributions rather than individuals, and the findings that matter most at this level are the aggregate ones. The between-presentation variability in Table 5.3 is arguably the single most useful piece of information the technical evaluation offers an administrator, since it indicates how much the behaviour of the model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What the administrator view must not become is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which is realised as the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What role awareness contributes, on this evidence, is a defined mapping between a technical output and the level at which each role makes decisions. That is a real contribution to the design problem, and it is one that the technical evaluation supports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is the decomposition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is the content that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would have been unlikely to do.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the quality of that knowledge depends. It had nothing to say about whether the feature window should be truncated for early warning, about which of the three candidate models should be used in the prototype, or about whether post-hoc attributions are an adequate representation of a gradient-boosted ensemble. It also does not validate the agent characterisations it produces. The Agent Model in this study was populated from published accounts of practitioner information needs rather than from knowledge elicitation with practitioners, which is the acquisition activity the methodology would ordinarily expect, and the consequence is that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Rodríguez-Ortiz et al. (2022) report a comparable traceability benefit for a CommonKADS-derived decision support system in academic performance monitoring, and the present study is consistent with that finding.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concerns what the predictive and explainability findings indicate about the technical potential of the dashboard to support practitioner interpretation and decision-making. This section addresses that question at the level of the decision-support argument, and Section 6.12 returns to the research question itself. The distinction that governs the whole discussion is that this study conducted a technical evaluation and no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What the technical evaluation </w:t>
      </w:r>
      <w:commentRangeStart w:id="74"/>
      <w:r>
        <w:rPr>
          <w:rtl w:val="0"/>
        </w:rPr>
        <w:t xml:space="preserve">demonstrated</w:t>
      </w:r>
      <w:commentRangeEnd w:id="74"/>
      <w:r>
        <w:commentReference w:id="74"/>
      </w:r>
      <w:r>
        <w:rPr>
          <w:rtl w:val="0"/>
        </w:rPr>
        <w:t xml:space="preserve"> is a set of properties of the system.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the delivery of those properties to each role in a usable form. The role-gated views, the shared reasoning trail rendered at three levels of aggregation, and the progressive disclosure of attribution detail are implemented and documented, and they are grounded in the Agent and Communication Models and in the dashboard literature reviewed in Chapter 2. The architecture makes it possible for an instructor to see why a particular student was flagged, for an advisor to see what is common across a caseload, and for an administrator to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the combination of accurate prediction and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It has not been observed in this study.</w:t>
      </w:r>
    </w:p>
    <w:p w:rsidR="00000000" w:rsidDel="00000000" w:rsidP="00000000" w:rsidRDefault="00000000" w:rsidRPr="00000000" w14:paraId="000002D8">
      <w:pPr>
        <w:spacing w:after="200" w:lineRule="auto"/>
        <w:jc w:val="both"/>
        <w:rPr/>
      </w:pPr>
      <w:r>
        <w:rPr>
          <w:rtl w:val="0"/>
        </w:rPr>
        <w:t xml:space="preserve">What has not been validated is anything concerning practitioner response. No instructor, advisor, or administrator used the system in this study. There is no evidence that practitioners trust the predictions, that they understand the reasoning trail, that they prefer one explanation method to the other, that role differentiation improves their comprehension relative to a single undifferentiated view, or that decisions taken with the dashboard differ in quality from decisions taken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design of the dashboard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Only the first two stages are performed by the system, and the dashboard is designed to support the third without taking over the fourth. The paragraphs that follow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is a statement about statistical resemblance within a particular dataset under a particular label definition, and Section 6.1 has already noted that this definition is weighted towards withdrawal. The model explanation is an attribution of that prediction to features of the input,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to alter something in the course, to record the case and wait, or to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means of checking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is checkable against independent knowledge in a way that a probability is 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should be done. The appropriate response depends on why the submissions are missing, and that is precisely what the model does not know: a student who is struggling with the material, a student managing a period of illness, and a student who has decided to leave may all present the same feature values. The explanation narrows the space of possible situations and tells the practitioner where to direct their attention. It does not select the intervention, and a system that presented attributions as though they were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knowledge the system holds. The role-aware views operationalise that division by presenting each role with the information relevant to the decision it is positioned to make while leaving the decision itself outside the system. Progressive disclosure serves the same end, in that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the differing information needs of institutional stakeholders are rarely reflected in dashboard design. The framework developed across Chapters 3 and 4 addresses all three in construction. This section considers how far the evidence supports that address.</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the parts that are inconvenient, such as the seven-point spread in accuracy across presentations and the marginally higher F1-score of a model that was not selected for the prototype. The explainability integration works at full scale, produces both global and local attributions, and the relationship between the two methods was measured rather than assumed.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the sense that the design reasoning is documented and the content they present is verified, not in the sense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So are several technical properties that bear on practical use: probability calibration was not assessed, and strong discrimination is a distinct property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framing of the problem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more general argument that choices in cross-validation, filtering, and metric selection materially change reported performance independently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is consistent with the direction of the OULAD literature, in which assessment and VLE interaction features both carry predictive weight and assessment behaviour tends to be the stronger signal (Kuzilek et al., 2017; Jin et al., 2024). Waheed et al. (2020) predict academic performance from VLE clickstream data using deep learning, which is closer in feature philosophy to the engagement side of the present feature set, though their reported figures were not independently verified for this thesis and are not compared numerically. The more specific claim, that the 28-day pre-deadline click window outranks raw total clicks, was not supported in the global ranking, where the two sit close together (0.3111 and 0.3819).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Alharbi and Janarthanan (2024) review SHAP and LIME applications specifically within educational machine learning.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is directed at students rather than at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 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explanations should be reported. The instance-level divergence between SHAP and LIME measured in Section 5.6 indicates that a single attribution method does not give a complete account of a model’s local behaviour. For practice, the implication is that systems reporting one method as the explanation are presenting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and not only how much, and that developers of such systems should expect artefacts of this kind to appear and should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in which model outputs are communicated. Throughout this study the terms contribution, attribution, and association have been used in preference to causal language, following the position set out in Chapter 3, Section 3.5. This is not only an academic convention. A reasoning trail that identifies low assessment submission as the leading contributor to a flag will be read by an instructor under time pressure,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the error profile of a model in use is a property of the cohort as well as of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into recommending actions, follows from the limits of what the attributions establish and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worked with a public benchmark dataset and no identifiable students, but a system of this kind,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 since a model with strong aggregate performance may distribute its errors unevenly. The second is that access control is a substantive rather than an incidental requirement, which is the reasoning behind enforcing role separation at both the edge and the API in Chapter 4, Section 4.8: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The findings of this study were obtained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on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 of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a more common and differently motivated event. Since withdrawals account for 59 per cent of the positive class here, the target variable is partly a reflection of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rather than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the fitted model, the attribution rankings, and the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with cohorts held out, and enough ongoing data to retrain as cohorts change. It would need the three roles to exist in a recognisable form, since an institution where advising is carried out by the teaching staff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bear on it only as conditions and not as conclusions. Higher education across the continent is not a single context, and institutions differ widely in LMS adoption, in the completeness of the interaction data their systems retain, in the availability of computing infrastructure and technical staff, and in their data governance arrangements. This study gathered no evidence about any of them.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with the most direct bearing on the early-warning purpose that motivates this line of research. As Section 6.1 set out, the features were computed over the full course presentation, so the evaluation establishes retrospective classification using the available OULAD feature set and does not establish performance at a predefined early-warning point. Every statement in this chapter about identifying students who may be at risk should be read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 further element, in that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The transparency is about the model and not about the causes of student outcomes, for the reasons given in Section 6.2, and whether the resulting interface is experienced as more transparent by a practitioner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contributes to the answer by confirming that the content these views render is sound, since the attributions every view ultimately displays were shown to be reproducible and traceable, and by identifying content each role specifically needs, most notably the between-cohort variability that determines the current operating point. What the study cannot claim is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and fully traceable specification, offered as a candidate for empirical validation rather than as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which gives a practitioner the means to test a flag against what they independently know rather than only to accept or reject it. The measured partial agreement between the two methods may, in addition,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What the evidence establishes is therefore that the technical preconditions for supporting practitioner interpretation and decision-making are in place, meaning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turned on the conditions of the evaluation rather than on the size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retrospective separability rather than early-warning capability is what the figures establish. The variability across the four presentations is the most consequential single finding for practical use, since the observed operating point varied substantially across the four held-out presentations, which indicates that it is a property of the cohort as well as of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value of the framework in this study was traceability from institutional context through task decomposition and agent characterisation to interface granularity, and that this produced three differentiated views sharing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sets out the contributions of the work and the directions it opens up. The purpose is not to repeat earlier material but to give a clear account of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on its own changes little. A tutor told that a student has a 70 per cent chance of failing needs to know why the model reached that view, whether the reason is something that can be acted on, and what a sensible next step would be. This study supplies an explanation of why the model reached its prediction alongside the prediction itself; it does not establish recommended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designed and implemented a role-aware explainable analytics system for predicting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 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scope of the study.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at what moment.</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level of system construction.</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 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is designed to allow users to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 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with allocating limited resources and spotting where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technical potential of the dashboard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prediction and explanation can be delivered together in a single system rather than treated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the responsibilities and questions of different users, and documents how those views were arrived at.</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 specific views are read in practice and how the explanations shape action, and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other modes of study, extending the reach of the design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deployment against live activity data opens questions of timing, drift, and refresh that a retrospective dataset cannot expose, and addressing these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model that performs well to the person who has to act on its output, and it approached this by treating prediction, explanation, and role as one design problem rather than three. The model performed strongly on retrospective classification, the explanations were coherent and consistent with what is known about study behaviour, and the dashboard presents both at the level of aggregation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C">
      <w:pPr>
        <w:spacing w:after="160" w:lineRule="auto"/>
        <w:ind w:left="720" w:hanging="720"/>
        <w:jc w:val="both"/>
        <w:rPr/>
      </w:pPr>
      <w:r>
        <w:rPr>
          <w:rtl w:val="0"/>
        </w:rPr>
        <w:t xml:space="preserve">Alharbi, A., &amp; Janarthanan, M. (2024). SHAP-centric interpretability in educational machine learning: A PRISMA systematic review of SHAP and LIME. Letters in Biomathematics.</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(2020). Prediction of at-risk students using learning analytics: A literature review. Hong Kong Metropolitan University.</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C">
      <w:pPr>
        <w:spacing w:after="160" w:lineRule="auto"/>
        <w:ind w:left="720" w:hanging="720"/>
        <w:rPr/>
      </w:pPr>
      <w:r>
        <w:rPr>
          <w:rtl w:val="0"/>
        </w:rPr>
        <w:t xml:space="preserve">Rodríguez-Ortiz, C. E., Sánchez-Torres, J. M., &amp; Rueda-Rueda, J. S. (2022). Knowledge engineering approach for decision support systems in academic performance monitoring. Journal of Intelligent &amp; Fuzzy Systems, 42(3), 2381–2393. https://doi.org/10.3233/JIFS-211603</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87</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production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