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pPr>
        <w:spacing w:before="240" w:after="240"/>
        <w:jc w:val="center"/>
      </w:pPr>
      <w:r>
        <w:drawing>
          <wp:inline distT="0" distB="0" distL="0" distR="0">
            <wp:extent cx="1733550" cy="1733550"/>
            <wp:effectExtent l="0" t="0" r="0" b="0"/>
            <wp:docPr id="9003" name="AUN logo" descr="American University of Nigeria logo"/>
            <wp:cNvGraphicFramePr/>
            <a:graphic>
              <a:graphicData uri="http://schemas.openxmlformats.org/drawingml/2006/picture">
                <pic:pic>
                  <pic:nvPicPr>
                    <pic:cNvPr id="9003" name="aun_logo.png"/>
                    <pic:cNvPicPr/>
                  </pic:nvPicPr>
                  <pic:blipFill>
                    <a:blip r:embed="rId9002"/>
                    <a:stretch>
                      <a:fillRect/>
                    </a:stretch>
                  </pic:blipFill>
                  <pic:spPr>
                    <a:xfrm>
                      <a:off x="0" y="0"/>
                      <a:ext cx="1733550" cy="1733550"/>
                    </a:xfrm>
                    <a:prstGeom prst="rect">
                      <a:avLst/>
                    </a:prstGeom>
                  </pic:spPr>
                </pic:pic>
              </a:graphicData>
            </a:graphic>
          </wp:inline>
        </w:drawing>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Predictive models using LMS behavioural and assessment data have been investigated for the early identification of students at risk of failing or withdrawing. However, existing systems typically present these predictions as isolated risk scores, with little insight into the underlying reasoning and no differentiation between the needs of different institutional stakeholders. Guided by the CommonKADS knowledge engineering methodology, this study designed a dashboard that delivers explanations tailored separately to instructors, academic advisors, and administrators from a single underlying prediction system. The prototype runs in Docker and was integrated with locally hosted Moodle, through a local plugin, and Canvas, through an embedded course page.</w:t>
      </w:r>
      <w:commentRangeStart w:id="9"/>
      <w:r>
        <w:rPr>
          <w:rtl w:val="0"/>
          <w:sz w:val="23"/>
          <w:szCs w:val="23"/>
        </w:rPr>
        <w:t xml:space="preserve"/>
      </w:r>
      <w:commentRangeEnd w:id="9"/>
      <w:r>
        <w:commentReference w:id="9"/>
      </w:r>
      <w:r>
        <w:rPr>
          <w:rtl w:val="0"/>
          <w:sz w:val="23"/>
          <w:szCs w:val="23"/>
        </w:rPr>
        <w:t xml:space="preserve"/>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criterion, achieved an out-of-fold accuracy of 87.7%, a precision of 0.866, a recall of 0.909, and an F1-score of 0.887, correctly identifying most at-risk students in the held-out data. Random Forest obtained a marginally higher F1-score of 0.898. Because the features were computed over the full course presentation, these results describe retrospective classification and do not establish performance at a predefined early-warning point. SHAP and LIME agreed only partially (mean top-5 overlap 0.635), so presenting both methods side by side gives a cross-checked view of model behaviour and a basis for future practitioner evaluation.</w:t>
      </w:r>
      <w:commentRangeStart w:id="10"/>
      <w:commentRangeStart w:id="11"/>
      <w:r>
        <w:rPr>
          <w:rtl w:val="0"/>
          <w:sz w:val="23"/>
          <w:szCs w:val="23"/>
        </w:rPr>
        <w:t xml:space="preserve"/>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technical and used a secondary dataset rather than practitioners, the findings establish the technical feasibility of the approach. Its effect on practitioner trust, understanding, and intervention decisions remains to be tested in future work.</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56</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60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80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114</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117</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growth of digital technology has changed how higher education institutions deliver and manage learning. Learning Management Systems (LMS) such as Moodle, Canvas, and Blackboard (Kuzilek et al., 2017) now support course delivery, assessment submission, and communication between students and instructors at scale. The use of these systems increased substantially during the COVID-19 pandemic, when many universities moved their teaching online. This also made much larger amounts of student behavioural data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to understand and optimise learning (Siemens &amp; Long, 2011). One of its most important applications is the early identification of students at risk of failing or withdrawing. Prior research has investigated predictive models trained on LMS behavioural logs, demographic records, and assessment histories to identify these students early, giving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advances, less attention has been given to what happens after a student is identified as being at risk. Ali et al. (2023), in their review of over 410 XAI studies, note that many AI model outputs are difficult to comprehend because of their black-box nature. Explainable AI (XAI) addresses this limitation through techniques such as SHapley Additive exPlanations (SHAP) and Local Interpretable Model-agnostic Explanations (LIME), which enable practitioners to identify the features that drove a particular prediction. This transparency is important in education because a prediction about a student can shape both that student’s academic path and the judgement of the instructor or advisor who acts 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provides role-specific explanations from a single prediction system (Afzaal et al., 2021; Cabral et al., 2025; Kaliisa et al., 2023; Susnjak et al., 2022). This study addressed this gap by designing and technically evaluating</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As AI-driven student prediction systems become more widely adopted in higher education, concerns have shifted from model accuracy to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The problem is further complicated by the different information needs of institutional stakeholders. The literature suggests that explanations should reflect the user’s role and level of expertise (Haque et al., 2023; Kostopoulos et al., 2024), yet current dashboards rarely support role-specific perspectives. Evaluation of explainable AI in education is also still developing, with few domain-specific frameworks that go beyond general measures such as trust (Al-Ansari, 2024). This thesis therefore treats the problem as both a design and a technical research problem. It focuses on designing, implementing, and technically evaluating a role-aware explainable AI dashboard for at-risk student prediction, guided by the CommonKADS knowledge engineering methodology. Because no practitioner data were collected, the study does not directly measure usability or practitioner decision-making; future practitioner-facing research should address these questions.</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how a role-aware explainable artificial intelligence dashboard can support at-risk student prediction within Learning Management System environments. The Open University Learning Analytics Dataset (OULAD) serves as the empirical basis for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review the literature on predictive features, machine learning models, and XAI techniques used for student at-risk prediction in LMS environments, and to identify the knowledge engineering and design principles relevant to role-aware dashboard development.</w:t>
      </w:r>
      <w:commentRangeStart w:id="20"/>
      <w:r>
        <w:rPr>
          <w:rtl w:val="0"/>
        </w:rPr>
        <w:t xml:space="preserve"/>
      </w:r>
      <w:commentRangeEnd w:id="20"/>
      <w:r>
        <w:commentReference w:id="20"/>
      </w:r>
      <w:r>
        <w:rPr>
          <w:rtl w:val="0"/>
        </w:rPr>
        <w:t xml:space="preserve"/>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that provides different explanatory views for instructors, academic advisors, and administrators, and to technically evaluate the underlying prediction and explanation components using OULAD.</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contributes to research on explainable AI, learning analytics, and knowledge engineering by developing a role-aware XAI dashboard for student risk prediction in higher education and evaluating its predictive and explanatory behaviour. The study makes the following contributions:</w:t>
      </w:r>
    </w:p>
    <w:p w:rsidR="00000000" w:rsidDel="00000000" w:rsidP="00000000" w:rsidRDefault="00000000" w:rsidRPr="00000000" w14:paraId="0000007A">
      <w:pPr>
        <w:spacing w:after="160" w:lineRule="auto"/>
        <w:jc w:val="both"/>
        <w:rPr/>
      </w:pPr>
      <w:r>
        <w:rPr>
          <w:rtl w:val="0"/>
        </w:rPr>
        <w:t xml:space="preserve">1. A role-aware XAI dashboard architecture that differentiates SHAP and LIME explanations across instructor, advisor, and administrator interfaces within a single LMS-integrated prediction system, guided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and compared with results reported in previous studies. The evaluation also examines the agreement between SHAP and LIME explanations.</w:t>
      </w:r>
    </w:p>
    <w:p w:rsidR="00000000" w:rsidDel="00000000" w:rsidP="00000000" w:rsidRDefault="00000000" w:rsidRPr="00000000" w14:paraId="0000007C">
      <w:pPr>
        <w:spacing w:after="160" w:lineRule="auto"/>
        <w:jc w:val="both"/>
        <w:rPr/>
      </w:pPr>
      <w:r>
        <w:rPr>
          <w:rtl w:val="0"/>
        </w:rPr>
        <w:t xml:space="preserve">3. Technical evidence on model performance and SHAP/LIME explanation behaviour using OULAD, including the level of agreement and divergence between the two explanation methods. These findings provide a basis for future studies of practitioner trust, interpretation, and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These guidelines can be evaluated with practitioners in future research.</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This study was limited to designing and evaluating a role-aware XAI dashboard for student at-risk prediction, focusing on higher education institutions using LMS platforms that generate interaction log data. The primary dataset used for model development was the publicly available OULAD dataset, which captures 32,593 student-module-presentation observations across 22 module presentations at the Open University (Kuzilek et al., 2017). The modelling component focused on binary classification of students as at risk or not at risk using behavioural and demographic features available from the LMS. Because the features were calculated using data from the full course presentation, the evaluation is retrospective. It therefore does not show how well the model would perform at a specific early-warning point during a course.</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suitability of the role-specific design are therefore based on existing literature rather than on a user study with practitioners,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The study has several limitations. It did not collect primary data from practitioners, so trust, usability, and decision quality could not be evaluated directly. It also relied on the OULAD dataset, whose demographic and institutional context may not represent other educational settings. As a result, the performance of the role-specific design in actual practice remains untested. The final evaluation also did not include the planned explanation stability and fidelity checks, probability calibration analysis, or subgroup fairness assessment (Chapter 3, Section 3.4.1). The findings are therefore presented according to three levels of evidence: what was demonstrated through technical evaluation, what is supported by the design, and what remains untested.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reviews the literature on learning analytics, at-risk student prediction, explainable AI, and role-aware dashboard design, and presents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presents the results of the technical evaluation of the predictive model and the SHAP/LIME components using the OULAD dataset. Chapter 6 discusses the findings in relation to previous research, revisits the research questions, and sets out the study’s limitations.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research field. Despite this development, prediction-focused learning analytics research has given less attention to the human, ethical, and pedagogical issues involved in institutional use.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dashboards should treat practitioners as active users rather than passive recipients of algorithmic outputs. This view supports the role-aware approach adopted in this study.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(2019)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show that predictive modelling has advanced considerably, while less attention has been given to communicating predictions according to the different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Other studies have examined the purpose of learning analytics and the groups it is intended to support. Ferguson (2012) traces the field's emergence from earlier traditions in educational data mining and academic analytics, arguing that its distinctiveness lies not in the data or algorithms it employs but in its explicit orientation towards improving learning. Gaševic, Dawson, and Siemens (2015) similarly argue that predictive tools have developed faster than the pedagogical foundations needed to guide their use,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Thüs (2012) provides a useful conceptual framework for situating this study within the wider field. Their four-dimensional taxonomy considers the data and environments analysed, the stakeholders involved, the objectives pursued, and the methods used. It therefore treats stakeholder differences as a central design concern. Viberg, Hatakka, Bälter,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supports the problem addressed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Gaševic (2017) synthesise policy-level evidence from European and Australasian universities and identify a persistent shortage of practitioner-facing decision support as a primary barrier to sustained adoption. Complementary evidence comes from Larrabee Sønderlund, Hughes, and Smith (2019), whose systematic review of learning analytics interventions concludes that the empirical case for improved learner outcomes remains modest, largely because the interventions triggered by analytical insights are inconsistently designed and delivered. Together with Leitner et al. (2019), these studies suggest that effective learning analytics depends not only on model sophistication but also on whether institutional users can understand and act on the resulting insights. This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Research on predicting student at-risk status has attracted sustained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are consistent with Jin et al. (2024), who found that ensemble gradient boosting models are common in recent OULAD research.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Together, these reviews show a gap between the ability to predict at-risk students and the ability to communicate those predictions to practitioners.</w:t>
      </w:r>
    </w:p>
    <w:p w:rsidR="00000000" w:rsidDel="00000000" w:rsidP="00000000" w:rsidRDefault="00000000" w:rsidRPr="00000000" w14:paraId="00000091">
      <w:pPr>
        <w:spacing w:after="200" w:lineRule="auto"/>
        <w:jc w:val="both"/>
        <w:rPr/>
      </w:pPr>
      <w:r>
        <w:rPr>
          <w:rtl w:val="0"/>
        </w:rPr>
        <w:t xml:space="preserve">The growing focus on prediction within learning analytics has deep theoretical roots that the technical literature does not always make explicit.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(2019) show the relationship by demonstrating that clickstream indicators of engagement, submission timeliness, and forum participation align closely with Tinto's academic integration dimension and yield reliable early warnings on the OULAD dataset. This theoretical background helps identify which behavioural features have pedagogical meaning and should therefore be included in the explanation views.</w:t>
      </w:r>
    </w:p>
    <w:p w:rsidR="00000000" w:rsidDel="00000000" w:rsidP="00000000" w:rsidRDefault="00000000" w:rsidRPr="00000000" w14:paraId="00000092">
      <w:pPr>
        <w:spacing w:after="200" w:lineRule="auto"/>
        <w:jc w:val="both"/>
        <w:rPr/>
      </w:pPr>
      <w:r>
        <w:rPr>
          <w:rtl w:val="0"/>
        </w:rPr>
        <w:t xml:space="preserve">Previous studies have examined several types of algorithms for at-risk prediction and report some consistent findings.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Researchers have also investigated deep learning approaches, though results are mixed relative to their computational cost. Waheed et al. (2020) trained deep artificial neural networks on OULAD and reported strong classification performance, but noted that the marginal accuracy gains over well-tuned ensembles were modest and did not justify the additional opacity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findings suggest that predictive accuracy alone is not sufficient when selecting models for institutional use. Interpretability and the ability to provide explanations should also be considered.</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These studies suggest that aggregate accuracy results on OULAD should be interpreted with caution. An operational dashboard should also provide enough detail for practitioners to identify and question differences in model performance across groups. The role-aware explanation design pursued in this study is one mechanism that makes this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Naive oversampling can amplify noise near class boundaries. For this reason, researchers have proposed borderline and adaptive variants of SMOTE. Prati, Batista, and Silva (2015) describe a protocol for comparing these approaches. Santos et al. (2018) further recommend resampling only on the training partition of each cross-validation fold, so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lead practitioners to overreact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depends not only on accuracy but also on the perceived reliability of the confidence values shown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planning the study's methodology;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become increasingly important as high-accuracy models are adopted in education. The educational setting also presents particular challenges because model outputs may influence decisions about students. Arrieta et al. (2020) reviewed more than 400 papers and distinguished between interpretable models and explanation techniques. They argue that the choice between these approaches depends on the deployment context and the expertise of the intended user, a distinction that earlier XAI surveys by Gunning and Aha (2019) did not address in depth.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and found SHAP most consistent for feature-attribution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show that combining SHAP, Shapash, ELI5, and LIME with XGBoost enables fine-grained performance explanations suitable for institutional reporting, though their work stops short of evaluating how non-technical stakeholders receive and interpret these explanations.</w:t>
      </w:r>
    </w:p>
    <w:p w:rsidR="00000000" w:rsidDel="00000000" w:rsidP="00000000" w:rsidRDefault="00000000" w:rsidRPr="00000000" w14:paraId="00000098">
      <w:pPr>
        <w:spacing w:after="200" w:lineRule="auto"/>
        <w:jc w:val="both"/>
        <w:rPr/>
      </w:pPr>
      <w:r>
        <w:rPr>
          <w:rtl w:val="0"/>
        </w:rPr>
        <w:t xml:space="preserve">However, these studies give limited attention to how explanations should be presented to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This study focuses on the gap between the explanations produced by XAI methods and the different information needs of stakeholder roles.</w:t>
      </w:r>
    </w:p>
    <w:p w:rsidR="00000000" w:rsidDel="00000000" w:rsidP="00000000" w:rsidRDefault="00000000" w:rsidRPr="00000000" w14:paraId="00000099">
      <w:pPr>
        <w:spacing w:after="200" w:lineRule="auto"/>
        <w:jc w:val="both"/>
        <w:rPr/>
      </w:pPr>
      <w:r>
        <w:rPr>
          <w:rtl w:val="0"/>
        </w:rPr>
        <w:t xml:space="preserve">Previous research on the theoretical foundations of explainable AI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ideas are relevant to this study because a role-aware dashboard must consider both which explanations to display and what type of interpretability each stakeholder needs.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note that the field lacks agreed evaluation protocols, making many claims about explanation quality hard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Khosravi et al. (2022) map the state of explainable AI in education and identify six recurring stakeholder groups, including learners, teachers, and administrators, whose explanation needs differ structurally. Their analysis reinforces this study's central design proposition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provide empirical support for designing explanations according to the needs of different users.</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what would have to change for a prediction to differ, which is precisely what a practitioner facing an intervention decision needs to know. Susnjak, Ramaswami, and Mathrani (2022) integrate counterfactual reasoning into a learner-facing dashboard that is deployed for trials at a higher education institution, but their design addresses a single stakeholder group. The literature therefore shows that counterfactual explanations are technically useful in education, but their presentation for different stakeholder roles remains underexplored.</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and find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this study's dashboard development methodology. In a recent systematic review of AI-powered learning analytics dashboards, Cabral et al. (2025)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designing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studies reviewed above form part of a longer effort to understand and organise the design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decision-making. Bodily and Verbert (2017) offer a complementary review focused on student-facing dashboards and educational recommender systems, and observe that the field has developed rich technical methods for surfacing behavioural indicators while making comparatively little progress on how intended users should interpret those indicators. Together with the more recent review by Cabral, Pinto, and Goncalves (2025), these earlier reviews show that explaining analytical outputs has remained a limitation in dashboard research.</w:t>
      </w:r>
    </w:p>
    <w:p w:rsidR="00000000" w:rsidDel="00000000" w:rsidP="00000000" w:rsidRDefault="00000000" w:rsidRPr="00000000" w14:paraId="000000A1">
      <w:pPr>
        <w:spacing w:after="200" w:lineRule="auto"/>
        <w:jc w:val="both"/>
        <w:rPr/>
      </w:pPr>
      <w:r>
        <w:rPr>
          <w:rtl w:val="0"/>
        </w:rPr>
        <w:t xml:space="preserve">Empirical studies of dashboard effectiveness have reported similar limitations. Matcha, Gaševic, and Pardo (2020) synthesise findings from 21 empirical studies of learning analytics dashboards through a self-regulated learning lens and report that most systems are neither theoretically grounded nor evaluated against learning outcomes, with most studies limited to usability measurement or short-term satisfaction surveys. Sedrakyan, Malmberg, Verbert, Järvelä, and Kirschner (2020) argue that this limited evaluation is partly related to treating dashboards as reporting tools rather than as part of a wider feedback process, and they call for designs that explicitly model how analytical outputs enter the practitioner's decision-making process. The study responds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suggests that each interface should be designed around the tasks and knowledge of its intended role, rather than using the same template for all users. This modelling stance is adopted throughout this study.</w:t>
      </w:r>
    </w:p>
    <w:p w:rsidR="00000000" w:rsidDel="00000000" w:rsidP="00000000" w:rsidRDefault="00000000" w:rsidRPr="00000000" w14:paraId="000000A6">
      <w:pPr>
        <w:spacing w:after="200" w:lineRule="auto"/>
        <w:jc w:val="both"/>
        <w:rPr/>
      </w:pPr>
      <w:r>
        <w:rPr>
          <w:rtl w:val="0"/>
        </w:rPr>
        <w:t xml:space="preserve">Human-centred XAI research supports this principle from another perspective. Liao &amp; Varshney (2022) and Ehsan et al. (2021) argue that an explanation's effectiveness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Gutierrez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issues together in a checklist covering stakeholder involvement, design, and evaluation. This checklist informs both the design and evaluation of the present study.</w:t>
      </w:r>
    </w:p>
    <w:p w:rsidR="00000000" w:rsidDel="00000000" w:rsidP="00000000" w:rsidRDefault="00000000" w:rsidRPr="00000000" w14:paraId="000000A8">
      <w:pPr>
        <w:spacing w:after="200" w:lineRule="auto"/>
        <w:jc w:val="both"/>
        <w:rPr/>
      </w:pPr>
      <w:r>
        <w:rPr>
          <w:rtl w:val="0"/>
        </w:rPr>
        <w:t xml:space="preserve">The studies reviewed show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addresses this gap by combining the CommonKADS Agent and Communication Models with the Kaliisa et al. (2023) design checklist. This provides a structured way to move from stakeholder analysis to role-specific interface content.</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identifies a gap at the intersection of student at-risk prediction, explainable AI, and role-aware learning analytics dashboard design. Several specific,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 although ensemble models have achieved high accuracy on OULAD and similar datasets (Guevara-Reyes et al., 2025; Jin et al., 2024; Rebelo Marcolino et al., 2025; Wang, 2025), the reviewed studies give limited attention to how their predictions are communicated to practitioners. Evaluation in this area remains largely technical, with accuracy, F1-score, and AUC commonly reported, while the interpretability of model outputs receives less attention.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that post-hoc explanation methods can be used in educational settings, but gives less attention to how explanations should differ between institutional stakeholder roles. The only role-specific XAI dashboard identified in the literature reviewed for this study, Afzaal et al. (2021), targets students, not the instructors, advisors, and administrators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The knowledge engineering aspect of XAI dashboard development has also received limited attention. In particular, existing studies have given little attention to how SHAP and LIME outputs can be represented as knowledge and delivered differently to different stakeholder roles. This can be viewed as a knowledge engineering problem. Applying a structured knowledge engineering methodology such as CommonKADS (Schreiber et al., 2000) to this context provides the methodological contribution of the study.</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largely generic and give limited attention to differences in trust, understanding, and decision quality across LMS stakeholder groups. This study addresses these issues through a technically evaluated artefact and a proposed framework for future expert validation. The dashboard is designed around different stakeholder roles and the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Taken together, these five gaps point to a broader problem. Technical, methodological, and evaluation work has often developed separately, and the few studies that combine them generally focus on a single stakeholder group. This study therefore designs the predictive model, explanation layer, role-aware interface, and evaluation framework against a common knowledge engineering specification. Based on these findings, the study extends previous work by bringing these areas together to address a gap that earlier research has given limited attention to.</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reviewed research on learning analytics, student at-risk prediction, explainable AI, and learning analytics dashboard design. The review showed how these areas contribute to the problem addressed by this study, while also identifying their limitations.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The review also showed that high predictive accuracy does not necessarily translate into institutional impact. Explanation methods are rarely tailored to different users, and many dashboards continue to focus on a single type of user despite differences in stakeholder information needs.</w:t>
      </w:r>
    </w:p>
    <w:p w:rsidR="00000000" w:rsidDel="00000000" w:rsidP="00000000" w:rsidRDefault="00000000" w:rsidRPr="00000000" w14:paraId="000000B4">
      <w:pPr>
        <w:jc w:val="both"/>
        <w:rPr/>
      </w:pPr>
      <w:r>
        <w:rPr>
          <w:rtl w:val="0"/>
        </w:rPr>
        <w:t xml:space="preserve">The research gap identified above follows from these findings. The remainder of the thesis uses the CommonKADS knowledge engineering framework together with the Kaliisa et al. (2023) design checklist and the human-centred evaluation framework of Kim et al. (2024) to address these limitations.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main design problem in this study is a knowledge engineering problem: how to represent and communicate the knowledge produced by the prediction system. In particular, the study examines how SHAP and LIME explanations can be presented to instructors, advisors, and administrators according to their different information needs. CommonKADS was developed for analysing and designing knowledge-intensive systems (Schreiber et al., 2000). This makes it suitable for the present study, which uses LMS data to generate predictions and XAI explanations for different stakeholder roles.</w:t>
      </w:r>
    </w:p>
    <w:p w:rsidR="00000000" w:rsidDel="00000000" w:rsidP="00000000" w:rsidRDefault="00000000" w:rsidRPr="00000000" w14:paraId="000000BC">
      <w:pPr>
        <w:spacing w:after="160" w:lineRule="auto"/>
        <w:jc w:val="both"/>
        <w:rPr/>
      </w:pPr>
      <w:r>
        <w:rPr>
          <w:rtl w:val="0"/>
        </w:rPr>
        <w:t xml:space="preserve">Schreiber et al. (2000) structure CommonKADS as six models covering organisational context, tasks, agents, knowledge, communication, and system design. Each model addresses a specific design requirement in this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each stakeholder role's knowledge, capabilities, and explanation needs, informing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approach bases the dashboard design on the information needs of each stakeholder role rather than assuming that all users require the same information (Studer et al., 1998). Table 3.1 summarises how each of the six models was instantiated in this study, the evidence it draws on, and the resulting design decision.</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Gaševic,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In this study, each of the six models is applied to a specific part of the system design rather than used only as a conceptual framework. The Organisation Model was informed by published research on learning analytics governance (Tsai &amp; Gaševic, 2017; Leitner et al., 2019) and the stakeholder workflows reported by Kaliisa et al. (2023). It was used to describe how at-risk information currently moves between institutional roles, as set out in the following paragraph. The Task Model draws on the task decomposition proposed by Verbert et al. (2013) and was extended to include the additional tasks required for post-hoc explanations. The Agent Model is informed by the role-specific information needs identified by Kostopoulos et al. (2024) and by Haque, Islam, and Mikalef (2023), who synthesise practitioner-facing evidence on how explanation preferences differ by expertise. Because practitioners were not involved in the study, the Agent Model was developed from published literature rather than from direct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Gaševic, 2017). The flow of at-risk information therefore breaks down at two points: when a prediction reaches a practitioner without an explanation they can check against what they know,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each role's decision, while the practitioner retains the intervention decision.</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not as an empirical framework; a TAM-based practitioner evaluation is identified in Chapter 7 as future work. The research proceeds through four iterative phases: knowledge acquisition and organisation analysis; knowledge and system modelling; artefact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not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TAM is therefore used alongside the CommonKADS Agent and Communication Models. TAM contributes the constructs of perceived usefulness and perceived ease of use, while the Agent and Communication Models describe the information needs of each stakeholder role. Kim et al. (2024) identify the same constructs as central to how AI explanations are received, which makes them relevant to a future practitioner evaluation.</w:t>
      </w:r>
    </w:p>
    <w:p w:rsidR="00000000" w:rsidDel="00000000" w:rsidP="00000000" w:rsidRDefault="00000000" w:rsidRPr="00000000" w14:paraId="000000CA">
      <w:pPr>
        <w:spacing w:after="160" w:lineRule="auto"/>
        <w:jc w:val="both"/>
        <w:rPr/>
      </w:pPr>
      <w:r>
        <w:rPr>
          <w:rtl w:val="0"/>
        </w:rPr>
        <w:t xml:space="preserve">The study also draws on the design science paradigm described by Hevner et al. (2004), which Peffers et al. (2007) later developed into the Design Science Research Methodology. Both argue that research centred on a purposeful artefact is justified by the rigour of its construction and by its usefulness when evaluated against a well-defined problem. This fits the present study, which contributes a working dashboard and design guidelines derived from its evaluation. This study adopts the iterative process proposed by Peffers et al. (2007) alongside CommonKADS. It comprises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frameworks therefore serve different purposes in the study.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serves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drew on published literature rather than user-based elicitation, so findings from the literature review fed into the modelling phase, where an agent characterisation was refined, and outputs from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This system's architecture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therefore separates data processing, prediction, explanation, and user interaction, ensuring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organised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also responsible for temporally aligning interaction records with assessment deadlines, a step essential for constructing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lets the same feature pipeline be reused for both training and inference without leaking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ensemble learning methods. Ensemble models have consistently demonstrated superior predictive performance in at-risk classification tasks (Rebelo Marcolino et al., 2025; Wang, 2025). However, their increased complexity reduces interpretability, necessitating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the module adequately addresses both cohort-level and instance-level interpretation needs.</w:t>
      </w:r>
    </w:p>
    <w:p w:rsidR="00000000" w:rsidDel="00000000" w:rsidP="00000000" w:rsidRDefault="00000000" w:rsidRPr="00000000" w14:paraId="000000F7">
      <w:pPr>
        <w:spacing w:after="160" w:lineRule="auto"/>
        <w:jc w:val="both"/>
        <w:rPr/>
      </w:pPr>
      <w:r>
        <w:rPr>
          <w:rtl w:val="0"/>
        </w:rPr>
        <w:t xml:space="preserve">The Explainability Module includes two internal sub-services. The first, a global explanation service, computes and caches TreeSHAP values (Lundberg et al., 2020) across the training population; these values underpin the cohort-level visualisations used by administrators and, at a coarser grain, by advisors. The second, a local explanation service, generates on-demand LIME approximations for individual predictions (Ribeiro, Singh, &amp; Guestrin, 2016) and produces a corresponding local SHAP explanation using the tree-path-dependent estimator, so the two techniques can be compared side by side within the interface. Storing global SHAP outputs while computing LIME on demand reflects the difference in computing time between the two methods reported by Salih et al. (2024), where SHAP has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allows a single predictive model to support multiple stakeholders without redundancy, and is intended to support each role's decision-making; its effect on usability was not measured in this study.</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composing visual components, managing interaction state, and translating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the risk indicator, the feature attribution panel, and the cohort comparison view, each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for heterogeneous audiences benefit from layered disclosure, in which summary indicators appear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the Explainability Module remains agnostic to downstream visualisation choices.</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and caching,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The Presentation Layer enforces authentication and authorisation, so a practitioner is exposed only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Since its release, OULAD has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Adopting OULAD therefore also situates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OULAD is further justified by its scale, completeness, and ethical suitability. Its anonymised structure eliminates concerns relating to personally identifiable information, while its size supports the development of robust and generalisable models. The dataset is therefore selected for its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mapping Withdrawn and Fail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for each observation so cross-validation folds can be grouped by presentation, mitigating the risk of optimistic estimates from ignoring the data's panel structure,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explicitly rather than imputed globally. Interaction counts for weeks in which a student is not yet registered are treated as structural zeros, whereas missing demographic fields are retained through a dedicated indicator variable so that missingness itself is available as a signal to the model. This treatment is consistent with the guidance of Van Buuren (2018), whose analysis of missing data mechanisms demonstrates that indicator encoding is preferable to blind imputation when missingness may be informative, a condition that is plausible for administrative educational data.</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classifier supports an immediate screening decision: whether to flag a student for further consideration. Albreiki</w:t>
      </w:r>
      <w:commentRangeStart w:id="38"/>
      <w:r>
        <w:rPr>
          <w:rtl w:val="0"/>
        </w:rPr>
        <w:t xml:space="preserve"/>
      </w:r>
      <w:commentRangeEnd w:id="38"/>
      <w:r>
        <w:commentReference w:id="38"/>
      </w:r>
      <w:r>
        <w:rPr>
          <w:rtl w:val="0"/>
        </w:rPr>
        <w:t xml:space="preserve"> et al. (2021) report that most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Prior studies identify submission timeliness, VLE interaction frequency, assessment performance trends, and demographic indicators as key predictors of student outcomes (Guevara-Reyes et al., 2025; Wang, 2025). Selecting these features aligns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This study compares three ensemble models: Random Forest, XGBoost, and Gradient Boosting Classifier. Ensemble methods are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a widely regarded strong general-purpose baseline for tabular classification. XGBoost, introduced by Chen and Guestrin (2016), applies regularised gradient boosting on decision trees and has become the reference implementation for boosting on structured data, particularly with heterogeneous feature types. The Gradient Boosting Classifier, as implemented in scikit-learn following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observations from the same presentation never appear in both the training and validation partitions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the training code also records ROC-AUC.</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study design specified several refinements to the modelling and evaluation pipeline that were not implemented in the final evaluation. They are recorded here so that this chapter describes the final method accurately while remaining transparent about the original plan. Chapter 2, Section 2.2 reviews the literature motivating each refinement.</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Integrating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explanation subsystem design is grounded in the distinction Doshi-Velez and Kim (2017) draw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the resulting explanations undergo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show that SHAP and LIME can be manipulated by adversarial classifiers to conceal discriminatory behaviour, and although the present study does not confront an adversarial setting, the same underlying sensitivity to perturbation choices motivates reporting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clarifying why a particular outcome was predicted rather than a plausible alternative. Explanations should be selective, surfacing the small number of factors that most strongly account for the outcome rather than the full attribution vector. Explanations should be social, in that they should be phrased in terms accessible to the intended recipient. The presentation layer draws on these selective and social properties by rendering per-instance explanations as signed feature attributions limited to a small set of leading features, with human-readable feature labels, at an aggregation level suited to the associated stakeholder role. The prototype implements feature attributions rather than contrastive or counterfactual explanations, and it does not include natural-language comparative statements; therefore,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interface was designed around a separate information brief derived from the CommonKADS Agent Model. The instructor interface focuses on class-level engagement during the current teaching period and provides explanations of individual students' risk drivers using assessment and weekly activity data,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Gaševic (2017). These role-specific briefs prevent the dashboard from using the same view for all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The interface follows Nielsen's (1994) human-computer interaction heuristics, particularly visibility of system status, match between the system and the real world, recognition rather than recall, and consistency and standards. Colour usage is designed to remain informative for practitioners with common forms of colour vision deficiency by using colour-blind-safe palettes and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The study did not conduct a formal iterative heuristic review with documented iterations, reviewers, or severity ratings. Instead, the Nielsen (1994) criteria were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included in the thesis. Figures 3.3 and 4.1 therefore provide the main architectural documentation presented in the study.</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These libraries were selected based on their suitability for the required tasks. Scikit-learn is adopted for its consistent estimator interface and its well-tested implementations of cross-validation, preprocessing, and model evaluation utilities, as documented by Pedregosa et al. (2011). XGBoost was selected because of its regularised objective, sparsity-aware split finding, and out-of-core training capabilities (Chen &amp; Guestrin, 2016).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for the API layer, a combination selected because it enables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implements authentication using JSON Web Tokens following the specification of Jones, Bradley, and Sakimura (2015). Role-based access control is enforced at the API layer and the interface layer, consistent with the defence-in-depth principle articulated by Saltzer and Schroeder (1975), so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The planned testing strategy included several levels of testing: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was also planned, following the software delivery practices described by Humble and Farley (2010). This testing and continuous integration pipeline is not demonstrated in this thesis and is therefore described as planned practice rather than completed infrastructure. Similarly, the codebase, the trained model artefacts, and the derived experimental data are intended for deposit in a public repository in accordance with the FAIR data principles articulated by Wilkinson et al. (2016), but this deposit is not reported as completed here.</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a technical evaluation of the predictive and explanatory components against the OULAD dataset, rather than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This ensures that the model does not train on the same presentation used for evaluation.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Random Forest, XGBoost, and Gradient Boosting are compared using the same pipeline and evaluation protocol. F1-score is used for model comparison, while recall is the primary criterion for selecting the model used in the prototype. Performance is additionally reported separately for each held-out course presentation, giving a direct empirical indication of how much variability to expect across cohorts. Because the features use data from the full course presentation, the evaluation is retrospective. It does not establish model performance at a specific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Their aggregate rankings are compared for overlap in leading features, while instance-level agreement is measured by comparing the top-ranked SHAP and LIME features for each sampled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evaluation also includes a verification step, in which the metrics and figures reported in Chapter 4 are reproduced from the trained model artefact. The implemented system is also compared with the methodology specified in this chapter, and any differences between the planned and implemented methods are documented.</w:t>
      </w:r>
    </w:p>
    <w:p w:rsidR="00000000" w:rsidDel="00000000" w:rsidP="00000000" w:rsidRDefault="00000000" w:rsidRPr="00000000" w14:paraId="00000132">
      <w:pPr>
        <w:spacing w:after="160" w:lineRule="auto"/>
        <w:jc w:val="both"/>
        <w:rPr/>
      </w:pPr>
      <w:r>
        <w:rPr>
          <w:rtl w:val="0"/>
        </w:rPr>
        <w:t xml:space="preserve">The technical evaluation determines whether the predictive and explanatory components function correctly and produce consistent results. These results provide the technical basis for future practitioner evaluation. Direct evaluation of practitioner trust, understanding, and decision quality would require primary data from instructors, advisors, and administrators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This evaluation reports findings against a three-level evidence model used throughout the remainder of the thesis. Findings that were demonstrated are those measured directly in the technical evaluation, such as predictive performance and cross-method agreement. Findings supported by design are dashboard properties that are implemented and traceable to stated requirements and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the study uses only the secondary OULAD dataset (Section 3.3) and collects no primary data from students, instructors, advisors, or administrators, its main ethical considerations concern data handling and algorithmic fairness rather than participant recruitment or informed consent.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considered as part of the study's ethical assessment.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required any subgroup performance differences to be reported openly. This follows the transparency principle advocated by Mitchell et al. (2019) in their model card proposal and the evidence from Yu et al. (2020) that predictive models in higher education can produce different error rates across student groups even when overall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avoiding harm. In line with this argument, the dashboard design deliberately avoids features that would automate high-stakes decisions about students, keeping the practitioner as the final decision-maker in any intervention. Slade and Prinsloo (2013) further note that learning analytics interventions risk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presented the methodology used to design, implement, and technically evaluate the role-aware XAI dashboard for student at-risk prediction using the OULAD dataset. The study follows the Design Science Research Methodology of Peffers et al. (2007). CommonKADS provides the knowledge engineering and design framework, while TAM is used only as a design lens and the Kaliisa et al. (2023) checklist guides dashboard design.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Together, these methods provide the basis for answering the research questions presented in Chapter 1.</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Chapter 3 set out the design rationale derived from the six CommonKADS models. This chapter describes how that design was built as a working prototype: the frameworks and libraries used at each layer, the model development environment, the Learning Management System (LMS) integrations built and tested, and the containerised deployment.</w:t>
      </w:r>
      <w:commentRangeStart w:id="53"/>
      <w:r>
        <w:rPr>
          <w:rtl w:val="0"/>
        </w:rPr>
        <w:t xml:space="preserve"/>
      </w:r>
      <w:commentRangeEnd w:id="53"/>
      <w:r>
        <w:commentReference w:id="53"/>
      </w:r>
      <w:r>
        <w:rPr>
          <w:rtl w:val="0"/>
        </w:rPr>
        <w:t xml:space="preserve"/>
      </w:r>
    </w:p>
    <w:p w:rsidR="00000000" w:rsidDel="00000000" w:rsidP="00000000" w:rsidRDefault="00000000" w:rsidRPr="00000000" w14:paraId="0000013F">
      <w:pPr>
        <w:spacing w:after="200" w:lineRule="auto"/>
        <w:jc w:val="both"/>
        <w:rPr/>
      </w:pPr>
      <w:r>
        <w:rPr>
          <w:rtl w:val="0"/>
        </w:rPr>
        <w:t xml:space="preserve">The system was built and tested end to end on the full Open University Learning Analytics Dataset (OULAD) described in Chapter 3, not on synthetic or placeholder data. The architectural decisions reported here therefore reflect a system tested at real data volume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developing an ensemble predictive model with integrated SHAP and LIME explanations and implementing a role-aware dashboard that delivers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also establishes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often difficult to interpret because the systems under study are described only in general terms, leaving it unclear which interface property drives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layers change at different rates. This holds here: the feature engineering logic, the trained model, the explanation services, and the interface components are each expected to be revised on different schedules. Mohseni, Zarei, and Ragan (2021) make the related point for explainable systems, observing that architectures that treat explanation as a separate architectural component rather than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keepNext/>
        <w:spacing w:after="120" w:before="120" w:lineRule="auto"/>
        <w:rPr/>
      </w:pPr>
      <w:r>
        <w:rPr>
          <w:rtl w:val="0"/>
        </w:rPr>
      </w:r>
    </w:p>
    <w:p w:rsidR="00000000" w:rsidDel="00000000" w:rsidP="00000000" w:rsidRDefault="00000000" w:rsidRPr="00000000" w14:paraId="00000147">
      <w:pPr>
        <w:keepNext/>
        <w:spacing w:after="100" w:before="150" w:lineRule="auto"/>
        <w:jc w:val="center"/>
        <w:rPr/>
      </w:pPr>
      <w:r>
        <w:rPr/>
        <w:drawing>
          <wp:inline distB="0" distT="0" distL="0" distR="0">
            <wp:extent cx="5400675" cy="6636974"/>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Before the prototype pipeline was built,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prototype codebase.</w:t>
      </w:r>
    </w:p>
    <w:p w:rsidR="00000000" w:rsidDel="00000000" w:rsidP="00000000" w:rsidRDefault="00000000" w:rsidRPr="00000000" w14:paraId="0000014B">
      <w:pPr>
        <w:spacing w:after="200" w:lineRule="auto"/>
        <w:jc w:val="both"/>
        <w:rPr/>
      </w:pPr>
      <w:r>
        <w:rPr>
          <w:rtl w:val="0"/>
        </w:rPr>
        <w:t xml:space="preserve">This separation between an exploratory notebook and a prototype codebase follows standard applied machine learning practice. Colab was used for short-lived experiments, while the code that runs in the prototype was rewritten as versioned, testable Python modules (data_layer, prediction_engine, explainability). The prototype therefore does not depend on Colab's session-based execution or its GPU availability.</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prototype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CSV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28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3.3, VLE engagement features are calculated using 7-, 14-, and 28-day windows before each assessment deadline rather than fixed calendar weeks. A programmatic leakage check stops any window that would include activity recorded on or after its deadline, raising an assertion error rather than silently including that activity.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explanations are social and should be phrased in terms the recipient can follow, and an attribution expressed against an unlabelled column name does not meet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criterion (Chapter 3, Section 3.4). It was evaluated using GroupKFold cross-validation grouped by course presentation, of which OULAD contains four (2013B, 2013J, 2014B, and 2014J), so no fold is evaluated on a presentation the model was trained on. </w:t>
      </w:r>
      <w:commentRangeStart w:id="56"/>
      <w:r>
        <w:rPr>
          <w:rtl w:val="0"/>
        </w:rPr>
        <w:t xml:space="preserve">Held-out, out-of-fold performance across the full dataset was 87.7% accuracy, 0.887 F1-score, and 0.962 AUC.</w:t>
      </w:r>
      <w:commentRangeEnd w:id="56"/>
      <w:r>
        <w:commentReference w:id="56"/>
      </w:r>
      <w:r>
        <w:rPr>
          <w:rtl w:val="0"/>
        </w:rPr>
        <w:t xml:space="preserve"> The fitted preprocessing pipeline and model are saved as a single versioned artefact with a manifest recording the training date, the feature dictionary version, and the evaluation metrics. Any prediction returned by the API can therefore be traced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Grouping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reported accuracies are therefore not straightforwardly comparable across the literature. Krstajic et al. (2014) make a similar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because accuracy is uninformative under class imbalance, and recall as the primary criterion for selecting the prototype model; Chicco and Jurman (2020) also argue that summary metrics should be interpreted alongside the full confusion matrix rather than in place of it. Reporting recall and specificity separately, as above, shows the trade-off a single threshold imposes, and the dashboard exposes this trade-off to practitioners rather than resolving it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Saving the model manifest with the fitted artefact makes this kind of disaggregated reporting practical, because a later audit can reconstruct the exact feature contract and model version used to compute subgroup performance,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15,634 of 17,208 genuinely at-risk students are correctly flagged (90.9% recall) and 12,963 of 15,385 not-at-risk students are correctly left unflagged (84.3% specificity), with 2,422 false positives and 1,574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 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a local SHAP explanation and an independent LIME explanation on demand for a single prediction, using the exact feature vector the model originally scored. The two explanations are shown side by side in the instructor view, so the user can see directly where they agree and where they differ.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any divergence visible, providing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This design decision also responds to the known limitations of post-hoc explanation discussed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makes that choice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role separation does not depend on a single check inside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Learning Management System and the API reflects the defence-in-depth principle of Saltzer and Schroeder (1975), cited earlier in Chapter 3, Section 3.7, under which no single component should constitute the sole enforcement point for an access control decision. In this system, a forwarded role header is therefore treated as a claim to be checked, not as an established fact. This is appropriate because the dashboard is designed to be embedded in a Learning Management System and so receives requests that originate outside its own trust boundary. Token issuance and verification follow the JSON Web Token specification of Jones, Bradley, and Sakimura (2015),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requirement of the study design, not only a technical measure.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a visualisation of signed SHAP and LIME contributions, at three levels of aggregation: individual-student detail for the instructor view, cohort-averaged detail for the advisor view, and full-population detail for the administrator view. The same visual format is therefore used for all three roles in the Agent Model instead of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roles by the granularity and framing of the knowledge each requires, not by the visual vocabulary used to express that knowledge, and Sokol and Flach (2020) argue on similar grounds that explanation type, granularity, and format should be treated as separable configuration parameters. Reusing the reasoning trail also makes the information easier to read for practitioners who hold more than one role, which is common in smaller institutions, and it follows the recognition-rather-than-recall and consistency heuristics of Nielsen (1994) referred to in Chapter 3, Section 3.6.</w:t>
      </w:r>
    </w:p>
    <w:p w:rsidR="00000000" w:rsidDel="00000000" w:rsidP="00000000" w:rsidRDefault="00000000" w:rsidRPr="00000000" w14:paraId="00000199">
      <w:pPr>
        <w:spacing w:after="200" w:lineRule="auto"/>
        <w:jc w:val="both"/>
        <w:rPr/>
      </w:pPr>
      <w:r>
        <w:rPr>
          <w:rtl w:val="0"/>
        </w:rPr>
        <w:t xml:space="preserve">The content of each view comes from the role-specific information briefs set out earlier in Chapter 3, Section 3.6. The instructor view emphasises per-student detail because Molenaar and Knoop-van Campen (2019) show that teachers act on dashboard information at the level of the individual learner. Kaliisa and Dolonen (2022) also find that instructors prioritise summary-level alerts over granular statistical breakdowns, which is why the full attribution is reached through the reasoning trail rather than shown by default. The advisor view is cohort-averaged over students at or above the watch threshold, following the caseload orientation of the LADA advising dashboard reported by Gutiérrez et al. (2020). The administrator view is full-population because institutional decision support focuses on distributions rather than individual behaviour, in line with patterns documented by Tsai and Gaševic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keepNext/>
        <w:spacing w:after="120" w:before="120" w:lineRule="auto"/>
        <w:rPr/>
      </w:pPr>
      <w:r>
        <w:rPr>
          <w:rtl w:val="0"/>
        </w:rPr>
      </w:r>
    </w:p>
    <w:p w:rsidR="00000000" w:rsidDel="00000000" w:rsidP="00000000" w:rsidRDefault="00000000" w:rsidRPr="00000000" w14:paraId="0000019B">
      <w:pPr>
        <w:keepNext/>
        <w:spacing w:after="100" w:before="150" w:lineRule="auto"/>
        <w:jc w:val="center"/>
        <w:rPr/>
      </w:pPr>
      <w:r>
        <w:rPr/>
        <w:drawing>
          <wp:inline distB="0" distT="0" distL="0" distR="0">
            <wp:extent cx="5400675" cy="3028235"/>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keepNext/>
        <w:spacing w:after="120" w:before="120" w:lineRule="auto"/>
        <w:rPr/>
      </w:pPr>
      <w:r>
        <w:rPr>
          <w:rtl w:val="0"/>
        </w:rPr>
      </w:r>
    </w:p>
    <w:p w:rsidR="00000000" w:rsidDel="00000000" w:rsidP="00000000" w:rsidRDefault="00000000" w:rsidRPr="00000000" w14:paraId="0000019E">
      <w:pPr>
        <w:keepNext/>
        <w:spacing w:after="100" w:before="150" w:lineRule="auto"/>
        <w:jc w:val="center"/>
        <w:rPr/>
      </w:pPr>
      <w:r>
        <w:rPr/>
        <w:drawing>
          <wp:inline distB="0" distT="0" distL="0" distR="0">
            <wp:extent cx="5400675" cy="2931795"/>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keepNext/>
        <w:spacing w:after="120" w:before="120" w:lineRule="auto"/>
        <w:rPr/>
      </w:pPr>
      <w:r>
        <w:rPr>
          <w:rtl w:val="0"/>
        </w:rPr>
      </w:r>
    </w:p>
    <w:p w:rsidR="00000000" w:rsidDel="00000000" w:rsidP="00000000" w:rsidRDefault="00000000" w:rsidRPr="00000000" w14:paraId="000001A1">
      <w:pPr>
        <w:keepNext/>
        <w:spacing w:after="100" w:before="150" w:lineRule="auto"/>
        <w:jc w:val="center"/>
        <w:rPr/>
      </w:pPr>
      <w:r>
        <w:rPr/>
        <w:drawing>
          <wp:inline distB="0" distT="0" distL="0" distR="0">
            <wp:extent cx="5400675" cy="3259693"/>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1"/>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(a) Moodle login page</w:t>
            </w:r>
            <w:r>
              <w:rPr>
                <w:rtl w:val="0"/>
              </w:rPr>
            </w:r>
          </w:p>
          <w:p w:rsidR="00000000" w:rsidDel="00000000" w:rsidP="00000000" w:rsidRDefault="00000000" w:rsidRPr="00000000" w14:paraId="000001A5">
            <w:pPr>
              <w:keepNext/>
              <w:spacing w:after="120" w:before="120" w:lineRule="auto"/>
              <w:rPr>
                <w:color w:val="000000"/>
              </w:rPr>
            </w:pPr>
            <w:r>
              <w:rPr>
                <w:rtl w:val="0"/>
              </w:rPr>
            </w:r>
          </w:p>
          <w:p w:rsidR="00000000" w:rsidDel="00000000" w:rsidP="00000000" w:rsidRDefault="00000000" w:rsidRPr="00000000" w14:paraId="000001A6">
            <w:pPr>
              <w:keepNext/>
              <w:jc w:val="center"/>
              <w:rPr/>
            </w:pPr>
            <w:r>
              <w:rPr/>
              <w:drawing>
                <wp:inline distB="0" distT="0" distL="0" distR="0">
                  <wp:extent cx="3600000" cy="2400000"/>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600000" cy="2400000"/>
                          </a:xfrm>
                          <a:prstGeom prst="rect"/>
                          <a:ln/>
                        </pic:spPr>
                      </pic:pic>
                    </a:graphicData>
                  </a:graphic>
                </wp:inline>
              </w:drawing>
            </w: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(b) Dashboard sign-in inside a Canvas course</w:t>
            </w:r>
            <w:r>
              <w:rPr>
                <w:rtl w:val="0"/>
              </w:rPr>
            </w:r>
          </w:p>
          <w:p w:rsidR="00000000" w:rsidDel="00000000" w:rsidP="00000000" w:rsidRDefault="00000000" w:rsidRPr="00000000" w14:paraId="000001A7">
            <w:pPr>
              <w:keepNext/>
              <w:jc w:val="center"/>
              <w:rPr/>
            </w:pPr>
            <w:r>
              <w:rPr/>
              <w:drawing>
                <wp:inline distB="0" distT="0" distL="0" distR="0">
                  <wp:extent cx="5220000" cy="2755000"/>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2755000"/>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authentication and role resolution, (a) Moodle login page (role and course context come from Moodle), (b) dashboard sign-in inside a Canvas course</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part of the implementation, not as a deployment detail. The literature reviewed in Chapter 2 (Section 2.1) identifies institutional uptake, rather than predictive capability, as the main constraint on learning analytics. Tsai and Gaševic (2017) attribute limited adoption partly to the shortage of practitioner-facing decision support, and Leitner, Ebner, and Ebner (2019) document a persistent disconnect between sophisticated predictive models and their use in institutional decision-making. A dashboard that cannot be reached from the environment where instructors and advisors already work is unlikely to overcome that constraint. Showing that the system launches from a Learning Management System with the user's role and course context intact is therefore evidence of technical integration feasibility, supporting the contribution stated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running Moodle 5.2 and substantially smaller than the official Bitnami or MoodleHQ development images) ran locally via Docker, along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the plugin creates, and an Institution overview page for managers. Login, role, and course context come from Moodle itself: an instructor sees only the students in a course they teach, and the plugin calls the API server-to-server with the shared service key described in Section 4.8, so no dashboard credentials reach the browser. Access control was checked by attempting cross-role and cross-course requests, such as an instructor of module AAA opening the insights page of an FFF course, and each request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keepNext/>
              <w:spacing w:after="120" w:before="120" w:lineRule="auto"/>
              <w:rPr>
                <w:color w:val="000000"/>
              </w:rPr>
            </w:pPr>
            <w:r>
              <w:rPr>
                <w:rtl w:val="0"/>
              </w:rPr>
            </w:r>
          </w:p>
          <w:p w:rsidR="00000000" w:rsidDel="00000000" w:rsidP="00000000" w:rsidRDefault="00000000" w:rsidRPr="00000000" w14:paraId="000001AF">
            <w:pPr>
              <w:keepNext/>
              <w:spacing w:before="700" w:lineRule="auto"/>
              <w:jc w:val="center"/>
              <w:rPr/>
            </w:pPr>
            <w:r>
              <w:rPr>
                <w:b w:val="1"/>
                <w:bCs w:val="1"/>
                <w:color w:val="6a737b"/>
                <w:sz w:val="22"/>
                <w:szCs w:val="22"/>
              </w:rPr>
              <w:drawing>
                <wp:inline distB="0" distT="0" distL="0" distR="0">
                  <wp:extent cx="5731510" cy="3980215"/>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keepNext/>
        <w:spacing w:after="120" w:before="120" w:lineRule="auto"/>
        <w:rPr/>
      </w:pPr>
      <w:r>
        <w:rPr>
          <w:rtl w:val="0"/>
        </w:rPr>
      </w:r>
    </w:p>
    <w:p w:rsidR="00000000" w:rsidDel="00000000" w:rsidP="00000000" w:rsidRDefault="00000000" w:rsidRPr="00000000" w14:paraId="000001B4">
      <w:pPr>
        <w:keepNext/>
        <w:spacing w:after="200" w:lineRule="auto"/>
        <w:jc w:val="both"/>
        <w:rPr/>
      </w:pPr>
      <w:r>
        <w:rPr>
          <w:rtl w:val="0"/>
        </w:rPr>
        <w:t xml:space="preserve"/>
      </w:r>
      <w:r>
        <w:drawing>
          <wp:inline distT="0" distB="0" distL="0" distR="0">
            <wp:extent cx="5731510" cy="3383182"/>
            <wp:effectExtent b="0" l="0" r="0" 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3383182"/>
                    </a:xfrm>
                    <a:prstGeom prst="rect"/>
                    <a:ln/>
                  </pic:spPr>
                </pic:pic>
              </a:graphicData>
            </a:graphic>
          </wp:inline>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commentRangeStart w:id="59"/>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it stores these artefacts in a persistent volume so later restarts reuse the same model version. The out-of-fold risk scores for the full population and the global SHAP values are computed once per model version and served from this cache, so administrator- and advisor-level dashboard views use cached copies rather than recomputing predictions for the full student population on every page load. The API also sends a Content-Security-Policy frame-ancestors header, so that only the configured Learning Management System origins can embed the dashboard.</w:t>
      </w:r>
      <w:r>
        <w:rPr>
          <w:rtl w:val="0"/>
        </w:rPr>
        <w:t xml:space="preserve"/>
      </w:r>
      <w:r>
        <w:rPr>
          <w:rtl w:val="0"/>
        </w:rPr>
        <w:t xml:space="preserve"/>
      </w:r>
      <w:commentRangeEnd w:id="59"/>
      <w:r>
        <w:commentReference w:id="59"/>
      </w:r>
    </w:p>
    <w:p w:rsidR="00000000" w:rsidDel="00000000" w:rsidP="00000000" w:rsidRDefault="00000000" w:rsidRPr="00000000" w14:paraId="000001B8">
      <w:pPr>
        <w:spacing w:after="200" w:lineRule="auto"/>
        <w:jc w:val="both"/>
        <w:rPr/>
      </w:pPr>
      <w:r>
        <w:rPr>
          <w:rtl w:val="0"/>
        </w:rPr>
        <w:t xml:space="preserve">The separation between the cached cohort path and the synchronous per-student path follows Sculley et al. (2015), who observe that serving batch and online scoring behind one interface builds up hidden coupling and makes latency hard to reason about. Keeping the two paths separate lets cohort refreshes run without competing with interactive requests. In this system,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results from evaluating this implementation against the OULAD dataset, including model performance and explanation quality, and discusses what these technical findings imply for practitioner use, drawing on existing literature rather than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Integrating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They were specified from the CommonKADS Agent Model and the dashboard design literature cited in Section 4.9 and were not validated with practitioners, since no primary user data were collected for this study. The third research question concerns what the predictive and explainability findings indicate about the technical potential of the dashboard to support practitioner interpretation and decision-making. This chapter establishes that the system evaluated in Chapter 5 is a working prototype tested on the full OULAD population, not only on illustrative cases. That is the precondition for the technical evidence in Chapter 5, but it is not a measurement of practitioner response.</w:t>
      </w:r>
    </w:p>
    <w:p w:rsidR="00000000" w:rsidDel="00000000" w:rsidP="00000000" w:rsidRDefault="00000000" w:rsidRPr="00000000" w14:paraId="000001BC">
      <w:pPr>
        <w:spacing w:after="200" w:lineRule="auto"/>
        <w:jc w:val="both"/>
        <w:rPr/>
      </w:pPr>
      <w:r>
        <w:rPr>
          <w:rtl w:val="0"/>
        </w:rPr>
        <w:t xml:space="preserve">Two implementation limitations should be recorded before reporting the evaluation.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system's transferability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end-to-end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which this chapter completes. Section 5.5 reports performance variability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system's predictive and explanatory components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used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a withdrawal predictor rather than a pure academic-failure predictor, and this qualification carries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59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0.8867</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12,963 true negatives, 2,422 false positives, 1,574 false negatives, and 15,634 true positives. Precision is not stated numerically anywhere in Chapter 4, which reports recall and specificity; it is derivable from the Chapter 4 confusion matrix as 15,634 divided by the sum of 15,634 and 2,422, which equals 0.8659,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0.8774 indicates that the classifier assigns the correct label, at-risk or not-at-risk, to 87.7% of the 32,593 held-out observations. Because the classes are only mildly imbalanced (52.8% versus 47.2%), accuracy is less misleading here than it would be under severe imbalance. It still combines two different kinds of error, false positives and false negatives, into one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0.8659 means that of every 1,000 students the model flags as at-risk, approximately 866 subsequently received the at-risk outcome label used in this study and approximately 134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some proportion of flagged students did not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0.9085 means that of the 17,208 genuinely at-risk students in the held-out data, the model correctly identifies 15,634 and misses 1,574. This figure is most directly relevant to the study's early-intervention rationale and is the primary criterion for selecting the prototype model (Chapter 3, Section 3.4), because a student who is at risk but not flagged receives no benefit from the dashboard. Recall is higher than precision, indicating that, at the default 0.5 threshold, the model is more conservative about withholding an at-risk flag than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0.8867 is the harmonic mean of precision and recall and summarises the balance between the two. Because recall (0.9085) exceeds precision (0.8659)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(2,422 false positives, approximately 15.7% of the not-at-risk group). Neither figure should be read apart from the confusion matrix in Figure 5.1. Chicco and Jurman (2020) caution that summary metrics can hide the underlying error profile, and it is the full profile, not any single number, that shows what an institution should expect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0.8997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0.8955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0.8976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0.8904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0.8962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achieves the highest F1-score (0.8976), ahead of Gradient Boosting (0.8932) and the prototype XGBoost model (0.8867), and also has the highest accuracy and precision of the three, while XGBoost retains the highest recall, correctly identifying more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0.9085 against 0.8962 for Gradient Boosting and 0.8955 for Random Forest. The retention of XGBoost in the prototype is therefore consistent with the stated criterion, while Random Forest's higher F1-score is a relevant finding for future iterations of the pipeline, particularly if the relative priority of recall and precision is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the prototype model's out-of-fold performance can be reported separately for each of the four presentations. This is a stricter test of generalisation than the pooled figures in Table 5.1, because each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0.9506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0.8764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0.9120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0.9161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0.9690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0.8577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0.9099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0.8619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0.8243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0.9627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0.8882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0.8456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0.8075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0.9197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0.8600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0.86 to 0.88), while the two later presentations, 2014B and 2014J, show the reverse pattern: lower precision (around 0.81 to 0.82) with markedly higher recall (up to 0.963 for 2014B). Accuracy ranges from 0.8456 (2014J) to 0.9161 (2013J), a spread of over seven percentage points. Because GroupKFold has only four groups,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limits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59-column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3.1110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0.7087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0.5338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0.4790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0.3819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0.3111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0.2741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0.2718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0.2285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0.1468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0.1360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0.1312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0.1075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0.0770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code_module = BBB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0.0640</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four times the mean absolute SHAP value of the second-ranked feature, active days.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-0.69 and -0.96),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(+0.8354)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The engagement variables are indeed highly collinear: the Spearman correlation between clicks_28d_before_deadline and total_clicks is 0.98, and the 14-day and 7-day windows correlate with total_clicks at 0.95 and 0.92 (Section 5.7). This is consistent with the collinearity explanation, although a SHAP dependence analysis was not carried out,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0.3961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0.0995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0.0640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0.0498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0.0447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0.0236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0.0183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date_registration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0.0073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region = Wales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0.0043</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leading feature, n_assessments_submitted, and share six further features in their respective top 10 rankings: active_days, code_module = FFF, mean_score, clicks_28d_before_deadline, min_score, and module_presentation_length. They diverge on the remainder: SHAP's global ranking places total_clicks, code_module = EEE, and mean_days_late in its top 10, where LIME does not, while LIME's aggregate ranking surfaces code_module = AAA, date_registration, and region = Wales, where SHAP's global ranking does not. Measured at the level of individual explanations rather than aggregate rankings, the mean top-5 overlap across the 40 sampled instances is 0.635 (standard deviation 0.197), meaning that on average just over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higher than SHAP's global ranking,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0.9998 against a true label of 1, both methods identify n_assessments_submitted as the leading contributor, with SHAP additionally weighting the FFF module indicator and active days, and LIME's discretised condition on assessments submitted (between 1 and 5) carrying the largest local weight. For a student in module FFF, presentation 2014B, predicted at 0.0038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the findings in this section, the language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check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Every numerical claim made in Chapter 4, Section 4.6 and the caption of Figure 4.3 was reproduced in this execution. Chapter 4 states 87.7% accuracy; this execution obtained 0.8774, which rounds to 87.7%. Chapter 4 states an F1-score of 0.887; this execution obtained 0.8867, which rounds to 0.887. Chapter 4 states an AUC of 0.962; this execution obtained 0.9624. Chapter 4's Figure 4.3 caption states 90.9% recall and 84.3% specificity; this execution obtained 0.9085 and 0.8426 respectively. The confusion matrix reported in Chapter 4, [[12,963, 2,422], [1,574, 15,634]], reproduced cell for cell. The number of observations, 32,593, is identical. Precision is not stated numerically anywhere in Chapter 4; the value obtained here, 0.8659, is consistent with the confusion matrix Chapter 4 does report. The evaluation environment used scikit-learn 1.9.1 and xgboost 3.2.0, recorded with the other package versions in Appendix A.</w:t>
      </w:r>
      <w:r>
        <w:rPr>
          <w:rtl w:val="0"/>
        </w:rPr>
        <w:t xml:space="preserve"/>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only XGBoost, so this chapter completed the comparison directly by evaluating Random Forest and Gradient Boosting under the same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in Table 5.1 give a clear picture of predictive performance. The additional secondary metrics and a calibration study were specified but not implemented, and they remain extensions for a future iteration. Calibration in particular would add confidence</w:t>
      </w:r>
      <w:commentRangeStart w:id="69"/>
      <w:r>
        <w:rPr>
          <w:rtl w:val="0"/>
        </w:rPr>
        <w:t xml:space="preserve"/>
      </w:r>
      <w:commentRangeEnd w:id="69"/>
      <w:r>
        <w:commentReference w:id="69"/>
      </w:r>
      <w:r>
        <w:rPr>
          <w:rtl w:val="0"/>
        </w:rPr>
        <w:t xml:space="preserve"> to the individual risk scores shown on the dashboard, alongside the strong discrimination already demonstrated (AUC 0.9624).</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Robustness check: the 28-day click window ranking. The project documentation asserts that the 28-day pre-deadline click window outranks raw total clicks in importance. In the global TreeSHAP ranking in Table 5.4 the two sit close together, with clicks_28d_before_deadline at 0.3111 and total_clicks at 0.3819, and the two features are near-duplicates, with a Spearman correlation of 0.98. To establish whether the order between them is a stable property of the model, the final model was refitted with seven further random seeds under the same configuration. The 28-day window ranked above total clicks in four of the eight fits and below it in the other four, while the combined importance of the two features remained within a narrow range (0.57 to 0.69). The relative ranking of the two is therefore not a stable property of the fitted model: where two features carry almost the same information, a tree ensemble distributes credit between them according to its random subsampling of rows and columns, and SHAP reports that distribution faithfully. The claim is accordingly neither confirmed nor refuted by this evidence. What is stable is that pre-deadline and total engagement together carry a consistent share of the model's reasoning, well below that of assessment submission. The check also has a practical implication for the dashboard: small differences between highly correlated features in a reasoning trail should not be read as meaningful, a qualification that applies alongside the direction of the 28-day effect discussed in Section 5.6.</w:t>
      </w:r>
      <w:r>
        <w:rPr>
          <w:rtl w:val="0"/>
        </w:rPr>
        <w:t xml:space="preserve"/>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empirically reinforce that observation: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closer to this thesis's engagement-based features than many of the demographic-only baselines in the literature. Their accuracy and F1 figures could not be independently retrieved from the source used to verify this literature set, so they are not quoted or compared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SHAP and TreeSHAP, used throughout Section 5.6, and Ribeiro, Singh, and Guestrin (2016) provide the basis for LIME. The top-5 instance-level overlap of 0.635 found in this study (Section 5.6) measures, for this dataset, the partial agreement these two methods are understood to produce when applied to the same model; it is not a finding specific to student data. Hooshyar and Yang (2024) applied Kernel SHAP, Permutation SHAP, and LIME to an educational predictive model and report significant variability in the feature importance the methods assign, with post-hoc explanations at times attributing importance to less relevant features. This is the closest published analogue to the side-by-side SHAP-versus-LIME comparison in this chapter, and it supports the framing of SHAP-versus-LIME comparison as an established line of enquiry in this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Gasevic, and Pardo (2020) each review learning analytics dashboard research broadly. Both are consistent with the role-differentiated design rationale in Chapter 3, Section 3.6 and its implementation in Chapter 4, Section 4.9, but neither provides OULAD-specific or SHAP/LIME-specific figures against which this dashboard could be compared numerically. Their relevance here lies in the design rationale documented in Chapter 4 rather than in any quantitative finding in this chapter.</w:t>
      </w:r>
    </w:p>
    <w:p w:rsidR="00000000" w:rsidDel="00000000" w:rsidP="00000000" w:rsidRDefault="00000000" w:rsidRPr="00000000" w14:paraId="00000295">
      <w:pPr>
        <w:spacing w:after="200" w:lineRule="auto"/>
        <w:jc w:val="both"/>
        <w:rPr/>
      </w:pPr>
      <w:r>
        <w:rPr>
          <w:rtl w:val="0"/>
        </w:rPr>
        <w:t xml:space="preserve">The comparison most relevant to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only as external evidence that this type of question can be answered for a SHAP-and-LIME dashboard like the one in Chapter 4, not as a measurement of this dashboard. Their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Gasevic, Dawson, and Siemens (2015) frame learning analytics as a field whose value lies in connecting data to actionable decisions rather than in predictive accuracy alone, and Li, Wong, and Chan (2023) review at-risk prediction specifically as the task this thesis undertakes. Taken together, this literature places the technical contribution of this chapter, a working predictive and explanatory pipeline with verified performance figures, as one necessary precondition for effective learning analytics decision support. Whether that precondition leads to better decisions remains open without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(90.9%) of at-risk students in the held-out data, and approximately 86.6%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The results show that a model of this kind can distinguish at-risk from not-at-risk students on retrospective, full-presentation data with useful accuracy. Whether the same performance would hold with features truncated earlier in the presentation, the condition under which an early-warning system would actually operate, was not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fitted model, with a practical implication for the dashboard's reasoning trail: the leading contribution shown to a practitioner for most students will typically relate to assessment completion rather than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revealed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seven of ten top features, but agree only partially at the level of individual predictions (mean top-5 overlap 0.635).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a system that displayed only one method's ranking would have concealed a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what each view would show; how practitioners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draw on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87.7% accuracy, 0.866 precision, 0.909 recall, and 0.887 F1-score, out-of-fold, under a protocol that isolates entire course presentations across folds, which is a demanding test of generalisation. This clearly shows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true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useful for a dashboard meant to show disagreement rather than hide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Sections 4.8 and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explainability module)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Chapter 7 identifies primary evaluation of practitioner response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shows that the recorded manifest metrics trace to an executable pipeline rather than a hard-coded figure. The feature-engineering step is part of the same executable pipeline, which runs from the raw OULAD CSV files to the feature table, so the same check covers it.</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0.9624)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exposes real, checkable disagreement between explanation methods rather than presenting a single unexamined ranking. This is a positive answer to Research Question 1 at the level the thesis was scoped to test: a traceable, reproducible integration of SHAP and LIME into the prediction pipeline. Whether practitioners experience this integration as more transparent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the design itself answers it, supported by technical evidence that the design's content is correct. Chapter 3, Section 3.6 and Chapter 4, Section 4.9 specify three role-differentiated views: per-student detail for instructors, cohort-level aggregation for advisors, and full-population aggregation for administrators. Each is built on the same reasoning trail rendered at a different level of granularity, following the differentiated information-need rationale of Kaliisa and Dolonen (2022), Gutierrez et al. (2020), and Tsai and Gasevic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supported by both the design literature and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stable discrimination (Section 5.3, AUC 0.9624), together with the confirmed, literature-consistent feature rankings in Section 5.6, provides the technical preconditions for a future investigation of trust in the predictions themselves, independent of how that trust is ultimately measured. Second, SHAP and LIME showed partial agreement (mean top-5 overlap 0.635, Section 5.6). A dashboard that presents both methods side by side, as implemented in Chapter 4, Section 4.7, lets practitioners see where the methods agree and where they differ instead of relying on one method alone, which the XAI literature (Ribeiro et al., 2016; Lundberg et al., 2020) associates with more defensible trust than an opaque prediction. In addition, Brdnik, Podgorelec, and Sumak (2023), discussed in Section 5.8, show that practitioner trust and satisfaction with several explanation techniques can be measured in a learning analytics setting. Their reported scores could not be independently verified for this thesis and are not quoted; their study shows how the question could be investigated and is not a finding of this thesis. Taken together, the evidence in this chapter indicates that the technical preconditions for supporting practitioner interpretation and decision-making, accurate predictions and traceable, cross-checked explanations, are in place. Whether they lead to better interpretation, trust, or decisions for this dashboard is the question for the empirical study proposed as the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87.7% accuracy, 0.866 precision, 0.909 recall, and 0.887 F1-score out-of-fold, under a protocol that holds out entire course presentations, correctly identifying 15,634 of the 17,208 genuinely at-risk students in the held-out data. A three-way comparison for this chapter found Random Forest with a marginally higher F1-score than the prototype XGBoost model, a useful finding for future iterations, while XGBoost retained the highest recall of the three,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where both are led by the count of assessments submitted, with the FFF module indicator, mean assessment score, and active days also prominent in both. At the level of individual predictions they agree only partially (mean top-5 overlap 0.635), which suits a dashboard designed to show cross-checked explanations rather than a single unexamined ranking. Chapter 4's reported figures were independently reproduced in full. Section 5.7 tested one of the project's own documented findings, that the 28-day pre-deadline click window outranks total clicks in importance, and a seed-stability check showed that the order of these two near-duplicate features is not stable across refits of the model. Section 5.7 also identified six areas where the pipeline can be extended,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functions correctly and traceably (Research Question 1); the role-differentiated design rests on sound underlying content and established design literature (Research Question 2); and the system provides the technical properties, accurate predictions and cross-checked explanations, that a later practitioner study of trust and understanding could evaluate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0.8774 accuracy, 0.8659 precision, 0.9085 recall, and 0.8867 F1-score out-of-fold, with an AUC of 0.9624,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This is closer to the situation an institution faces when it applies an existing model to a new presentation than the stratified random splits used in much of the OULAD literature. The reported figures should therefore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important feature of this study's error profile is its asymmetry. Recall of 0.9085 exceeds precision of 0.8659, which means the model at the default threshold is more willing to raise a flag that turns out to be unnecessary than to withhold one that turns out to be needed. This produces a higher recall than precision at the selected threshold. A student who is genuinely at risk but not flagged receives nothing from the dashboard, and the 1,574 false negatives in the confusion matrix represent students for whom the system would have provided no basis for any of the three roles to act. The 2,422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0.5 threshold used throughout was not tuned to this asymmetry, and the fact that the model already leans in the useful direction at an untuned threshold favours the pipeline rather than reflecting a design achievement.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0.8976, ahead of Gradient Boosting at 0.8932 and the prototype XGBoost model at 0.8867,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most relevant to how confidently the pooled figures can be read. Accuracy ranged from 0.8456 for 2014J to 0.9161 for 2013J, and the error pattern reversed across the dataset: the two 2013 presentations produced high precision above 0.95 with recall between 0.86 and 0.88, while the two 2014 presentations produced precision around 0.81 to 0.82 with recall as high as 0.9627.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using a model of this kind could not fully anticipate its error profile for a cohort it has not yet observed. This argues for periodic recalibration and for reporting the current operating point to the roles that rely on it, not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what a flag means. A student flagged by this model is a student whose behavioural and assessment profile resembles that of students who withdrew or failed in the presentations the model was trained on, and withdrawal in particular has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this study did not test it. Adnan et al. (2021) address this question directly on OULAD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insufficient, and this gap carries into Section 6.11 as a limitation rather than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that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59-column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3.1110 is more than four times that of the second-ranked feature, active_days at 0.7087.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emphasise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-0.69 and -0.96, so higher values push the prediction away from the at-risk class. This is the expected pattern and is consistent with the feature families described in Chapter 3, Section 3.4. The exception is clicks_28d_before_deadline, whose correlation of +0.8354 places it in the opposite direction to total_clicks and active_days. Chapter 5 identifies collinearity among the engagement counts as one possible explanation and measures it, with a correlation of 0.98 between the 28-day window and total clicks; however, it did not carry out a dependence analysis, and it retains a cautious reading here. The key point is what the finding shows about the value of inspecting direction alongside magnitude. The same feature ranks sixth in global importance, close to the raw total clicks with which it is almost perfectly correlated,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cautions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the aggregate level, agreement is strong: SHAP and LIME lead with the same feature and share seven of their respective top ten. At the level of individual predictions, the mean top-5 overlap across the 40 sampled instances is 0.635 with a standard deviation of 0.197, meaning that on average slightly more than three of a given student’s top five SHAP features also appear in that student’s top five LIME features. The two methods are therefore not interchangeable for explaining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0.635 converts that into an argument from evidence within this system: displaying one method alone would have concealed a moderate and measurable level of instance-level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indicates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ambiguous in any case, since a student who has already decided to withdraw will stop submitting. The explanations establish that the model’s output for a given student is driven by a small number of identifiable, human-readable quantities, which is a precondition for a practitioner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not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available evidence falls into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has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resources.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emphasises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support this view. Because assessment submission dominates attribution, the leading contribution an instructor sees usually concerns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the gradebook does not,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because the model is substantially a withdrawal predictor, the flags an advisor sees are weighted towards the outcome advising conversations most directly concern: a student’s continued registration rather than their mark on a particular assessment. Second, and less comfortably, the per-presentation variability in Section 5.5 means an advisor’s caseload depends on the model's operating point for the cohort in question. In a presentation resembling 2014B, where recall reached 0.9627 and precision fell to 0.8243,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Gasevic (2017). Institutional decisions concern distributions rather than individuals, and the most relevant findings at this level are aggregate ones. The between-presentation variability in Table 5.3 is arguably the most useful piece of information the technical evaluation offers an administrator, since it indicates how much the model's behaviour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The administrator view must not become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realised as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The model differentiates the roles by the granularity and framing of the knowledge each requires, not by the visual form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On this evidence, what role awareness contributes is a defined mapping between a technical output and the level at which each role makes decisions. That is a real contribution to the design problem, and the technical evaluation supports it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that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rests on the traceability of the modelling process from conceptual model to operational system, not on the novelty of any single component. That is the form the contribution takes here: each interface decision can be traced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likely would not have. The separation between the Knowledge Model and the Communication Model kept what the system knows separate from how it communicates it, and this separation made role differentiation a deliberate design choice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that knowledge's quality depends. It says nothing about whether the feature window should be truncated for early warning, which of the three candidate models should be used in the prototype, or whether post-hoc attributions adequately represent a gradient-boosted ensemble. It also does not validate the agent characterisations it produces. The Agent Model in this study was populated from published accounts of practitioners' information needs rather than from knowledge elicitation with practitioners, which is the acquisition activity the methodology would ordinarily expect; as a result,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asks what the predictive and explainability findings indicate about the dashboard's technical potential to support practitioner interpretation and decision-making. This section addresses that question at the decision-support level, and Section 6.12 returns to the research question itself. The distinction that governs the whole discussion is that this study conducted a technical evaluation, not a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The technical evaluation </w:t>
      </w:r>
      <w:commentRangeStart w:id="74"/>
      <w:r>
        <w:rPr>
          <w:rtl w:val="0"/>
        </w:rPr>
        <w:t xml:space="preserve">demonstrated</w:t>
      </w:r>
      <w:commentRangeEnd w:id="74"/>
      <w:r>
        <w:commentReference w:id="74"/>
      </w:r>
      <w:r>
        <w:rPr>
          <w:rtl w:val="0"/>
        </w:rPr>
        <w:t xml:space="preserve"> a set of system properties. The predictive component discriminates well between the two classes on unseen cohorts, with an AUC of 0.9624,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The design supports, but does not demonstrate, delivering those properties to each role in a usable form. The role-gated views, the shared reasoning trail rendered at three levels of aggregation, and the progressive disclosure of attribution detail are implemented and documented, and grounded in the Agent and Communication Models and the dashboard literature reviewed in Chapter 2. The architecture lets an instructor see why a particular student was flagged, an advisor see what is common across a caseload, and an administrator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The findings suggest, but do not establish, that combining accurate prediction with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This study did not observe it.</w:t>
      </w:r>
    </w:p>
    <w:p w:rsidR="00000000" w:rsidDel="00000000" w:rsidP="00000000" w:rsidRDefault="00000000" w:rsidRPr="00000000" w14:paraId="000002D8">
      <w:pPr>
        <w:spacing w:after="200" w:lineRule="auto"/>
        <w:jc w:val="both"/>
        <w:rPr/>
      </w:pPr>
      <w:r>
        <w:rPr>
          <w:rtl w:val="0"/>
        </w:rPr>
        <w:t xml:space="preserve">This study did not validate anything related to practitioner response. No instructor, advisor, or administrator used the system in this study. No evidence shows that practitioners trust the predictions, understand the reasoning trail, prefer one explanation method to another, benefit from role differentiation in comprehension relative to a single undifferentiated view, or that decisions made with the dashboard differ in quality from decisions made without it. Nor is there evidence on the failure modes a practitioner study would be expected to reveal, and these are real risks. Explanations can produce unwarranted confidence in a prediction as readily as warranted confidence, particularly where the explanation is plausible and the underlying prediction is wrong, and the 2,422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study of perceived trust and satisfaction across several explanation techniques, including SHAP and LIME, in a learning analytics context. It shows that these questions can be answered for a dashboard of this kind and indicates the form the follow-up study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dashboard design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The system performs only the first two stages, and the dashboard is designed to support the third without taking over the fourth. The following paragraphs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states statistical resemblance within a particular dataset under a particular label definition, and Section 6.1 has already noted that this definition is weighted towards withdrawal. The model explanation attributes that prediction to input features,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alter something in the course, record the case and wait, or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way to check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can be checked against independent knowledge in a way that a probability cannot.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to do. The appropriate response depends on why submissions are missing, and that is exactly what the model does not know: a student struggling with the material, a student managing a period of illness, and a student who has decided to leave may all present the same feature values. The explanation narrows the space of possible situations and tells the practitioner where to focus. It does not select the intervention, and a system that presented attributions as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system's knowledge. The role-aware views operationalise that division by presenting each role with the information relevant to the decision it has to make while leaving the decision itself outside the system. Progressive disclosure serves the same end: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dashboard design rarely reflects the differing information needs of institutional stakeholders. The framework developed across Chapters 3 and 4 addresses all three. This section considers how far the evidence supports that claim.</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inconvenient aspects such as the seven-point spread in accuracy across presentations and the marginally higher F1-score of a model not selected for the prototype. The explainability integration works at full scale, produces both global and local attributions, and measures the relationship between the two methods rather than assuming it. The pipeline is reproducible, and Chapter 4’s figures were reproduced cell for cell in a separate execution. The implemented system exists as a working artefact with role-gated views, an authentication path enforced at two layers, and tested plugin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that the design reasoning is documented and the content is verified, not in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Several technical properties that bear on practical use also went unaddressed: probability calibration was not assessed, and strong discrimination is distinct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from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problem framing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broader argument that choices in cross-validation, filtering, and metric selection materially change reported performance regardless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aligns with the OULAD literature, where assessment and VLE interaction features both carry predictive weight and assessment behaviour tends to be the stronger signal (Kuzilek et al., 2017; Jin et al., 2024). Waheed et al. (2020) predict academic performance from VLE clickstream data using deep learning, which aligns more closely with the engagement side of the present feature set, though their reported figures were not independently verified for this thesis and are not compared numerically. The more specific claim that the 28-day pre-deadline click window outranks raw total clicks could not be settled: the two features are near-duplicates, and their order changed between refits of the same model (Section 5.7). The deadline-anchored windows nonetheless carry weight alongside total activity, which is consistent with Hlosta, Zdrahal, and Zendulka (2017), who report that windows aligned to submission dates yield stronger early-warning signals on OULAD, although the present evidence does not show them outperforming raw totals. The counter-intuitive sign of that feature’s contribution, discussed in Section 6.2, is a further caution about interpretation.</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Hooshyar and Yang (2024) report significant variability between the feature importance assigned by SHAP and LIME variants to the same educational predictive model. The mean top-5 instance-level overlap of 0.635 reported here is consistent with that characterisation and adds a quantity to it for this model and dataset. Here the study goes beyond replication. Much of the educational XAI literature applies one method or reports the two separately, whereas the measured instance-level overlap gives a concrete figure for how differently a practitioner would see the same prediction depending on which method they consulted.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targets students rather than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Gasevic, Dawson, and Siemens (2015) argue that the value of learning analytics lies in connecting data to actionable decisions rather than in predictive accuracy alone, and Tsai and Gasevic (2017) and Leitner, Ebner, and Ebner (2019) document the persistent gap between technically capable models and their use in institutional decision-making. The findings of this study support the view that the difficulty lies in connecting predictions to decisions. A well-performing classifier on OULAD was obtained with a fixed, untuned configuration and no resampling, whereas showing that its outputs would be usable by three different staff roles remains unfinished at the close of this study.</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to report explanations. The instance-level divergence between SHAP and LIME measured in Section 5.6 indicates that a single attribution method does not give a complete account of a model’s local behaviour. In practice, this implies that systems reporting one method as the explanation present a more settled picture than the underlying attributions support, and that where two methods are available, their level of agreement is itself worth showing to users.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not only how much, and that developers of such systems should expect artefacts of this kind to appear and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used to communicate model outputs. Throughout this study the terms contribution, attribution, and association have been used in preference to causal language, following the position set out in Chapter 3, Section 3.5. This is not only an academic convention. An instructor under time pressure will read a reasoning trail that names low assessment submission as the leading contributor to a flag. Whether that feature contributed to a prediction or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a model's error profile is a property of the cohort as well as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to recommend actions, follows from the limits of what the attributions establish,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used a public benchmark dataset with no identifiable students, but a system like this,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resources, since a model with strong aggregate performance may distribute its errors unevenly. The second is that access control is an essential requirement, not an incidental one, which is why Chapter 4, Section 4.8 enforces role separation at both the edge and the API: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This study's findings come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at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transferring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more common and differently motivated. Since withdrawals account for 59 per cent of the positive class here, the target variable partly reflects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not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fitted model, attribution rankings, and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on held-out cohorts, and enough ongoing data to retrain as cohorts change. It would need the three roles to exist in a recognisable form, since an institution where teaching staff advise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matter for transfer to institutions in Nigeria and elsewhere in Africa, where this research is based, but they are conditions, not conclusions. Higher education across the continent is not a single context, and institutions differ widely in LMS adoption, the completeness of the interaction data their systems retain, the availability of computing infrastructure and technical staff, and their data governance arrangements. This study found no evidence on any of these. The evidence it does have supports a limited and specific point: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that most directly affects the early-warning purpose motivating this line of research. As Section 6.1 sets out, the features were computed over the full course presentation, so the evaluation establishes retrospective classification using the available OULAD feature set and does not establish performance at a predefined early-warning point. Read every statement in this chapter about identifying students who may be at risk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The explanation findings therefore rest on cross-method agreement alone, the risk scores have not been shown to be calibrated, and there is no evidence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59-column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0.635 between the two methods adds another element: the integration exposes checkable disagreement between two attribution methods rather than presenting a single, unexamined ranking, and the clicks_28d_before_deadline artefact shows that inspecting direction alongside magnitude reveals model behaviour that a ranking alone conceals. The answer is bounded in two respects. Transparency concerns the model, not the causes of student outcomes (as discussed in Section 6.2), and whether practitioners experience the resulting interface as more transparent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features and explanation structures, based on the CommonKADS Agent Model and the learning analytics dashboard literature, can be specified to support the different information needs of instructors, advisors, and administrators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share one reasoning trail component rendered at three levels of aggregation: per-student detail for the instructor, cohort-level aggregation across students at or above the watch threshold for the advisor, and full-population aggregation for the administrator. Each view uses progressive disclosure of attribution detail, and role separation is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supports this by confirming that the content these views produce is sound, since the attributions each view ultimately displays were shown to be reproducible and traceable, and by identifying the content each role specifically needs, most notably the between-cohort variability that determines the current operating point. The study cannot claim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fully traceable specification, offered as a candidate for empirical validation rather than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0.9624, a recall of 0.9085, and a precision of 0.8659, so approximately 86.6% of positive predictions corresponded to observations later labelled at-risk under the study’s outcome definition. A system whose flags were often wrong could not support well-founded interpretation however it presented them, and that failure mode is not present here. Second, the attributions are traceable, human-readable, and cross-checked between two methods, giving a practitioner the means to test a flag against what they independently know rather than only accept or reject it. The measured partial agreement between the two methods may also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The evidence therefore establishes that the technical preconditions for supporting practitioner interpretation and decision-making are in place: accurate predictions and traceable, cross-checked explanations. Whether practitioners trust the system, interpret the reasoning trail as intended, understand more with role differentiation, and make better decisions with the dashboard than without it are questions for a study with practitioners. This thesis provides the verified technical foundation for such a study, not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focused on the conditions of the evaluation rather than the magnitude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the figures establish retrospective separability rather than early-warning capability. The variability across the four presentations is the most important single finding for practical use: the operating point varied substantially between held-out presentations, which indicates that it is a property of the cohort as well as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0.635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framework's value in this study was traceability from institutional context through task decomposition and agent characterisation to interface granularity, producing three differentiated views that share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produced four points. The difference from the highest OULAD results may reflect the stricter evaluation protocol, and the available evidence does not allow it to be attributed solely to model quality. The feature findings are consistent with the OULAD literature and support the deadline-anchored feature construction. The measured SHAP and LIME overlap adds a number to a relationship the educational XAI literature has described qualitatively. No comparable role-aware, staff-facing dashboard was identified in the reviewed literature against which the design could be numerically compared.</w:t>
      </w:r>
      <w:commentRangeStart w:id="82"/>
      <w:r>
        <w:rPr>
          <w:rtl w:val="0"/>
        </w:rPr>
        <w:t xml:space="preserve"/>
      </w:r>
      <w:commentRangeEnd w:id="82"/>
      <w:r>
        <w:commentReference w:id="82"/>
      </w:r>
      <w:r>
        <w:rPr>
          <w:rtl w:val="0"/>
        </w:rPr>
        <w:t xml:space="preserve"/>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outlines the work's contributions and the directions it opens up. The purpose is not to repeat earlier material but to clearly account for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alone changes little. A tutor told that a student has a 70 per cent chance of failing needs to know why the model reached that view, whether the reason is actionable, and what a sensible next step would be. This study explains why the model reached its prediction alongside the prediction itself; it does not recommend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this study designed and implemented a role-aware explainable analytics system to predict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study's scope.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main design problem was deciding who needs to know what, in what form, and when.</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0.8774, precision of 0.8659, recall of 0.9085, an F1 score of 0.8867, and an area under the ROC curve of 0.9624. Random Forest obtained a marginally higher F1 score (0.8976) in the three-way comparison. XGBoost was retained for the prototype because recall was the primary selection criterion: missing a struggling student costs more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0.635,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how SHAP and LIME could be integrated into a knowledge engineering pipeline to improve transparency in student at-risk prediction. The study provides a working answer at the system-construction level.</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silently choosing one, is intended to make the explanations usable, because users can see where the two methods agree and where they differ.</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allocate limited resources and spot when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dashboard's technical potential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a single system can deliver prediction and explanation together, rather than treating them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different users' responsibilities and questions, and documents how it arrived at them.</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levels,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This would establish performance at a predefined early-warning point rather than inferring it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before the system is used to direct institutional resources. The assessment should also check whether explanation quality holds evenly across student groups.</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role-specific views are read in practice and how the explanations shape action. It could draw on the perceived usefulness and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modes of study, extending the design's reach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deploying against live activity data raises questions of timing, drift, and refresh that a retrospective dataset cannot expose, and addressing them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high-performing model to the person who must act on its output, approaching this by treating prediction, explanation, and role as one design problem rather than three. The model performed strongly on retrospective classification, the explanations were coherent and consistent with what is known about study behaviour, and the dashboard presents both at the aggregation level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pPr>
        <w:spacing w:after="160" w:lineRule="auto"/>
        <w:ind w:left="720" w:hanging="720"/>
        <w:jc w:val="both"/>
        <w:rPr/>
      </w:pPr>
      <w:r>
        <w:rPr>
          <w:rtl w:val="0"/>
        </w:rPr>
        <w:t xml:space="preserve">Aljohani, N. R., Fayoumi, A., &amp; Hassan, S.-U. (2019). Predicting at-risk students using clickstream data in the virtual learning environment. Sustainability, 11(24), 7238. https://doi.org/10.3390/su11247238</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pPr>
        <w:spacing w:after="160" w:lineRule="auto"/>
        <w:ind w:left="720" w:hanging="720"/>
        <w:jc w:val="both"/>
        <w:rPr/>
      </w:pPr>
      <w:r>
        <w:rPr>
          <w:rtl w:val="0"/>
        </w:rPr>
        <w:t xml:space="preserve">Bodily, R., &amp; Verbert, K. (2017). Review of research on student-facing learning analytics dashboards and educational recommender systems. IEEE Transactions on Learning Technologies, 10(4), 405–418. https://doi.org/10.1109/TLT.2017.2740172</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pPr>
        <w:spacing w:after="160" w:lineRule="auto"/>
        <w:ind w:left="720" w:hanging="720"/>
        <w:jc w:val="both"/>
        <w:rPr/>
      </w:pPr>
      <w:r>
        <w:rPr>
          <w:rtl w:val="0"/>
        </w:rPr>
        <w:t xml:space="preserve">Chatti, M. A., Dyckhoff, A. L., Schroeder, U., &amp; Thüs, H. (2012). A reference model for learning analytics. International Journal of Technology Enhanced Learning, 4(5/6), 318–331. https://doi.org/10.1504/IJTEL.2012.051815</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pPr>
        <w:spacing w:after="160" w:lineRule="auto"/>
        <w:ind w:left="720" w:hanging="720"/>
        <w:jc w:val="both"/>
        <w:rPr/>
      </w:pPr>
      <w:r>
        <w:rPr>
          <w:rtl w:val="0"/>
        </w:rPr>
        <w:t xml:space="preserve">Conati, C., Barral, O., Putnam, V., &amp; Rieger, L. (2021). Toward personalized XAI: A case study in intelligent tutoring systems. Artificial Intelligence, 298, 103503. https://doi.org/10.1016/j.artint.2021.103503</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Gasevic,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pPr>
        <w:spacing w:after="160" w:lineRule="auto"/>
        <w:ind w:left="720" w:hanging="720"/>
        <w:jc w:val="both"/>
        <w:rPr/>
      </w:pPr>
      <w:r>
        <w:rPr>
          <w:rtl w:val="0"/>
        </w:rPr>
        <w:t xml:space="preserve">Gunning, D., &amp; Aha, D. W. (2019). DARPA’s explainable artificial intelligence (XAI) program. AI Magazine, 40(2), 44–58. https://doi.org/10.1609/aimag.v40i2.2850</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pPr>
        <w:spacing w:after="160" w:lineRule="auto"/>
        <w:ind w:left="720" w:hanging="720"/>
        <w:rPr/>
      </w:pPr>
      <w:r>
        <w:rPr>
          <w:rtl w:val="0"/>
        </w:rPr>
        <w:t xml:space="preserve">Hooshyar, D., &amp; Yang, Y. (2024). Problems with SHAP and LIME in interpretable AI for education: A comparative study of post-hoc explanations and neural-symbolic rule extraction. IEEE Access, 12, 137472–137490. https://doi.org/10.1109/ACCESS.2024.3463948</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pPr>
        <w:spacing w:after="160" w:lineRule="auto"/>
        <w:ind w:left="720" w:hanging="720"/>
        <w:jc w:val="both"/>
        <w:rPr/>
      </w:pPr>
      <w:r>
        <w:rPr>
          <w:rtl w:val="0"/>
        </w:rPr>
        <w:t xml:space="preserve">Kouki, P., Schaffer, J., Pujara, J., O’Donovan, J., &amp; Getoor, L. (2020). Generating and understanding personalized explanations in hybrid recommender systems. ACM Transactions on Interactive Intelligent Systems, 10(4), Article 31. https://doi.org/10.1145/3365843</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pPr>
        <w:spacing w:after="160" w:lineRule="auto"/>
        <w:ind w:left="720" w:hanging="720"/>
        <w:jc w:val="both"/>
        <w:rPr/>
      </w:pPr>
      <w:r>
        <w:rPr>
          <w:rtl w:val="0"/>
        </w:rPr>
        <w:t xml:space="preserve">Larrabee Sønderlund, A., Hughes, E., &amp; Smith, J. (2019). The efficacy of learning analytics interventions in higher education: A systematic review. British Journal of Educational Technology, 50(5), 2594–2618. https://doi.org/10.1111/bjet.12720</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(2023). Prediction of at-risk students using learning analytics: A literature review. In S. K. S. Cheung, F. L. Wang, N. Paoprasert, P. Charnsethikul, K. C. Li, &amp; K. Phusavat (Eds.), Technology in education. Innovative practices for the new normal (pp. 119–128). Springer. https://doi.org/10.1007/978-981-99-8255-4_11</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Gasevic,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60" w:lineRule="auto"/>
        <w:ind w:left="720" w:hanging="720"/>
        <w:jc w:val="both"/>
        <w:rPr/>
      </w:pPr>
      <w:r>
        <w:rPr>
          <w:rtl w:val="0"/>
        </w:rPr>
        <w:t xml:space="preserve">Miteva, D., &amp; Stefanova, E. (2022). eAnalytics: A model of a learning analytics visualization system. Annuaire de l’Université de Sofia “St. Kliment Ohridski”, Faculté de Mathématiques et Informatique, 109, 99–119.</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pPr>
        <w:spacing w:after="160" w:lineRule="auto"/>
        <w:ind w:left="720" w:hanging="720"/>
        <w:jc w:val="both"/>
        <w:rPr/>
      </w:pPr>
      <w:r>
        <w:rPr>
          <w:rtl w:val="0"/>
        </w:rPr>
        <w:t xml:space="preserve">Sedrakyan, G., Malmberg, J., Verbert, K., Järvelä, S., &amp; Kirschner, P. A. (2020). Linking learning behavior analytics and learning science concepts: Designing a learning analytics dashboard for feedback to support learning regulation. Computers in Human Behavior, 107, 105512. https://doi.org/10.1016/j.chb.2018.05.004</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Gaševic,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pPr>
        <w:spacing w:after="160" w:lineRule="auto"/>
        <w:ind w:left="720" w:hanging="720"/>
        <w:jc w:val="both"/>
        <w:rPr/>
      </w:pPr>
      <w:r>
        <w:rPr>
          <w:rtl w:val="0"/>
        </w:rPr>
        <w:t xml:space="preserve">Viberg, O., Hatakka, M., Bälter, O., &amp; Mavroudi, A. (2018). The current landscape of learning analytics in higher education. Computers in Human Behavior, 89, 98–110. https://doi.org/10.1016/j.chb.2018.07.027</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pPr>
        <w:spacing w:after="160" w:lineRule="auto"/>
        <w:ind w:left="720" w:hanging="720"/>
        <w:jc w:val="both"/>
        <w:rPr/>
      </w:pPr>
      <w:r>
        <w:rPr>
          <w:rtl w:val="0"/>
        </w:rPr>
        <w:t xml:space="preserve">Wachter, S., Mittelstadt, B., &amp; Russell, C. (2018). Counterfactual explanations without opening the black box: Automated decisions and the GDPR. Harvard Journal of Law &amp; Technology, 31(2), 841–887.</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50</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53</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54</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authentication and role resolution, (a) Moodle login page (role and course context come from Moodle), (b) dashboard sign-in inside a Canvas course</w:t>
      </w:r>
      <w:r>
        <w:tab/>
      </w:r>
      <w:r>
        <w:t>55</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At-risk insights page of the Moodle plugin in course FFF-2014J, with the SHAP and LIME reasoning trail for one student</w:t>
      </w:r>
      <w:r>
        <w:tab/>
      </w:r>
      <w:r>
        <w:t>57</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FFF-2014J with the dashboard embedded through an External URL module item</w:t>
      </w:r>
      <w:r>
        <w:tab/>
      </w:r>
      <w:r>
        <w:t>58</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62</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63</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64</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66</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68</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86</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61</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63</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64</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65</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67</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69</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92</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116</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117</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SIS</w:t>
      </w:r>
      <w:r>
        <w:tab/>
      </w:r>
      <w:r>
        <w:rPr>
          <w:rtl w:val="0"/>
        </w:rPr>
        <w:t xml:space="preserve">Student Information System</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The versions are those of the Docker image in which the pipeline was run.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prototype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1.9.1 and xgboost 3.2.0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NumPy, SHAP, LIME, joblib, Flask, PyJWT, gunicorn)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pandas 3.0.6, NumPy 2.4.6, SHAP 0.51.0, LIME 0.2.0.1, joblib 1.6.0, Flask 3.1.3, PyJWT 2.15.1, gunicorn 26.2.0.</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3.11.16 (python:3.11-slim Docker image).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Docker container on a Linux x86_64 host with 4 virtual CPUs and 16 GB of memory; no GPU.</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Branch claude/gallant-hypatia-sq10ks of github.com/daniel-larry/python-run-result, commit dbecf4d.</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Serialised joblib pipeline (preprocessing and model) with a JSON manifest recording the training date, feature dictionary version, and evaluation metrics (Chapter 4, Section 4.6). Identifier: xgb-20260929-112741</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59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 seed-stability check of the SHAP ranking with the model refitted at random_state 1 to 7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describe each feature as documented in this thesis; entries marked as inferred are derived from the feature name and should be confirmed against the feature-engineering code.</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Derived from the unregistration date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late submissions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banked results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days with clicks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daily clicks (denominator to be confirmed)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The derivation of withdrew_before_start is inferred from its name and should be confirmed against the feature-engineering code.</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3.1110</w:t>
      </w:r>
    </w:p>
    <w:p w:rsidR="00000000" w:rsidDel="00000000" w:rsidP="00000000" w:rsidRDefault="00000000" w:rsidRPr="00000000" w14:paraId="0000043B">
      <w:pPr>
        <w:spacing w:after="120" w:lineRule="auto"/>
        <w:ind w:left="360" w:hanging="360"/>
        <w:jc w:val="both"/>
        <w:rPr/>
      </w:pPr>
      <w:r>
        <w:rPr>
          <w:rtl w:val="0"/>
        </w:rPr>
        <w:t xml:space="preserve">2. active_days: 0.7087</w:t>
      </w:r>
    </w:p>
    <w:p w:rsidR="00000000" w:rsidDel="00000000" w:rsidP="00000000" w:rsidRDefault="00000000" w:rsidRPr="00000000" w14:paraId="0000043C">
      <w:pPr>
        <w:spacing w:after="120" w:lineRule="auto"/>
        <w:ind w:left="360" w:hanging="360"/>
        <w:jc w:val="both"/>
        <w:rPr/>
      </w:pPr>
      <w:r>
        <w:rPr>
          <w:rtl w:val="0"/>
        </w:rPr>
        <w:t xml:space="preserve">3. code_module = FFF: 0.5338</w:t>
      </w:r>
    </w:p>
    <w:p w:rsidR="00000000" w:rsidDel="00000000" w:rsidP="00000000" w:rsidRDefault="00000000" w:rsidRPr="00000000" w14:paraId="0000043D">
      <w:pPr>
        <w:spacing w:after="120" w:lineRule="auto"/>
        <w:ind w:left="360" w:hanging="360"/>
        <w:jc w:val="both"/>
        <w:rPr/>
      </w:pPr>
      <w:r>
        <w:rPr>
          <w:rtl w:val="0"/>
        </w:rPr>
        <w:t xml:space="preserve">4. mean_score: 0.4790</w:t>
      </w:r>
    </w:p>
    <w:p w:rsidR="00000000" w:rsidDel="00000000" w:rsidP="00000000" w:rsidRDefault="00000000" w:rsidRPr="00000000" w14:paraId="0000043E">
      <w:pPr>
        <w:spacing w:after="120" w:lineRule="auto"/>
        <w:ind w:left="360" w:hanging="360"/>
        <w:jc w:val="both"/>
        <w:rPr/>
      </w:pPr>
      <w:r>
        <w:rPr>
          <w:rtl w:val="0"/>
        </w:rPr>
        <w:t xml:space="preserve">5. total_clicks: 0.3819</w:t>
      </w:r>
    </w:p>
    <w:p w:rsidR="00000000" w:rsidDel="00000000" w:rsidP="00000000" w:rsidRDefault="00000000" w:rsidRPr="00000000" w14:paraId="0000043F">
      <w:pPr>
        <w:spacing w:after="120" w:lineRule="auto"/>
        <w:ind w:left="360" w:hanging="360"/>
        <w:jc w:val="both"/>
        <w:rPr/>
      </w:pPr>
      <w:r>
        <w:rPr>
          <w:rtl w:val="0"/>
        </w:rPr>
        <w:t xml:space="preserve">6. clicks_28d_before_deadline: 0.3111</w:t>
      </w:r>
    </w:p>
    <w:p w:rsidR="00000000" w:rsidDel="00000000" w:rsidP="00000000" w:rsidRDefault="00000000" w:rsidRPr="00000000" w14:paraId="00000440">
      <w:pPr>
        <w:spacing w:after="120" w:lineRule="auto"/>
        <w:ind w:left="360" w:hanging="360"/>
        <w:jc w:val="both"/>
        <w:rPr/>
      </w:pPr>
      <w:r>
        <w:rPr>
          <w:rtl w:val="0"/>
        </w:rPr>
        <w:t xml:space="preserve">7. min_score: 0.2741</w:t>
      </w:r>
    </w:p>
    <w:p w:rsidR="00000000" w:rsidDel="00000000" w:rsidP="00000000" w:rsidRDefault="00000000" w:rsidRPr="00000000" w14:paraId="00000441">
      <w:pPr>
        <w:spacing w:after="120" w:lineRule="auto"/>
        <w:ind w:left="360" w:hanging="360"/>
        <w:jc w:val="both"/>
        <w:rPr/>
      </w:pPr>
      <w:r>
        <w:rPr>
          <w:rtl w:val="0"/>
        </w:rPr>
        <w:t xml:space="preserve">8. module_presentation_length: 0.2718</w:t>
      </w:r>
    </w:p>
    <w:p w:rsidR="00000000" w:rsidDel="00000000" w:rsidP="00000000" w:rsidRDefault="00000000" w:rsidRPr="00000000" w14:paraId="00000442">
      <w:pPr>
        <w:spacing w:after="120" w:lineRule="auto"/>
        <w:ind w:left="360" w:hanging="360"/>
        <w:jc w:val="both"/>
        <w:rPr/>
      </w:pPr>
      <w:r>
        <w:rPr>
          <w:rtl w:val="0"/>
        </w:rPr>
        <w:t xml:space="preserve">9. code_module = EEE: 0.2285</w:t>
      </w:r>
    </w:p>
    <w:p w:rsidR="00000000" w:rsidDel="00000000" w:rsidP="00000000" w:rsidRDefault="00000000" w:rsidRPr="00000000" w14:paraId="00000443">
      <w:pPr>
        <w:spacing w:after="120" w:lineRule="auto"/>
        <w:ind w:left="360" w:hanging="360"/>
        <w:jc w:val="both"/>
        <w:rPr/>
      </w:pPr>
      <w:r>
        <w:rPr>
          <w:rtl w:val="0"/>
        </w:rPr>
        <w:t xml:space="preserve">10. mean_days_late: 0.1468</w:t>
      </w:r>
    </w:p>
    <w:p w:rsidR="00000000" w:rsidDel="00000000" w:rsidP="00000000" w:rsidRDefault="00000000" w:rsidRPr="00000000" w14:paraId="00000444">
      <w:pPr>
        <w:spacing w:after="120" w:lineRule="auto"/>
        <w:ind w:left="360" w:hanging="360"/>
        <w:jc w:val="both"/>
        <w:rPr/>
      </w:pPr>
      <w:r>
        <w:rPr>
          <w:rtl w:val="0"/>
        </w:rPr>
        <w:t xml:space="preserve">11. clicks_14d_before_deadline: 0.1360</w:t>
      </w:r>
    </w:p>
    <w:p w:rsidR="00000000" w:rsidDel="00000000" w:rsidP="00000000" w:rsidRDefault="00000000" w:rsidRPr="00000000" w14:paraId="00000445">
      <w:pPr>
        <w:spacing w:after="120" w:lineRule="auto"/>
        <w:ind w:left="360" w:hanging="360"/>
        <w:jc w:val="both"/>
        <w:rPr/>
      </w:pPr>
      <w:r>
        <w:rPr>
          <w:rtl w:val="0"/>
        </w:rPr>
        <w:t xml:space="preserve">12. highest_education = Lower Than A Level: 0.1312</w:t>
      </w:r>
    </w:p>
    <w:p w:rsidR="00000000" w:rsidDel="00000000" w:rsidP="00000000" w:rsidRDefault="00000000" w:rsidRPr="00000000" w14:paraId="00000446">
      <w:pPr>
        <w:spacing w:after="120" w:lineRule="auto"/>
        <w:ind w:left="360" w:hanging="360"/>
        <w:jc w:val="both"/>
        <w:rPr/>
      </w:pPr>
      <w:r>
        <w:rPr>
          <w:rtl w:val="0"/>
        </w:rPr>
        <w:t xml:space="preserve">13. code_module = DDD: 0.1075</w:t>
      </w:r>
    </w:p>
    <w:p w:rsidR="00000000" w:rsidDel="00000000" w:rsidP="00000000" w:rsidRDefault="00000000" w:rsidRPr="00000000" w14:paraId="00000447">
      <w:pPr>
        <w:spacing w:after="120" w:lineRule="auto"/>
        <w:ind w:left="360" w:hanging="360"/>
        <w:jc w:val="both"/>
        <w:rPr/>
      </w:pPr>
      <w:r>
        <w:rPr>
          <w:rtl w:val="0"/>
        </w:rPr>
        <w:t xml:space="preserve">14. n_late_submissions: 0.0770</w:t>
      </w:r>
    </w:p>
    <w:p w:rsidR="00000000" w:rsidDel="00000000" w:rsidP="00000000" w:rsidRDefault="00000000" w:rsidRPr="00000000" w14:paraId="00000448">
      <w:pPr>
        <w:spacing w:after="120" w:lineRule="auto"/>
        <w:ind w:left="360" w:hanging="360"/>
        <w:jc w:val="both"/>
        <w:rPr/>
      </w:pPr>
      <w:r>
        <w:rPr>
          <w:rtl w:val="0"/>
        </w:rPr>
        <w:t xml:space="preserve">15. code_module = BBB: 0.0640</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0.3961</w:t>
      </w:r>
    </w:p>
    <w:p w:rsidR="00000000" w:rsidDel="00000000" w:rsidP="00000000" w:rsidRDefault="00000000" w:rsidRPr="00000000" w14:paraId="0000044B">
      <w:pPr>
        <w:spacing w:after="120" w:lineRule="auto"/>
        <w:ind w:left="360" w:hanging="360"/>
        <w:jc w:val="both"/>
        <w:rPr/>
      </w:pPr>
      <w:r>
        <w:rPr>
          <w:rtl w:val="0"/>
        </w:rPr>
        <w:t xml:space="preserve">2. code_module = FFF: 0.1397</w:t>
      </w:r>
    </w:p>
    <w:p w:rsidR="00000000" w:rsidDel="00000000" w:rsidP="00000000" w:rsidRDefault="00000000" w:rsidRPr="00000000" w14:paraId="0000044C">
      <w:pPr>
        <w:spacing w:after="120" w:lineRule="auto"/>
        <w:ind w:left="360" w:hanging="360"/>
        <w:jc w:val="both"/>
        <w:rPr/>
      </w:pPr>
      <w:r>
        <w:rPr>
          <w:rtl w:val="0"/>
        </w:rPr>
        <w:t xml:space="preserve">3. code_module = AAA: 0.0995</w:t>
      </w:r>
    </w:p>
    <w:p w:rsidR="00000000" w:rsidDel="00000000" w:rsidP="00000000" w:rsidRDefault="00000000" w:rsidRPr="00000000" w14:paraId="0000044D">
      <w:pPr>
        <w:spacing w:after="120" w:lineRule="auto"/>
        <w:ind w:left="360" w:hanging="360"/>
        <w:jc w:val="both"/>
        <w:rPr/>
      </w:pPr>
      <w:r>
        <w:rPr>
          <w:rtl w:val="0"/>
        </w:rPr>
        <w:t xml:space="preserve">4. mean_score: 0.0640</w:t>
      </w:r>
    </w:p>
    <w:p w:rsidR="00000000" w:rsidDel="00000000" w:rsidP="00000000" w:rsidRDefault="00000000" w:rsidRPr="00000000" w14:paraId="0000044E">
      <w:pPr>
        <w:spacing w:after="120" w:lineRule="auto"/>
        <w:ind w:left="360" w:hanging="360"/>
        <w:jc w:val="both"/>
        <w:rPr/>
      </w:pPr>
      <w:r>
        <w:rPr>
          <w:rtl w:val="0"/>
        </w:rPr>
        <w:t xml:space="preserve">5. active_days: 0.0498</w:t>
      </w:r>
    </w:p>
    <w:p w:rsidR="00000000" w:rsidDel="00000000" w:rsidP="00000000" w:rsidRDefault="00000000" w:rsidRPr="00000000" w14:paraId="0000044F">
      <w:pPr>
        <w:spacing w:after="120" w:lineRule="auto"/>
        <w:ind w:left="360" w:hanging="360"/>
        <w:jc w:val="both"/>
        <w:rPr/>
      </w:pPr>
      <w:r>
        <w:rPr>
          <w:rtl w:val="0"/>
        </w:rPr>
        <w:t xml:space="preserve">6. module_presentation_length: 0.0447</w:t>
      </w:r>
    </w:p>
    <w:p w:rsidR="00000000" w:rsidDel="00000000" w:rsidP="00000000" w:rsidRDefault="00000000" w:rsidRPr="00000000" w14:paraId="00000450">
      <w:pPr>
        <w:spacing w:after="120" w:lineRule="auto"/>
        <w:ind w:left="360" w:hanging="360"/>
        <w:jc w:val="both"/>
        <w:rPr/>
      </w:pPr>
      <w:r>
        <w:rPr>
          <w:rtl w:val="0"/>
        </w:rPr>
        <w:t xml:space="preserve">7. clicks_28d_before_deadline: 0.0236</w:t>
      </w:r>
    </w:p>
    <w:p w:rsidR="00000000" w:rsidDel="00000000" w:rsidP="00000000" w:rsidRDefault="00000000" w:rsidRPr="00000000" w14:paraId="00000451">
      <w:pPr>
        <w:spacing w:after="120" w:lineRule="auto"/>
        <w:ind w:left="360" w:hanging="360"/>
        <w:jc w:val="both"/>
        <w:rPr/>
      </w:pPr>
      <w:r>
        <w:rPr>
          <w:rtl w:val="0"/>
        </w:rPr>
        <w:t xml:space="preserve">8. min_score: 0.0183</w:t>
      </w:r>
    </w:p>
    <w:p w:rsidR="00000000" w:rsidDel="00000000" w:rsidP="00000000" w:rsidRDefault="00000000" w:rsidRPr="00000000" w14:paraId="00000452">
      <w:pPr>
        <w:spacing w:after="120" w:lineRule="auto"/>
        <w:ind w:left="360" w:hanging="360"/>
        <w:jc w:val="both"/>
        <w:rPr/>
      </w:pPr>
      <w:r>
        <w:rPr>
          <w:rtl w:val="0"/>
        </w:rPr>
        <w:t xml:space="preserve">9. date_registration: 0.0073</w:t>
      </w:r>
    </w:p>
    <w:p w:rsidR="00000000" w:rsidDel="00000000" w:rsidP="00000000" w:rsidRDefault="00000000" w:rsidRPr="00000000" w14:paraId="00000453">
      <w:pPr>
        <w:spacing w:after="120" w:lineRule="auto"/>
        <w:ind w:left="360" w:hanging="360"/>
        <w:jc w:val="both"/>
        <w:rPr/>
      </w:pPr>
      <w:r>
        <w:rPr>
          <w:rtl w:val="0"/>
        </w:rPr>
        <w:t xml:space="preserve">10. region = Wales: 0.0043</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 Id="rId9002" Type="http://schemas.openxmlformats.org/officeDocument/2006/relationships/image" Target="media/aun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