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commentRangeStart w:id="9"/>
      <w:r>
        <w:rPr>
          <w:rtl w:val="0"/>
          <w:sz w:val="23"/>
          <w:szCs w:val="23"/>
        </w:rPr>
        <w:t xml:space="preserve"/>
      </w:r>
      <w:commentRangeEnd w:id="9"/>
      <w:r>
        <w:commentReference w:id="9"/>
      </w:r>
      <w:r>
        <w:rPr>
          <w:rtl w:val="0"/>
          <w:sz w:val="23"/>
          <w:szCs w:val="23"/>
        </w:rPr>
        <w:t xml:space="preserve"/>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commentRangeStart w:id="10"/>
      <w:commentRangeStart w:id="11"/>
      <w:r>
        <w:rPr>
          <w:rtl w:val="0"/>
          <w:sz w:val="23"/>
          <w:szCs w:val="23"/>
        </w:rPr>
        <w:t xml:space="preserve"/>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Gašević,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Gašević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Gonçalves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Gašević,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Gutiérrez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Gašević,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Gašević,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Gašević,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in two ways. Assessment and interaction counts are set to zero where a student has no recorded submissions or activity, because no record means no activity. Any remaining missing values, such as a missing index of multiple deprivation band, are filled inside the model pipeline, with the median for numeric features and the most frequent category for categorical ones, fitted on the training folds only so that no information passes from the validation data. Van Buuren (2018) notes that indicator encoding can be preferable to simple imputation when missingness may itself be informative, a condition that is plausible for administrative educational data, so adding missingness indicators is a possible refinement.</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Gašević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The prototype source code is held in a version-controlled Git repository (https://github.com/daniel-larry/role-aware-xai-dashboard),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Wilkinson et al. (2016), has not been made.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Kaliisa and Dolonen (2022)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Gašević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Tsai and Gašević (2017) attribute limited adoption partly to the shortage of practitioner-facing decision support, and Leitner, Ebner, and Ebner (2019)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Gašević,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Gašević,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Kaliisa and Dolonen (2022), Gutiérrez et al. (2020), and Tsai and Gašević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Gašević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Gašević, Dawson, and Siemens (2015) argue that the value of learning analytics lies in connecting data to actionable decisions rather than in predictive accuracy alone, and Tsai and Gašević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Gašević,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Gašević,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Gašević,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main of github.com/daniel-larry/role-aware-xai-dashboard, commit 7c0068b.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follow the feature-engineering code in the prototype repository (xai-dashboard/ml/data_layer.py).</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1 if the unregistration date is on or before day 0 (the module start), otherwise 0</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with on-time submissions counted as 0</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 made after the deadline</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results marked as banked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distinct days with any VLE click</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clicks divided by active days (0 if none)</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All 3,097 observations with withdrew_before_start = 1 are labelled at risk, so this feature partly encodes the outcome. Its mean absolute SHAP value in the final model is 0.00, because the same students have no submitted assessments, so it has no influence on the predictions; removing it is recommended in a future iteration.</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