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80" w:after="80"/>
        <w:rPr/>
      </w:pPr>
      <w:r>
        <w:rPr/>
      </w:r>
    </w:p>
    <w:p>
      <w:pPr>
        <w:pStyle w:val="Normal"/>
        <w:spacing w:before="80" w:after="80"/>
        <w:rPr/>
      </w:pPr>
      <w:r>
        <w:rPr/>
      </w:r>
    </w:p>
    <w:p>
      <w:pPr>
        <w:pStyle w:val="Normal"/>
        <w:spacing w:before="80" w:after="80"/>
        <w:rPr/>
      </w:pPr>
      <w:r>
        <w:rPr/>
      </w:r>
    </w:p>
    <w:p>
      <w:pPr>
        <w:pStyle w:val="Normal"/>
        <w:spacing w:before="0" w:after="200"/>
        <w:jc w:val="center"/>
        <w:rPr/>
      </w:pPr>
      <w:r>
        <w:rPr>
          <w:rFonts w:eastAsia="Arial" w:cs="Arial"/>
          <w:b/>
          <w:bCs/>
          <w:color w:val="1F4E79"/>
          <w:sz w:val="52"/>
          <w:szCs w:val="52"/>
        </w:rPr>
        <w:t>GHG Emissions and Agricultural Production</w:t>
      </w:r>
    </w:p>
    <w:p>
      <w:pPr>
        <w:pStyle w:val="Normal"/>
        <w:spacing w:before="0" w:after="400"/>
        <w:jc w:val="center"/>
        <w:rPr/>
      </w:pPr>
      <w:r>
        <w:rPr>
          <w:rFonts w:eastAsia="Arial" w:cs="Arial"/>
          <w:b/>
          <w:bCs/>
          <w:color w:val="2E75B6"/>
          <w:sz w:val="40"/>
          <w:szCs w:val="40"/>
        </w:rPr>
        <w:t>in Selected European Countries</w:t>
      </w:r>
    </w:p>
    <w:p>
      <w:pPr>
        <w:pStyle w:val="Normal"/>
        <w:spacing w:before="0" w:after="200"/>
        <w:jc w:val="center"/>
        <w:rPr/>
      </w:pPr>
      <w:r>
        <w:rPr>
          <w:rFonts w:eastAsia="Arial" w:cs="Arial"/>
          <w:i/>
          <w:iCs/>
          <w:color w:val="555555"/>
          <w:sz w:val="24"/>
          <w:szCs w:val="24"/>
        </w:rPr>
        <w:t>Italy · Spain · France · Germany</w:t>
      </w:r>
    </w:p>
    <w:p>
      <w:pPr>
        <w:pStyle w:val="Normal"/>
        <w:spacing w:before="0" w:after="800"/>
        <w:jc w:val="center"/>
        <w:rPr/>
      </w:pPr>
      <w:r>
        <w:rPr>
          <w:rFonts w:eastAsia="Arial" w:cs="Arial"/>
          <w:color w:val="777777"/>
          <w:sz w:val="22"/>
          <w:szCs w:val="22"/>
        </w:rPr>
        <w:t>Analysis period: 1990–2023</w:t>
      </w:r>
    </w:p>
    <w:p>
      <w:pPr>
        <w:pStyle w:val="Normal"/>
        <w:jc w:val="center"/>
        <w:rPr/>
      </w:pPr>
      <w:r>
        <w:rPr>
          <w:rFonts w:eastAsia="Arial" w:cs="Arial"/>
          <w:color w:val="999999"/>
          <w:sz w:val="20"/>
          <w:szCs w:val="20"/>
        </w:rPr>
        <w:t>Generated: 28 February 2026</w:t>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Contents</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Table of Contents"/>
              <w:text/>
            </w:sdtPr>
            <w:sdtContent>
              <w:r>
                <w:rPr/>
              </w:r>
              <w:r>
                <w:rPr/>
              </w:r>
            </w:sdtContent>
          </w:sdt>
          <w:r>
            <w:rPr/>
            <w:fldChar w:fldCharType="end"/>
          </w:r>
        </w:p>
      </w:sdtContent>
    </w:sdt>
    <w:p>
      <w:pPr>
        <w:pStyle w:val="Normal"/>
        <w:rPr/>
      </w:pPr>
      <w:r>
        <w:rPr/>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1. Introduction</w:t>
      </w:r>
    </w:p>
    <w:p>
      <w:pPr>
        <w:pStyle w:val="Normal"/>
        <w:spacing w:before="80" w:after="80"/>
        <w:jc w:val="both"/>
        <w:rPr/>
      </w:pPr>
      <w:r>
        <w:rPr>
          <w:rFonts w:eastAsia="Arial" w:cs="Arial"/>
          <w:sz w:val="22"/>
          <w:szCs w:val="22"/>
        </w:rPr>
        <w:t>This report examines two interrelated dimensions of environmental and agricultural performance across four major Western European economies — Italy, Spain, France, and Germany — over the period 1990 to 2023. The first dimension concerns greenhouse gas (GHG) emissions from agricultural land, analysed by gas type (CH₄, CO₂, and N₂O) and expressed both in absolute kilotonnes and as an index relative to 1990. The second dimension concerns agricultural production performance, measured using the FAOSTAT Gross Production Index, which tracks changes in the volume of agricultural output relative to the 2014–2016 base period.</w:t>
      </w:r>
    </w:p>
    <w:p>
      <w:pPr>
        <w:pStyle w:val="Normal"/>
        <w:spacing w:before="80" w:after="80"/>
        <w:rPr/>
      </w:pPr>
      <w:r>
        <w:rPr/>
      </w:r>
    </w:p>
    <w:p>
      <w:pPr>
        <w:pStyle w:val="Normal"/>
        <w:spacing w:before="80" w:after="80"/>
        <w:jc w:val="both"/>
        <w:rPr/>
      </w:pPr>
      <w:r>
        <w:rPr>
          <w:rFonts w:eastAsia="Arial" w:cs="Arial"/>
          <w:sz w:val="22"/>
          <w:szCs w:val="22"/>
        </w:rPr>
        <w:t>The four countries selected represent the largest agricultural economies in Western Europe and exhibit significant structural differences in their emissions profiles and farming systems. Germany is characterised by intensive arable and livestock production; France by a diverse mixed system including significant livestock, cereals, and speciality crops; Italy by a Mediterranean model centred on horticulture, viticulture, and olive production; and Spain by a rapidly expanding irrigated fruit and vegetable sector alongside traditional dryland cereal farming.</w:t>
      </w:r>
    </w:p>
    <w:p>
      <w:pPr>
        <w:pStyle w:val="Normal"/>
        <w:spacing w:before="80" w:after="80"/>
        <w:rPr/>
      </w:pPr>
      <w:r>
        <w:rPr/>
      </w:r>
    </w:p>
    <w:p>
      <w:pPr>
        <w:pStyle w:val="Normal"/>
        <w:spacing w:before="80" w:after="80"/>
        <w:jc w:val="both"/>
        <w:rPr/>
      </w:pPr>
      <w:r>
        <w:rPr>
          <w:rFonts w:eastAsia="Arial" w:cs="Arial"/>
          <w:sz w:val="22"/>
          <w:szCs w:val="22"/>
        </w:rPr>
        <w:t>The report is structured as follows. Section 2 describes the data sources used. Section 3 explains the methodological choices made in processing and presenting the data. Section 4 presents results across the three analytical dimensions: agricultural production indices, emissions trends, and sector-level emissions breakdowns. Section 5 interprets the key findings and highlights cross-country differences. Section 6 concludes with a summary of the main observations and directions for further analysis.</w:t>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2. Data Sources</w:t>
      </w:r>
    </w:p>
    <w:p>
      <w:pPr>
        <w:pStyle w:val="Heading2"/>
        <w:spacing w:before="280" w:after="120"/>
        <w:rPr/>
      </w:pPr>
      <w:r>
        <w:rPr>
          <w:rFonts w:eastAsia="Arial" w:cs="Arial" w:ascii="Arial" w:hAnsi="Arial"/>
          <w:b/>
          <w:bCs/>
          <w:color w:val="2E75B6"/>
          <w:sz w:val="26"/>
          <w:szCs w:val="26"/>
        </w:rPr>
        <w:t>2.1 FAOSTAT Production Indices</w:t>
      </w:r>
    </w:p>
    <w:p>
      <w:pPr>
        <w:pStyle w:val="Normal"/>
        <w:spacing w:before="80" w:after="80"/>
        <w:jc w:val="both"/>
        <w:rPr/>
      </w:pPr>
      <w:r>
        <w:rPr>
          <w:rFonts w:eastAsia="Arial" w:cs="Arial"/>
          <w:sz w:val="22"/>
          <w:szCs w:val="22"/>
        </w:rPr>
        <w:t>Agricultural production index data were obtained from the FAOSTAT Production Indices dataset (domain code: QI), published by the Food and Agriculture Organization of the United Nations. The gross production index measures the volume of agricultural production relative to the base period 2014–2016, which is set to 100. The data cover all primary agricultural commodities and are aggregated at the country level. Data were sourced separately for Western Europe (including France and Germany) and Southern Europe (including Italy and Spain) and combined prior to analysis. The series runs from 1990 to 2017 for the four countries in scope.</w:t>
      </w:r>
    </w:p>
    <w:p>
      <w:pPr>
        <w:pStyle w:val="Normal"/>
        <w:spacing w:before="80" w:after="80"/>
        <w:rPr/>
      </w:pPr>
      <w:r>
        <w:rPr/>
      </w:r>
    </w:p>
    <w:p>
      <w:pPr>
        <w:pStyle w:val="Normal"/>
        <w:spacing w:before="80" w:after="80"/>
        <w:jc w:val="both"/>
        <w:rPr/>
      </w:pPr>
      <w:r>
        <w:rPr>
          <w:rFonts w:eastAsia="Arial" w:cs="Arial"/>
          <w:sz w:val="22"/>
          <w:szCs w:val="22"/>
        </w:rPr>
        <w:t>A separate FAOSTAT extract was used to examine individual commodity-level production indices, enabling identification of the single highest-value commodity per country within each 5-year period. Fruit and vegetable production indices were also obtained as a separate sub-aggregate from the same FAOSTAT domain.</w:t>
      </w:r>
    </w:p>
    <w:p>
      <w:pPr>
        <w:pStyle w:val="Heading2"/>
        <w:spacing w:before="280" w:after="120"/>
        <w:rPr/>
      </w:pPr>
      <w:r>
        <w:rPr>
          <w:rFonts w:eastAsia="Arial" w:cs="Arial" w:ascii="Arial" w:hAnsi="Arial"/>
          <w:b/>
          <w:bCs/>
          <w:color w:val="2E75B6"/>
          <w:sz w:val="26"/>
          <w:szCs w:val="26"/>
        </w:rPr>
        <w:t>2.2 FAOSTAT Emissions Totals</w:t>
      </w:r>
    </w:p>
    <w:p>
      <w:pPr>
        <w:pStyle w:val="Normal"/>
        <w:spacing w:before="80" w:after="80"/>
        <w:jc w:val="both"/>
        <w:rPr/>
      </w:pPr>
      <w:r>
        <w:rPr>
          <w:rFonts w:eastAsia="Arial" w:cs="Arial"/>
          <w:sz w:val="22"/>
          <w:szCs w:val="22"/>
        </w:rPr>
        <w:t>Country-level agricultural greenhouse gas emissions data were obtained from the FAOSTAT Emissions Totals dataset (domain code: GT). The dataset provides emissions estimates for three gases — methane (CH₄), carbon dioxide (CO₂), and nitrous oxide (N₂O) — sourced from FAO Tier 1 estimation methodology. Values are expressed in kilotonnes (kt). The time series runs from 1990 to 2021 for all four countries.</w:t>
      </w:r>
    </w:p>
    <w:p>
      <w:pPr>
        <w:pStyle w:val="Heading2"/>
        <w:spacing w:before="280" w:after="120"/>
        <w:rPr/>
      </w:pPr>
      <w:r>
        <w:rPr>
          <w:rFonts w:eastAsia="Arial" w:cs="Arial" w:ascii="Arial" w:hAnsi="Arial"/>
          <w:b/>
          <w:bCs/>
          <w:color w:val="2E75B6"/>
          <w:sz w:val="26"/>
          <w:szCs w:val="26"/>
        </w:rPr>
        <w:t>2.3 Sector-Level Emissions (2023)</w:t>
      </w:r>
    </w:p>
    <w:p>
      <w:pPr>
        <w:pStyle w:val="Normal"/>
        <w:spacing w:before="80" w:after="80"/>
        <w:jc w:val="both"/>
        <w:rPr/>
      </w:pPr>
      <w:r>
        <w:rPr>
          <w:rFonts w:eastAsia="Arial" w:cs="Arial"/>
          <w:sz w:val="22"/>
          <w:szCs w:val="22"/>
        </w:rPr>
        <w:t>Sector-level emissions data for 2023 were assembled from multiple heterogeneous sources, as no single harmonised cross-country dataset was available at the required granularity. Germany's sector breakdown was obtained from the German Environment Agency (Umweltbundesamt, UBA) and covers CO₂ emissions only across the energy, industry, agriculture, LULUCF, and waste sectors. Italy's sector breakdown was obtained from Our World in Data (sourced from the Global Carbon Project) and covers CO₂ across nine sectors. France's and Spain's sector proportions were obtained from CITEPA (2024) and Statista (2023) respectively, and represent full GHG baskets rather than CO₂ alone.</w:t>
      </w:r>
    </w:p>
    <w:p>
      <w:pPr>
        <w:pStyle w:val="Normal"/>
        <w:spacing w:before="80" w:after="80"/>
        <w:rPr/>
      </w:pPr>
      <w:r>
        <w:rPr/>
      </w:r>
    </w:p>
    <w:p>
      <w:pPr>
        <w:pStyle w:val="Normal"/>
        <w:spacing w:before="80" w:after="80"/>
        <w:jc w:val="both"/>
        <w:rPr/>
      </w:pPr>
      <w:r>
        <w:rPr>
          <w:rFonts w:eastAsia="Arial" w:cs="Arial"/>
          <w:sz w:val="22"/>
          <w:szCs w:val="22"/>
        </w:rPr>
        <w:t>It should be noted that this cross-source heterogeneity introduces a comparability limitation: Germany and Italy figures represent CO₂ only, while France and Spain represent all GHGs. This is clearly flagged in the heatmap visualisation and in the interpretation section.</w:t>
      </w:r>
    </w:p>
    <w:p>
      <w:pPr>
        <w:pStyle w:val="Heading2"/>
        <w:spacing w:before="280" w:after="120"/>
        <w:rPr/>
      </w:pPr>
      <w:r>
        <w:rPr>
          <w:rFonts w:eastAsia="Arial" w:cs="Arial" w:ascii="Arial" w:hAnsi="Arial"/>
          <w:b/>
          <w:bCs/>
          <w:color w:val="2E75B6"/>
          <w:sz w:val="26"/>
          <w:szCs w:val="26"/>
        </w:rPr>
        <w:t>2.4 World Bank GDP (Supplementary)</w:t>
      </w:r>
    </w:p>
    <w:p>
      <w:pPr>
        <w:pStyle w:val="Normal"/>
        <w:spacing w:before="80" w:after="80"/>
        <w:jc w:val="both"/>
        <w:rPr/>
      </w:pPr>
      <w:r>
        <w:rPr>
          <w:rFonts w:eastAsia="Arial" w:cs="Arial"/>
          <w:sz w:val="22"/>
          <w:szCs w:val="22"/>
        </w:rPr>
        <w:t>GDP data in constant 2015 US dollars were obtained from the World Bank Development Indicators API (indicator: NY.GDP.MKTP.KD) to support emissions intensity calculations. Country codes were matched using the UNSD M49 classification table.</w:t>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3. Methodology</w:t>
      </w:r>
    </w:p>
    <w:p>
      <w:pPr>
        <w:pStyle w:val="Heading2"/>
        <w:spacing w:before="280" w:after="120"/>
        <w:rPr/>
      </w:pPr>
      <w:r>
        <w:rPr>
          <w:rFonts w:eastAsia="Arial" w:cs="Arial" w:ascii="Arial" w:hAnsi="Arial"/>
          <w:b/>
          <w:bCs/>
          <w:color w:val="2E75B6"/>
          <w:sz w:val="26"/>
          <w:szCs w:val="26"/>
        </w:rPr>
        <w:t>3.1 Agricultural Production Index</w:t>
      </w:r>
    </w:p>
    <w:p>
      <w:pPr>
        <w:pStyle w:val="Normal"/>
        <w:spacing w:before="80" w:after="80"/>
        <w:jc w:val="both"/>
        <w:rPr/>
      </w:pPr>
      <w:r>
        <w:rPr>
          <w:rFonts w:eastAsia="Arial" w:cs="Arial"/>
          <w:sz w:val="22"/>
          <w:szCs w:val="22"/>
        </w:rPr>
        <w:t>The FAOSTAT Gross Production Index uses the Laspeyres formula, with international commodity prices in the 2014–2016 base period as weights. An index value above 100 indicates production above the base period average; below 100 indicates below. The western and southern European FAOSTAT files were concatenated and deduplicated prior to country-level filtering. Spain is absent from the gross production index series due to data unavailability in the source files.</w:t>
      </w:r>
    </w:p>
    <w:p>
      <w:pPr>
        <w:pStyle w:val="Normal"/>
        <w:spacing w:before="80" w:after="80"/>
        <w:rPr/>
      </w:pPr>
      <w:r>
        <w:rPr/>
      </w:r>
    </w:p>
    <w:p>
      <w:pPr>
        <w:pStyle w:val="Normal"/>
        <w:spacing w:before="80" w:after="80"/>
        <w:jc w:val="both"/>
        <w:rPr/>
      </w:pPr>
      <w:r>
        <w:rPr>
          <w:rFonts w:eastAsia="Arial" w:cs="Arial"/>
          <w:sz w:val="22"/>
          <w:szCs w:val="22"/>
        </w:rPr>
        <w:t>For the commodity-level analysis, all item-level production index values were averaged within 5-year bins (1990–1994, 1995–1999, etc.). The single commodity with the highest mean value within each bin was identified as the dominant item for that country-period combination.</w:t>
      </w:r>
    </w:p>
    <w:p>
      <w:pPr>
        <w:pStyle w:val="Heading2"/>
        <w:spacing w:before="280" w:after="120"/>
        <w:rPr/>
      </w:pPr>
      <w:r>
        <w:rPr>
          <w:rFonts w:eastAsia="Arial" w:cs="Arial" w:ascii="Arial" w:hAnsi="Arial"/>
          <w:b/>
          <w:bCs/>
          <w:color w:val="2E75B6"/>
          <w:sz w:val="26"/>
          <w:szCs w:val="26"/>
        </w:rPr>
        <w:t>3.2 Emissions Analysis</w:t>
      </w:r>
    </w:p>
    <w:p>
      <w:pPr>
        <w:pStyle w:val="Normal"/>
        <w:spacing w:before="80" w:after="80"/>
        <w:jc w:val="both"/>
        <w:rPr/>
      </w:pPr>
      <w:r>
        <w:rPr>
          <w:rFonts w:eastAsia="Arial" w:cs="Arial"/>
          <w:sz w:val="22"/>
          <w:szCs w:val="22"/>
        </w:rPr>
        <w:t>Absolute emissions (kt) were plotted by gas type for each country over the period 1990–2021. An index series was constructed by expressing each year's emissions as a percentage of the 1990 baseline value, separately for each country-gas combination. This normalisation allows direct comparison of the rate of change across countries that differ substantially in absolute emission magnitudes.</w:t>
      </w:r>
    </w:p>
    <w:p>
      <w:pPr>
        <w:pStyle w:val="Normal"/>
        <w:spacing w:before="80" w:after="80"/>
        <w:rPr/>
      </w:pPr>
      <w:r>
        <w:rPr/>
      </w:r>
    </w:p>
    <w:p>
      <w:pPr>
        <w:pStyle w:val="Normal"/>
        <w:spacing w:before="80" w:after="80"/>
        <w:jc w:val="both"/>
        <w:rPr/>
      </w:pPr>
      <w:r>
        <w:rPr>
          <w:rFonts w:eastAsia="Arial" w:cs="Arial"/>
          <w:sz w:val="22"/>
          <w:szCs w:val="22"/>
        </w:rPr>
        <w:t>Percentage change from 1990 to the most recent available year (2021) was calculated as: ((V₂₀₂₁ − V₁ₙₙ₀) / V₁ₙₙ₀) × 100. An ordinary least squares linear slope was also fitted to the index series for each country-gas pair to characterise the average annual trend direction.</w:t>
      </w:r>
    </w:p>
    <w:p>
      <w:pPr>
        <w:pStyle w:val="Heading2"/>
        <w:spacing w:before="280" w:after="120"/>
        <w:rPr/>
      </w:pPr>
      <w:r>
        <w:rPr>
          <w:rFonts w:eastAsia="Arial" w:cs="Arial" w:ascii="Arial" w:hAnsi="Arial"/>
          <w:b/>
          <w:bCs/>
          <w:color w:val="2E75B6"/>
          <w:sz w:val="26"/>
          <w:szCs w:val="26"/>
        </w:rPr>
        <w:t>3.3 Sector-Level Analysis</w:t>
      </w:r>
    </w:p>
    <w:p>
      <w:pPr>
        <w:pStyle w:val="Normal"/>
        <w:spacing w:before="80" w:after="80"/>
        <w:jc w:val="both"/>
        <w:rPr/>
      </w:pPr>
      <w:r>
        <w:rPr>
          <w:rFonts w:eastAsia="Arial" w:cs="Arial"/>
          <w:sz w:val="22"/>
          <w:szCs w:val="22"/>
        </w:rPr>
        <w:t>Sector proportions were computed by dividing each sector's absolute value by the country total. Where data were provided as proportions (France, Spain), they were renormalised to sum to 1.0 after excluding unmappable categories (Spain's 'Other' sector, representing 11.8% of the total, was excluded on this basis). All sector names were mapped to a canonical taxonomy to enable cross-country comparison in the heatmap visualisation.</w:t>
      </w:r>
    </w:p>
    <w:p>
      <w:pPr>
        <w:pStyle w:val="Heading2"/>
        <w:spacing w:before="280" w:after="120"/>
        <w:rPr/>
      </w:pPr>
      <w:r>
        <w:rPr>
          <w:rFonts w:eastAsia="Arial" w:cs="Arial" w:ascii="Arial" w:hAnsi="Arial"/>
          <w:b/>
          <w:bCs/>
          <w:color w:val="2E75B6"/>
          <w:sz w:val="26"/>
          <w:szCs w:val="26"/>
        </w:rPr>
        <w:t>3.4 Software</w:t>
      </w:r>
    </w:p>
    <w:p>
      <w:pPr>
        <w:pStyle w:val="Normal"/>
        <w:spacing w:before="80" w:after="80"/>
        <w:jc w:val="both"/>
        <w:rPr/>
      </w:pPr>
      <w:r>
        <w:rPr>
          <w:rFonts w:eastAsia="Arial" w:cs="Arial"/>
          <w:sz w:val="22"/>
          <w:szCs w:val="22"/>
        </w:rPr>
        <w:t>All data processing and visualisation was performed in Python 3 using pandas for data manipulation and seaborn/matplotlib for plotting. The report was generated programmatically using the docx JavaScript library. Code is structured across modular files: config.py (shared constants), loaders.py (data ingestion), plot_utils.py (plotting helpers), ag_data.py, clean_dat.py, sectors.py (analysis scripts), and run_all.py (orchestration).</w:t>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4. Results</w:t>
      </w:r>
    </w:p>
    <w:p>
      <w:pPr>
        <w:pStyle w:val="Heading2"/>
        <w:spacing w:before="280" w:after="120"/>
        <w:rPr/>
      </w:pPr>
      <w:r>
        <w:rPr>
          <w:rFonts w:eastAsia="Arial" w:cs="Arial" w:ascii="Arial" w:hAnsi="Arial"/>
          <w:b/>
          <w:bCs/>
          <w:color w:val="2E75B6"/>
          <w:sz w:val="26"/>
          <w:szCs w:val="26"/>
        </w:rPr>
        <w:t>4.1 Agricultural Gross Production Index</w:t>
      </w:r>
    </w:p>
    <w:p>
      <w:pPr>
        <w:pStyle w:val="Normal"/>
        <w:spacing w:before="80" w:after="80"/>
        <w:jc w:val="both"/>
        <w:rPr/>
      </w:pPr>
      <w:r>
        <w:rPr>
          <w:rFonts w:eastAsia="Arial" w:cs="Arial"/>
          <w:sz w:val="22"/>
          <w:szCs w:val="22"/>
        </w:rPr>
        <w:t>Figure 1 shows the aggregate gross agricultural production index for France, Germany, and Italy from 1990 to 2017 (Spain is not available in this series). All three countries show relatively stable indices across the period, hovering close to or below 100 for most of the series before converging near the base period level by 2015–2017.</w:t>
      </w:r>
    </w:p>
    <w:p>
      <w:pPr>
        <w:pStyle w:val="Normal"/>
        <w:spacing w:before="80" w:after="80"/>
        <w:rPr/>
      </w:pPr>
      <w:r>
        <w:rPr/>
      </w:r>
    </w:p>
    <w:p>
      <w:pPr>
        <w:pStyle w:val="Normal"/>
        <w:spacing w:before="160" w:after="60"/>
        <w:jc w:val="center"/>
        <w:rPr/>
      </w:pPr>
      <w:r>
        <w:rPr/>
        <w:drawing>
          <wp:inline distT="0" distB="0" distL="0" distR="0">
            <wp:extent cx="4457700" cy="2861310"/>
            <wp:effectExtent l="0" t="0" r="0" b="0"/>
            <wp:docPr id="1" name="agricultural_gross_production_index.png" descr="Figure 1. Agricultural Gross Production Index (2014–2016 = 100) for France, Germany, and Italy, 1990–2017.&#10;Figure 1. Agricultural Gross Production Index (2014–2016 = 100) for France, Germany, and Italy, 1990–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gricultural_gross_production_index.png" descr="Figure 1. Agricultural Gross Production Index (2014–2016 = 100) for France, Germany, and Italy, 1990–2017.&#10;Figure 1. Agricultural Gross Production Index (2014–2016 = 100) for France, Germany, and Italy, 1990–2017."/>
                    <pic:cNvPicPr>
                      <a:picLocks noChangeAspect="1" noChangeArrowheads="1"/>
                    </pic:cNvPicPr>
                  </pic:nvPicPr>
                  <pic:blipFill>
                    <a:blip r:embed="rId2"/>
                    <a:stretch>
                      <a:fillRect/>
                    </a:stretch>
                  </pic:blipFill>
                  <pic:spPr bwMode="auto">
                    <a:xfrm>
                      <a:off x="0" y="0"/>
                      <a:ext cx="4457700" cy="2861310"/>
                    </a:xfrm>
                    <a:prstGeom prst="rect">
                      <a:avLst/>
                    </a:prstGeom>
                    <a:noFill/>
                  </pic:spPr>
                </pic:pic>
              </a:graphicData>
            </a:graphic>
          </wp:inline>
        </w:drawing>
      </w:r>
    </w:p>
    <w:p>
      <w:pPr>
        <w:pStyle w:val="Normal"/>
        <w:spacing w:before="60" w:after="200"/>
        <w:jc w:val="center"/>
        <w:rPr/>
      </w:pPr>
      <w:r>
        <w:rPr>
          <w:rFonts w:eastAsia="Arial" w:cs="Arial"/>
          <w:i/>
          <w:iCs/>
          <w:color w:val="555555"/>
          <w:sz w:val="18"/>
          <w:szCs w:val="18"/>
        </w:rPr>
        <w:t>Figure 1. Agricultural Gross Production Index (2014–2016 = 100) for France, Germany, and Italy, 1990–2017.</w:t>
      </w:r>
    </w:p>
    <w:p>
      <w:pPr>
        <w:pStyle w:val="Normal"/>
        <w:spacing w:before="80" w:after="80"/>
        <w:jc w:val="both"/>
        <w:rPr/>
      </w:pPr>
      <w:r>
        <w:rPr>
          <w:rFonts w:eastAsia="Arial" w:cs="Arial"/>
          <w:sz w:val="22"/>
          <w:szCs w:val="22"/>
        </w:rPr>
        <w:t>Table 1 summarises the index values at the start and end of the available series, together with the percentage change over the period. Spain, whose data are available in the broader commodity-level dataset, shows the strongest growth (+30.1%), consistent with the major expansion of its irrigated agriculture sector over this period. Italy shows the largest decline (-5.3%) among the three countries with full series data.</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500"/>
        <w:gridCol w:w="1714"/>
        <w:gridCol w:w="1715"/>
        <w:gridCol w:w="1716"/>
        <w:gridCol w:w="1715"/>
      </w:tblGrid>
      <w:tr>
        <w:trPr/>
        <w:tc>
          <w:tcPr>
            <w:tcW w:w="250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Country</w:t>
            </w:r>
          </w:p>
        </w:tc>
        <w:tc>
          <w:tcPr>
            <w:tcW w:w="1714"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Index 1990</w:t>
            </w:r>
          </w:p>
        </w:tc>
        <w:tc>
          <w:tcPr>
            <w:tcW w:w="1715"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Index 2017</w:t>
            </w:r>
          </w:p>
        </w:tc>
        <w:tc>
          <w:tcPr>
            <w:tcW w:w="1716"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Change (%)</w:t>
            </w:r>
          </w:p>
        </w:tc>
        <w:tc>
          <w:tcPr>
            <w:tcW w:w="1715"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Trend</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France</w:t>
            </w:r>
          </w:p>
        </w:tc>
        <w:tc>
          <w:tcPr>
            <w:tcW w:w="171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101.77</w:t>
            </w:r>
          </w:p>
        </w:tc>
        <w:tc>
          <w:tcPr>
            <w:tcW w:w="1715"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101.32</w:t>
            </w:r>
          </w:p>
        </w:tc>
        <w:tc>
          <w:tcPr>
            <w:tcW w:w="1716"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-0.4</w:t>
            </w:r>
          </w:p>
        </w:tc>
        <w:tc>
          <w:tcPr>
            <w:tcW w:w="1715"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r>
      <w:tr>
        <w:trPr/>
        <w:tc>
          <w:tcPr>
            <w:tcW w:w="2500"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Germany</w:t>
            </w:r>
          </w:p>
        </w:tc>
        <w:tc>
          <w:tcPr>
            <w:tcW w:w="1714"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99.62</w:t>
            </w:r>
          </w:p>
        </w:tc>
        <w:tc>
          <w:tcPr>
            <w:tcW w:w="1715"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97.50</w:t>
            </w:r>
          </w:p>
        </w:tc>
        <w:tc>
          <w:tcPr>
            <w:tcW w:w="1716"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-2.1</w:t>
            </w:r>
          </w:p>
        </w:tc>
        <w:tc>
          <w:tcPr>
            <w:tcW w:w="1715"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r>
      <w:tr>
        <w:trPr/>
        <w:tc>
          <w:tcPr>
            <w:tcW w:w="2500"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Italy</w:t>
            </w:r>
          </w:p>
        </w:tc>
        <w:tc>
          <w:tcPr>
            <w:tcW w:w="1714"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103.58</w:t>
            </w:r>
          </w:p>
        </w:tc>
        <w:tc>
          <w:tcPr>
            <w:tcW w:w="1715"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98.11</w:t>
            </w:r>
          </w:p>
        </w:tc>
        <w:tc>
          <w:tcPr>
            <w:tcW w:w="1716"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-5.3</w:t>
            </w:r>
          </w:p>
        </w:tc>
        <w:tc>
          <w:tcPr>
            <w:tcW w:w="1715"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r>
      <w:tr>
        <w:trPr/>
        <w:tc>
          <w:tcPr>
            <w:tcW w:w="2500"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Spain</w:t>
            </w:r>
          </w:p>
        </w:tc>
        <w:tc>
          <w:tcPr>
            <w:tcW w:w="1714"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78.10</w:t>
            </w:r>
          </w:p>
        </w:tc>
        <w:tc>
          <w:tcPr>
            <w:tcW w:w="1715"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101.64</w:t>
            </w:r>
          </w:p>
        </w:tc>
        <w:tc>
          <w:tcPr>
            <w:tcW w:w="1716"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+30.1</w:t>
            </w:r>
          </w:p>
        </w:tc>
        <w:tc>
          <w:tcPr>
            <w:tcW w:w="1715"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r>
    </w:tbl>
    <w:p>
      <w:pPr>
        <w:pStyle w:val="Normal"/>
        <w:spacing w:before="60" w:after="200"/>
        <w:jc w:val="center"/>
        <w:rPr/>
      </w:pPr>
      <w:r>
        <w:rPr>
          <w:rFonts w:eastAsia="Arial" w:cs="Arial"/>
          <w:i/>
          <w:iCs/>
          <w:color w:val="555555"/>
          <w:sz w:val="18"/>
          <w:szCs w:val="18"/>
        </w:rPr>
        <w:t>Table 1. Agricultural Gross Production Index: 1990 and 2017 values and percentage change.</w:t>
      </w:r>
    </w:p>
    <w:p>
      <w:pPr>
        <w:pStyle w:val="Normal"/>
        <w:spacing w:before="80" w:after="80"/>
        <w:rPr/>
      </w:pPr>
      <w:r>
        <w:rPr/>
      </w:r>
    </w:p>
    <w:p>
      <w:pPr>
        <w:pStyle w:val="Normal"/>
        <w:spacing w:before="80" w:after="80"/>
        <w:jc w:val="both"/>
        <w:rPr/>
      </w:pPr>
      <w:r>
        <w:rPr>
          <w:rFonts w:eastAsia="Arial" w:cs="Arial"/>
          <w:sz w:val="22"/>
          <w:szCs w:val="22"/>
        </w:rPr>
        <w:t>Figure 2 shows the fruit and vegetable production sub-index, which reveals more differentiated trajectories than the aggregate. Spain again shows strong growth, while France and Italy exhibit more varied patterns across the series.</w:t>
      </w:r>
    </w:p>
    <w:p>
      <w:pPr>
        <w:pStyle w:val="Normal"/>
        <w:spacing w:before="80" w:after="80"/>
        <w:rPr/>
      </w:pPr>
      <w:r>
        <w:rPr/>
      </w:r>
    </w:p>
    <w:p>
      <w:pPr>
        <w:pStyle w:val="Normal"/>
        <w:spacing w:before="160" w:after="60"/>
        <w:jc w:val="center"/>
        <w:rPr/>
      </w:pPr>
      <w:r>
        <w:rPr/>
        <w:drawing>
          <wp:inline distT="0" distB="0" distL="0" distR="0">
            <wp:extent cx="4457700" cy="2861310"/>
            <wp:effectExtent l="0" t="0" r="0" b="0"/>
            <wp:docPr id="2" name="fruit_veg_production_index.png" descr="Figure 2. Fruit and Vegetable Production Index (2014–2016 = 100) for selected countries, 1990–2017.&#10;Figure 2. Fruit and Vegetable Production Index (2014–2016 = 100) for selected countries, 1990–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ruit_veg_production_index.png" descr="Figure 2. Fruit and Vegetable Production Index (2014–2016 = 100) for selected countries, 1990–2017.&#10;Figure 2. Fruit and Vegetable Production Index (2014–2016 = 100) for selected countries, 1990–2017."/>
                    <pic:cNvPicPr>
                      <a:picLocks noChangeAspect="1" noChangeArrowheads="1"/>
                    </pic:cNvPicPr>
                  </pic:nvPicPr>
                  <pic:blipFill>
                    <a:blip r:embed="rId3"/>
                    <a:stretch>
                      <a:fillRect/>
                    </a:stretch>
                  </pic:blipFill>
                  <pic:spPr bwMode="auto">
                    <a:xfrm>
                      <a:off x="0" y="0"/>
                      <a:ext cx="4457700" cy="2861310"/>
                    </a:xfrm>
                    <a:prstGeom prst="rect">
                      <a:avLst/>
                    </a:prstGeom>
                    <a:noFill/>
                  </pic:spPr>
                </pic:pic>
              </a:graphicData>
            </a:graphic>
          </wp:inline>
        </w:drawing>
      </w:r>
    </w:p>
    <w:p>
      <w:pPr>
        <w:pStyle w:val="Normal"/>
        <w:spacing w:before="60" w:after="200"/>
        <w:jc w:val="center"/>
        <w:rPr/>
      </w:pPr>
      <w:r>
        <w:rPr>
          <w:rFonts w:eastAsia="Arial" w:cs="Arial"/>
          <w:i/>
          <w:iCs/>
          <w:color w:val="555555"/>
          <w:sz w:val="18"/>
          <w:szCs w:val="18"/>
        </w:rPr>
        <w:t>Figure 2. Fruit and Vegetable Production Index (2014–2016 = 100) for selected countries, 1990–2017.</w:t>
      </w:r>
    </w:p>
    <w:p>
      <w:pPr>
        <w:pStyle w:val="Normal"/>
        <w:spacing w:before="80" w:after="80"/>
        <w:jc w:val="both"/>
        <w:rPr/>
      </w:pPr>
      <w:r>
        <w:rPr>
          <w:rFonts w:eastAsia="Arial" w:cs="Arial"/>
          <w:sz w:val="22"/>
          <w:szCs w:val="22"/>
        </w:rPr>
        <w:t>Figure 3 presents the dominant agricultural commodity (by average production index value) for each country within successive 5-year bins. France is consistently dominated by hemp across most of the period, reflecting its position as Europe's largest hemp producer. Italy shows horse meat as the top commodity for much of the 1990s and 2000s, with a shift to other commodities in later periods. Germany's dominant commodity rotates between linseed, currants, mixed grain, and soya beans, suggesting a more diversified commodity structure.</w:t>
      </w:r>
    </w:p>
    <w:p>
      <w:pPr>
        <w:pStyle w:val="Normal"/>
        <w:spacing w:before="80" w:after="80"/>
        <w:rPr/>
      </w:pPr>
      <w:r>
        <w:rPr/>
      </w:r>
    </w:p>
    <w:p>
      <w:pPr>
        <w:pStyle w:val="Normal"/>
        <w:spacing w:before="160" w:after="60"/>
        <w:jc w:val="center"/>
        <w:rPr/>
      </w:pPr>
      <w:r>
        <w:rPr/>
        <w:drawing>
          <wp:inline distT="0" distB="0" distL="0" distR="0">
            <wp:extent cx="4457700" cy="3548380"/>
            <wp:effectExtent l="0" t="0" r="0" b="0"/>
            <wp:docPr id="3" name="top_item_every_5_years_by_country.png" descr="Figure 3. Highest-value agricultural commodity per country by 5-year bin (mean production index value within bin).&#10;Figure 3. Highest-value agricultural commodity per country by 5-year bin (mean production index value within b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_item_every_5_years_by_country.png" descr="Figure 3. Highest-value agricultural commodity per country by 5-year bin (mean production index value within bin).&#10;Figure 3. Highest-value agricultural commodity per country by 5-year bin (mean production index value within bin)."/>
                    <pic:cNvPicPr>
                      <a:picLocks noChangeAspect="1" noChangeArrowheads="1"/>
                    </pic:cNvPicPr>
                  </pic:nvPicPr>
                  <pic:blipFill>
                    <a:blip r:embed="rId4"/>
                    <a:stretch>
                      <a:fillRect/>
                    </a:stretch>
                  </pic:blipFill>
                  <pic:spPr bwMode="auto">
                    <a:xfrm>
                      <a:off x="0" y="0"/>
                      <a:ext cx="4457700" cy="3548380"/>
                    </a:xfrm>
                    <a:prstGeom prst="rect">
                      <a:avLst/>
                    </a:prstGeom>
                    <a:noFill/>
                  </pic:spPr>
                </pic:pic>
              </a:graphicData>
            </a:graphic>
          </wp:inline>
        </w:drawing>
      </w:r>
    </w:p>
    <w:p>
      <w:pPr>
        <w:pStyle w:val="Normal"/>
        <w:spacing w:before="60" w:after="200"/>
        <w:jc w:val="center"/>
        <w:rPr/>
      </w:pPr>
      <w:r>
        <w:rPr>
          <w:rFonts w:eastAsia="Arial" w:cs="Arial"/>
          <w:i/>
          <w:iCs/>
          <w:color w:val="555555"/>
          <w:sz w:val="18"/>
          <w:szCs w:val="18"/>
        </w:rPr>
        <w:t>Figure 3. Highest-value agricultural commodity per country by 5-year bin (mean production index value within bin).</w:t>
      </w:r>
    </w:p>
    <w:p>
      <w:pPr>
        <w:pStyle w:val="Normal"/>
        <w:spacing w:before="0" w:after="0"/>
        <w:rPr/>
      </w:pPr>
      <w:r>
        <w:rPr/>
      </w:r>
      <w:r>
        <w:br w:type="page"/>
      </w:r>
    </w:p>
    <w:p>
      <w:pPr>
        <w:pStyle w:val="Heading2"/>
        <w:spacing w:before="0" w:after="120"/>
        <w:rPr/>
      </w:pPr>
      <w:r>
        <w:rPr>
          <w:rFonts w:eastAsia="Arial" w:cs="Arial" w:ascii="Arial" w:hAnsi="Arial"/>
          <w:b/>
          <w:bCs/>
          <w:color w:val="2E75B6"/>
          <w:sz w:val="26"/>
          <w:szCs w:val="26"/>
        </w:rPr>
        <w:t>4.2 GHG Emissions Trends</w:t>
      </w:r>
    </w:p>
    <w:p>
      <w:pPr>
        <w:pStyle w:val="Normal"/>
        <w:spacing w:before="80" w:after="80"/>
        <w:jc w:val="both"/>
        <w:rPr/>
      </w:pPr>
      <w:r>
        <w:rPr>
          <w:rFonts w:eastAsia="Arial" w:cs="Arial"/>
          <w:sz w:val="22"/>
          <w:szCs w:val="22"/>
        </w:rPr>
        <w:t>Figure 4 presents absolute agricultural GHG emissions (kt) by gas for each country over 1990–2021. Germany consistently records the highest absolute CH₄ and N₂O emissions, reflecting the scale of its livestock sector, while France records the highest CO₂ emissions. Spain shows an upward trend across all three gases, in contrast to the declining or stable profiles of the other three countries.</w:t>
      </w:r>
    </w:p>
    <w:p>
      <w:pPr>
        <w:pStyle w:val="Normal"/>
        <w:spacing w:before="80" w:after="80"/>
        <w:rPr/>
      </w:pPr>
      <w:r>
        <w:rPr/>
      </w:r>
    </w:p>
    <w:p>
      <w:pPr>
        <w:pStyle w:val="Normal"/>
        <w:spacing w:before="160" w:after="60"/>
        <w:jc w:val="center"/>
        <w:rPr/>
      </w:pPr>
      <w:r>
        <w:rPr/>
        <w:drawing>
          <wp:inline distT="0" distB="0" distL="0" distR="0">
            <wp:extent cx="4535805" cy="7406640"/>
            <wp:effectExtent l="0" t="0" r="0" b="0"/>
            <wp:docPr id="4" name="fig1_emissions_intensity.png" descr="Figure 4. Agricultural GHG emissions (kt) by gas type, 1990–2021.&#10;Figure 4. Agricultural GHG emissions (kt) by gas type, 1990–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1_emissions_intensity.png" descr="Figure 4. Agricultural GHG emissions (kt) by gas type, 1990–2021.&#10;Figure 4. Agricultural GHG emissions (kt) by gas type, 1990–2021."/>
                    <pic:cNvPicPr>
                      <a:picLocks noChangeAspect="1" noChangeArrowheads="1"/>
                    </pic:cNvPicPr>
                  </pic:nvPicPr>
                  <pic:blipFill>
                    <a:blip r:embed="rId5"/>
                    <a:stretch>
                      <a:fillRect/>
                    </a:stretch>
                  </pic:blipFill>
                  <pic:spPr bwMode="auto">
                    <a:xfrm>
                      <a:off x="0" y="0"/>
                      <a:ext cx="4535805" cy="7406640"/>
                    </a:xfrm>
                    <a:prstGeom prst="rect">
                      <a:avLst/>
                    </a:prstGeom>
                    <a:noFill/>
                  </pic:spPr>
                </pic:pic>
              </a:graphicData>
            </a:graphic>
          </wp:inline>
        </w:drawing>
      </w:r>
    </w:p>
    <w:p>
      <w:pPr>
        <w:pStyle w:val="Normal"/>
        <w:spacing w:before="60" w:after="200"/>
        <w:jc w:val="center"/>
        <w:rPr/>
      </w:pPr>
      <w:r>
        <w:rPr>
          <w:rFonts w:eastAsia="Arial" w:cs="Arial"/>
          <w:i/>
          <w:iCs/>
          <w:color w:val="555555"/>
          <w:sz w:val="18"/>
          <w:szCs w:val="18"/>
        </w:rPr>
        <w:t>Figure 4. Agricultural GHG emissions (kt) by gas type, 1990–2021.</w:t>
      </w:r>
    </w:p>
    <w:p>
      <w:pPr>
        <w:pStyle w:val="Normal"/>
        <w:spacing w:before="80" w:after="80"/>
        <w:jc w:val="both"/>
        <w:rPr/>
      </w:pPr>
      <w:r>
        <w:rPr>
          <w:rFonts w:eastAsia="Arial" w:cs="Arial"/>
          <w:sz w:val="22"/>
          <w:szCs w:val="22"/>
        </w:rPr>
        <w:t>Figure 5 re-expresses the same data as an index relative to 1990, facilitating direct comparison of rates of change. The divergence between Spain and the other three countries is particularly clear in this view: Spain is the only country to show sustained increases in all three gases over the full period. Germany shows the steepest declines in CH₄ and N₂O.</w:t>
      </w:r>
    </w:p>
    <w:p>
      <w:pPr>
        <w:pStyle w:val="Normal"/>
        <w:spacing w:before="80" w:after="80"/>
        <w:rPr/>
      </w:pPr>
      <w:r>
        <w:rPr/>
      </w:r>
    </w:p>
    <w:p>
      <w:pPr>
        <w:pStyle w:val="Normal"/>
        <w:spacing w:before="160" w:after="60"/>
        <w:jc w:val="center"/>
        <w:rPr/>
      </w:pPr>
      <w:r>
        <w:rPr/>
        <w:drawing>
          <wp:inline distT="0" distB="0" distL="0" distR="0">
            <wp:extent cx="4457700" cy="7242810"/>
            <wp:effectExtent l="0" t="0" r="0" b="0"/>
            <wp:docPr id="5" name="fig2_emissions_index.png" descr="Figure 5. Agricultural GHG emissions index (1990 = 100) by gas type and country, 1990–2021.&#10;Figure 5. Agricultural GHG emissions index (1990 = 100) by gas type and country, 1990–2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2_emissions_index.png" descr="Figure 5. Agricultural GHG emissions index (1990 = 100) by gas type and country, 1990–2021.&#10;Figure 5. Agricultural GHG emissions index (1990 = 100) by gas type and country, 1990–2021."/>
                    <pic:cNvPicPr>
                      <a:picLocks noChangeAspect="1" noChangeArrowheads="1"/>
                    </pic:cNvPicPr>
                  </pic:nvPicPr>
                  <pic:blipFill>
                    <a:blip r:embed="rId6"/>
                    <a:stretch>
                      <a:fillRect/>
                    </a:stretch>
                  </pic:blipFill>
                  <pic:spPr bwMode="auto">
                    <a:xfrm>
                      <a:off x="0" y="0"/>
                      <a:ext cx="4457700" cy="7242810"/>
                    </a:xfrm>
                    <a:prstGeom prst="rect">
                      <a:avLst/>
                    </a:prstGeom>
                    <a:noFill/>
                  </pic:spPr>
                </pic:pic>
              </a:graphicData>
            </a:graphic>
          </wp:inline>
        </w:drawing>
      </w:r>
    </w:p>
    <w:p>
      <w:pPr>
        <w:pStyle w:val="Normal"/>
        <w:spacing w:before="60" w:after="200"/>
        <w:jc w:val="center"/>
        <w:rPr/>
      </w:pPr>
      <w:r>
        <w:rPr>
          <w:rFonts w:eastAsia="Arial" w:cs="Arial"/>
          <w:i/>
          <w:iCs/>
          <w:color w:val="555555"/>
          <w:sz w:val="18"/>
          <w:szCs w:val="18"/>
        </w:rPr>
        <w:t>Figure 5. Agricultural GHG emissions index (1990 = 100) by gas type and country, 1990–2021.</w:t>
      </w:r>
    </w:p>
    <w:p>
      <w:pPr>
        <w:pStyle w:val="Normal"/>
        <w:spacing w:before="80" w:after="80"/>
        <w:jc w:val="both"/>
        <w:rPr/>
      </w:pPr>
      <w:r>
        <w:rPr>
          <w:rFonts w:eastAsia="Arial" w:cs="Arial"/>
          <w:sz w:val="22"/>
          <w:szCs w:val="22"/>
        </w:rPr>
        <w:t>Table 2 summarises the percentage change in each gas from 1990 to 2021. The most striking figure is Spain's CO₂ increase of +61.4%, which is substantially larger than any other country-gas combination. Germany's CH₄ reduction of −41.9% represents the single largest reduction.</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1799"/>
        <w:gridCol w:w="1890"/>
        <w:gridCol w:w="1891"/>
        <w:gridCol w:w="1890"/>
        <w:gridCol w:w="1890"/>
      </w:tblGrid>
      <w:tr>
        <w:trPr/>
        <w:tc>
          <w:tcPr>
            <w:tcW w:w="1799"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Gas</w:t>
            </w:r>
          </w:p>
        </w:tc>
        <w:tc>
          <w:tcPr>
            <w:tcW w:w="189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France</w:t>
            </w:r>
          </w:p>
        </w:tc>
        <w:tc>
          <w:tcPr>
            <w:tcW w:w="1891"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Germany</w:t>
            </w:r>
          </w:p>
        </w:tc>
        <w:tc>
          <w:tcPr>
            <w:tcW w:w="189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Italy</w:t>
            </w:r>
          </w:p>
        </w:tc>
        <w:tc>
          <w:tcPr>
            <w:tcW w:w="189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Spain</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CH4</w:t>
            </w:r>
          </w:p>
        </w:tc>
        <w:tc>
          <w:tcPr>
            <w:tcW w:w="189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-22.7%</w:t>
            </w:r>
          </w:p>
        </w:tc>
        <w:tc>
          <w:tcPr>
            <w:tcW w:w="189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-41.9%</w:t>
            </w:r>
          </w:p>
        </w:tc>
        <w:tc>
          <w:tcPr>
            <w:tcW w:w="189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-23.4%</w:t>
            </w:r>
          </w:p>
        </w:tc>
        <w:tc>
          <w:tcPr>
            <w:tcW w:w="189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+12.8%</w:t>
            </w:r>
          </w:p>
        </w:tc>
      </w:tr>
      <w:tr>
        <w:trPr/>
        <w:tc>
          <w:tcPr>
            <w:tcW w:w="1799"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CO2</w:t>
            </w:r>
          </w:p>
        </w:tc>
        <w:tc>
          <w:tcPr>
            <w:tcW w:w="189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-2.4%</w:t>
            </w:r>
          </w:p>
        </w:tc>
        <w:tc>
          <w:tcPr>
            <w:tcW w:w="1891"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+31.0%</w:t>
            </w:r>
          </w:p>
        </w:tc>
        <w:tc>
          <w:tcPr>
            <w:tcW w:w="189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-18.3%</w:t>
            </w:r>
          </w:p>
        </w:tc>
        <w:tc>
          <w:tcPr>
            <w:tcW w:w="189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+61.4%</w:t>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N2O</w:t>
            </w:r>
          </w:p>
        </w:tc>
        <w:tc>
          <w:tcPr>
            <w:tcW w:w="189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-17.8%</w:t>
            </w:r>
          </w:p>
        </w:tc>
        <w:tc>
          <w:tcPr>
            <w:tcW w:w="189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-27.6%</w:t>
            </w:r>
          </w:p>
        </w:tc>
        <w:tc>
          <w:tcPr>
            <w:tcW w:w="189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-25.0%</w:t>
            </w:r>
          </w:p>
        </w:tc>
        <w:tc>
          <w:tcPr>
            <w:tcW w:w="189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+6.7%</w:t>
            </w:r>
          </w:p>
        </w:tc>
      </w:tr>
    </w:tbl>
    <w:p>
      <w:pPr>
        <w:pStyle w:val="Normal"/>
        <w:spacing w:before="60" w:after="200"/>
        <w:jc w:val="center"/>
        <w:rPr/>
      </w:pPr>
      <w:r>
        <w:rPr>
          <w:rFonts w:eastAsia="Arial" w:cs="Arial"/>
          <w:i/>
          <w:iCs/>
          <w:color w:val="555555"/>
          <w:sz w:val="18"/>
          <w:szCs w:val="18"/>
        </w:rPr>
        <w:t>Table 2. Percentage change in agricultural GHG emissions (kt) from 1990 to 2021, by gas and country.</w:t>
      </w:r>
    </w:p>
    <w:p>
      <w:pPr>
        <w:pStyle w:val="Normal"/>
        <w:spacing w:before="0" w:after="0"/>
        <w:rPr/>
      </w:pPr>
      <w:r>
        <w:rPr/>
      </w:r>
      <w:r>
        <w:br w:type="page"/>
      </w:r>
    </w:p>
    <w:p>
      <w:pPr>
        <w:pStyle w:val="Heading2"/>
        <w:spacing w:before="0" w:after="120"/>
        <w:rPr/>
      </w:pPr>
      <w:r>
        <w:rPr>
          <w:rFonts w:eastAsia="Arial" w:cs="Arial" w:ascii="Arial" w:hAnsi="Arial"/>
          <w:b/>
          <w:bCs/>
          <w:color w:val="2E75B6"/>
          <w:sz w:val="26"/>
          <w:szCs w:val="26"/>
        </w:rPr>
        <w:t>4.3 Sector-Level Emissions Breakdown (2023)</w:t>
      </w:r>
    </w:p>
    <w:p>
      <w:pPr>
        <w:pStyle w:val="Normal"/>
        <w:spacing w:before="80" w:after="80"/>
        <w:jc w:val="both"/>
        <w:rPr/>
      </w:pPr>
      <w:r>
        <w:rPr>
          <w:rFonts w:eastAsia="Arial" w:cs="Arial"/>
          <w:sz w:val="22"/>
          <w:szCs w:val="22"/>
        </w:rPr>
        <w:t>Table 3 presents the same data in tabular form. Transport is the largest sector for France (34.0%) and Spain (36.8%), consistent with the broader European pattern in GHG accounting. Italy's largest reported sector is Energy (23.8%), followed by Transport (28.8%). Germany's sectoral breakdown is dominated by Energy under the CO₂-only scope.</w:t>
      </w:r>
    </w:p>
    <w:p>
      <w:pPr>
        <w:pStyle w:val="Normal"/>
        <w:spacing w:before="80" w:after="80"/>
        <w:rPr/>
      </w:pPr>
      <w:r>
        <w:rPr/>
      </w:r>
    </w:p>
    <w:tbl>
      <w:tblPr>
        <w:tblW w:w="9360" w:type="dxa"/>
        <w:jc w:val="left"/>
        <w:tblInd w:w="0" w:type="dxa"/>
        <w:tblLayout w:type="fixed"/>
        <w:tblCellMar>
          <w:top w:w="80" w:type="dxa"/>
          <w:left w:w="120" w:type="dxa"/>
          <w:bottom w:w="80" w:type="dxa"/>
          <w:right w:w="120" w:type="dxa"/>
        </w:tblCellMar>
      </w:tblPr>
      <w:tblGrid>
        <w:gridCol w:w="2559"/>
        <w:gridCol w:w="1700"/>
        <w:gridCol w:w="1701"/>
        <w:gridCol w:w="1700"/>
        <w:gridCol w:w="1700"/>
      </w:tblGrid>
      <w:tr>
        <w:trPr/>
        <w:tc>
          <w:tcPr>
            <w:tcW w:w="2559"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Sector</w:t>
            </w:r>
          </w:p>
        </w:tc>
        <w:tc>
          <w:tcPr>
            <w:tcW w:w="170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France</w:t>
            </w:r>
          </w:p>
        </w:tc>
        <w:tc>
          <w:tcPr>
            <w:tcW w:w="1701"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Germany</w:t>
            </w:r>
          </w:p>
        </w:tc>
        <w:tc>
          <w:tcPr>
            <w:tcW w:w="170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Italy</w:t>
            </w:r>
          </w:p>
        </w:tc>
        <w:tc>
          <w:tcPr>
            <w:tcW w:w="1700" w:type="dxa"/>
            <w:tcBorders>
              <w:top w:val="single" w:sz="2" w:space="0" w:color="CCCCCC"/>
              <w:left w:val="single" w:sz="2" w:space="0" w:color="CCCCCC"/>
              <w:bottom w:val="single" w:sz="2" w:space="0" w:color="CCCCCC"/>
              <w:right w:val="single" w:sz="2" w:space="0" w:color="CCCCCC"/>
            </w:tcBorders>
            <w:shd w:fill="D6E4F0" w:val="clear"/>
          </w:tcPr>
          <w:p>
            <w:pPr>
              <w:pStyle w:val="Normal"/>
              <w:jc w:val="center"/>
              <w:rPr/>
            </w:pPr>
            <w:r>
              <w:rPr>
                <w:rFonts w:eastAsia="Arial" w:cs="Arial"/>
                <w:b/>
                <w:bCs/>
                <w:color w:val="1F4E79"/>
                <w:sz w:val="20"/>
                <w:szCs w:val="20"/>
              </w:rPr>
              <w:t>Spain</w:t>
            </w:r>
          </w:p>
        </w:tc>
      </w:tr>
      <w:tr>
        <w:trPr/>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Agriculture</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21.0%</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0.4%</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13.8%</w:t>
            </w:r>
          </w:p>
        </w:tc>
      </w:tr>
      <w:tr>
        <w:trPr/>
        <w:tc>
          <w:tcPr>
            <w:tcW w:w="2559"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Aviation &amp; Shipping</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1"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5.0%</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r>
      <w:tr>
        <w:trPr/>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Energy</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9.0%</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84.4%</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23.8%</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12.9%</w:t>
            </w:r>
          </w:p>
        </w:tc>
      </w:tr>
      <w:tr>
        <w:trPr/>
        <w:tc>
          <w:tcPr>
            <w:tcW w:w="2559"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Industry</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17.0%</w:t>
            </w:r>
          </w:p>
        </w:tc>
        <w:tc>
          <w:tcPr>
            <w:tcW w:w="1701"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5.7%</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1.9%</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21.1%</w:t>
            </w:r>
          </w:p>
        </w:tc>
      </w:tr>
      <w:tr>
        <w:trPr/>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LULUCF</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9.6%</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14.9%</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r>
      <w:tr>
        <w:trPr/>
        <w:tc>
          <w:tcPr>
            <w:tcW w:w="2559"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Manufacturing</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1"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10.0%</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r>
      <w:tr>
        <w:trPr/>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Other Fuel Combustion</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2.1%</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r>
      <w:tr>
        <w:trPr/>
        <w:tc>
          <w:tcPr>
            <w:tcW w:w="2559"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Residential &amp; Commercial</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15.0%</w:t>
            </w:r>
          </w:p>
        </w:tc>
        <w:tc>
          <w:tcPr>
            <w:tcW w:w="1701"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13.6%</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9.6%</w:t>
            </w:r>
          </w:p>
        </w:tc>
      </w:tr>
      <w:tr>
        <w:trPr/>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jc w:val="left"/>
              <w:rPr/>
            </w:pPr>
            <w:r>
              <w:rPr>
                <w:rFonts w:eastAsia="Arial" w:cs="Arial"/>
                <w:sz w:val="20"/>
                <w:szCs w:val="20"/>
              </w:rPr>
              <w:t>Transport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34.0%</w:t>
            </w:r>
          </w:p>
        </w:tc>
        <w:tc>
          <w:tcPr>
            <w:tcW w:w="1701"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28.8%</w:t>
            </w:r>
          </w:p>
        </w:tc>
        <w:tc>
          <w:tcPr>
            <w:tcW w:w="1700" w:type="dxa"/>
            <w:tcBorders>
              <w:top w:val="single" w:sz="2" w:space="0" w:color="CCCCCC"/>
              <w:left w:val="single" w:sz="2" w:space="0" w:color="CCCCCC"/>
              <w:bottom w:val="single" w:sz="2" w:space="0" w:color="CCCCCC"/>
              <w:right w:val="single" w:sz="2" w:space="0" w:color="CCCCCC"/>
            </w:tcBorders>
            <w:shd w:fill="FFFFFF" w:val="clear"/>
          </w:tcPr>
          <w:p>
            <w:pPr>
              <w:pStyle w:val="Normal"/>
              <w:jc w:val="center"/>
              <w:rPr/>
            </w:pPr>
            <w:r>
              <w:rPr>
                <w:rFonts w:eastAsia="Arial" w:cs="Arial"/>
                <w:sz w:val="20"/>
                <w:szCs w:val="20"/>
              </w:rPr>
              <w:t>36.8%</w:t>
            </w:r>
          </w:p>
        </w:tc>
      </w:tr>
      <w:tr>
        <w:trPr/>
        <w:tc>
          <w:tcPr>
            <w:tcW w:w="2559" w:type="dxa"/>
            <w:tcBorders>
              <w:top w:val="single" w:sz="2" w:space="0" w:color="CCCCCC"/>
              <w:left w:val="single" w:sz="2" w:space="0" w:color="CCCCCC"/>
              <w:bottom w:val="single" w:sz="2" w:space="0" w:color="CCCCCC"/>
              <w:right w:val="single" w:sz="2" w:space="0" w:color="CCCCCC"/>
            </w:tcBorders>
            <w:shd w:fill="F5F9FC" w:val="clear"/>
          </w:tcPr>
          <w:p>
            <w:pPr>
              <w:pStyle w:val="Normal"/>
              <w:jc w:val="left"/>
              <w:rPr/>
            </w:pPr>
            <w:r>
              <w:rPr>
                <w:rFonts w:eastAsia="Arial" w:cs="Arial"/>
                <w:sz w:val="20"/>
                <w:szCs w:val="20"/>
              </w:rPr>
              <w:t>Waste</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4.0%</w:t>
            </w:r>
          </w:p>
        </w:tc>
        <w:tc>
          <w:tcPr>
            <w:tcW w:w="1701"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w:t>
            </w:r>
          </w:p>
        </w:tc>
        <w:tc>
          <w:tcPr>
            <w:tcW w:w="1700" w:type="dxa"/>
            <w:tcBorders>
              <w:top w:val="single" w:sz="2" w:space="0" w:color="CCCCCC"/>
              <w:left w:val="single" w:sz="2" w:space="0" w:color="CCCCCC"/>
              <w:bottom w:val="single" w:sz="2" w:space="0" w:color="CCCCCC"/>
              <w:right w:val="single" w:sz="2" w:space="0" w:color="CCCCCC"/>
            </w:tcBorders>
            <w:shd w:fill="F5F9FC" w:val="clear"/>
          </w:tcPr>
          <w:p>
            <w:pPr>
              <w:pStyle w:val="Normal"/>
              <w:jc w:val="center"/>
              <w:rPr/>
            </w:pPr>
            <w:r>
              <w:rPr>
                <w:rFonts w:eastAsia="Arial" w:cs="Arial"/>
                <w:sz w:val="20"/>
                <w:szCs w:val="20"/>
              </w:rPr>
              <w:t>5.8%</w:t>
            </w:r>
          </w:p>
        </w:tc>
      </w:tr>
    </w:tbl>
    <w:p>
      <w:pPr>
        <w:pStyle w:val="Normal"/>
        <w:spacing w:before="60" w:after="200"/>
        <w:jc w:val="center"/>
        <w:rPr/>
      </w:pPr>
      <w:r>
        <w:rPr>
          <w:rFonts w:eastAsia="Arial" w:cs="Arial"/>
          <w:i/>
          <w:iCs/>
          <w:color w:val="555555"/>
          <w:sz w:val="18"/>
          <w:szCs w:val="18"/>
        </w:rPr>
        <w:t>Table 3. Sector shares of emissions (%), 2023. — indicates sector not reported or not mappable for that country.</w:t>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5. Interpretation</w:t>
      </w:r>
    </w:p>
    <w:p>
      <w:pPr>
        <w:pStyle w:val="Heading2"/>
        <w:spacing w:before="280" w:after="120"/>
        <w:rPr/>
      </w:pPr>
      <w:r>
        <w:rPr>
          <w:rFonts w:eastAsia="Arial" w:cs="Arial" w:ascii="Arial" w:hAnsi="Arial"/>
          <w:b/>
          <w:bCs/>
          <w:color w:val="2E75B6"/>
          <w:sz w:val="26"/>
          <w:szCs w:val="26"/>
        </w:rPr>
        <w:t>5.1 Spain as a Structural Outlier</w:t>
      </w:r>
    </w:p>
    <w:p>
      <w:pPr>
        <w:pStyle w:val="Normal"/>
        <w:spacing w:before="80" w:after="80"/>
        <w:jc w:val="both"/>
        <w:rPr/>
      </w:pPr>
      <w:r>
        <w:rPr>
          <w:rFonts w:eastAsia="Arial" w:cs="Arial"/>
          <w:sz w:val="22"/>
          <w:szCs w:val="22"/>
        </w:rPr>
        <w:t>Across both the agricultural production and emissions analyses, Spain consistently diverges from the pattern shown by France, Germany, and Italy. Its agricultural gross production index grew by approximately 30% between 1990 and 2017, while the other three countries were broadly flat or slightly declining. Over the same broad period, its agricultural CO₂ emissions grew by 61.4% and its CH₄ by 12.8%, in contrast to declines recorded elsewhere.</w:t>
      </w:r>
    </w:p>
    <w:p>
      <w:pPr>
        <w:pStyle w:val="Normal"/>
        <w:spacing w:before="80" w:after="80"/>
        <w:rPr/>
      </w:pPr>
      <w:r>
        <w:rPr/>
      </w:r>
    </w:p>
    <w:p>
      <w:pPr>
        <w:pStyle w:val="Normal"/>
        <w:spacing w:before="80" w:after="80"/>
        <w:jc w:val="both"/>
        <w:rPr/>
      </w:pPr>
      <w:r>
        <w:rPr>
          <w:rFonts w:eastAsia="Arial" w:cs="Arial"/>
          <w:sz w:val="22"/>
          <w:szCs w:val="22"/>
        </w:rPr>
        <w:t>This pattern is consistent with the well-documented expansion of Spain's irrigated horticultural and fruit sector — particularly in Andalucía and the Levante — which has transformed it into one of Europe's largest producers of fresh produce for export. Irrigation-intensive production and associated land use change, machinery use, and cold-chain logistics contribute to higher CO₂ emissions per unit of output than the traditional dryland systems they have partly displaced.</w:t>
      </w:r>
    </w:p>
    <w:p>
      <w:pPr>
        <w:pStyle w:val="Heading2"/>
        <w:spacing w:before="280" w:after="120"/>
        <w:rPr/>
      </w:pPr>
      <w:r>
        <w:rPr>
          <w:rFonts w:eastAsia="Arial" w:cs="Arial" w:ascii="Arial" w:hAnsi="Arial"/>
          <w:b/>
          <w:bCs/>
          <w:color w:val="2E75B6"/>
          <w:sz w:val="26"/>
          <w:szCs w:val="26"/>
        </w:rPr>
        <w:t>5.2 Germany's Emissions Reductions</w:t>
      </w:r>
    </w:p>
    <w:p>
      <w:pPr>
        <w:pStyle w:val="Normal"/>
        <w:spacing w:before="80" w:after="80"/>
        <w:jc w:val="both"/>
        <w:rPr/>
      </w:pPr>
      <w:r>
        <w:rPr>
          <w:rFonts w:eastAsia="Arial" w:cs="Arial"/>
          <w:sz w:val="22"/>
          <w:szCs w:val="22"/>
        </w:rPr>
        <w:t>Germany shows the steepest percentage reductions in CH₄ and N₂O among the four countries — gases primarily associated with livestock (enteric fermentation and manure management) and synthetic fertiliser use. These reductions likely reflect structural changes in the livestock sector following German reunification in 1990, which resulted in significant contraction of East German livestock numbers, as well as subsequent efficiency gains in fertiliser application and manure management technologies over the following three decades.</w:t>
      </w:r>
    </w:p>
    <w:p>
      <w:pPr>
        <w:pStyle w:val="Normal"/>
        <w:spacing w:before="80" w:after="80"/>
        <w:rPr/>
      </w:pPr>
      <w:r>
        <w:rPr/>
      </w:r>
    </w:p>
    <w:p>
      <w:pPr>
        <w:pStyle w:val="Normal"/>
        <w:spacing w:before="80" w:after="80"/>
        <w:jc w:val="both"/>
        <w:rPr/>
      </w:pPr>
      <w:r>
        <w:rPr>
          <w:rFonts w:eastAsia="Arial" w:cs="Arial"/>
          <w:sz w:val="22"/>
          <w:szCs w:val="22"/>
        </w:rPr>
        <w:t>The counterintuitive increase in Germany's CO₂ from agricultural land (+31.0%) warrants caution in interpretation: the FAOSTAT CO₂ series for agricultural land captures soil carbon dynamics and land use change rather than combustion emissions, and can be subject to revision as estimation methodologies improve.</w:t>
      </w:r>
    </w:p>
    <w:p>
      <w:pPr>
        <w:pStyle w:val="Heading2"/>
        <w:spacing w:before="280" w:after="120"/>
        <w:rPr/>
      </w:pPr>
      <w:r>
        <w:rPr>
          <w:rFonts w:eastAsia="Arial" w:cs="Arial" w:ascii="Arial" w:hAnsi="Arial"/>
          <w:b/>
          <w:bCs/>
          <w:color w:val="2E75B6"/>
          <w:sz w:val="26"/>
          <w:szCs w:val="26"/>
        </w:rPr>
        <w:t>5.3 France and Italy: Stable but Diverging</w:t>
      </w:r>
    </w:p>
    <w:p>
      <w:pPr>
        <w:pStyle w:val="Normal"/>
        <w:spacing w:before="80" w:after="80"/>
        <w:jc w:val="both"/>
        <w:rPr/>
      </w:pPr>
      <w:r>
        <w:rPr>
          <w:rFonts w:eastAsia="Arial" w:cs="Arial"/>
          <w:sz w:val="22"/>
          <w:szCs w:val="22"/>
        </w:rPr>
        <w:t>France and Italy both show broadly flat agricultural production indices and modest emissions reductions over the period. France's production index is dominated at the commodity level by hemp, reflecting a niche but large-volume industrial crop rather than mainstream food production — this artefact of the index weighting methodology means caution is required when interpreting the commodity-level results as representative of France's overall agricultural structure.</w:t>
      </w:r>
    </w:p>
    <w:p>
      <w:pPr>
        <w:pStyle w:val="Normal"/>
        <w:spacing w:before="80" w:after="80"/>
        <w:rPr/>
      </w:pPr>
      <w:r>
        <w:rPr/>
      </w:r>
    </w:p>
    <w:p>
      <w:pPr>
        <w:pStyle w:val="Normal"/>
        <w:spacing w:before="80" w:after="80"/>
        <w:jc w:val="both"/>
        <w:rPr/>
      </w:pPr>
      <w:r>
        <w:rPr>
          <w:rFonts w:eastAsia="Arial" w:cs="Arial"/>
          <w:sz w:val="22"/>
          <w:szCs w:val="22"/>
        </w:rPr>
        <w:t>Italy's shift away from horse meat and towards chick peas and mushrooms as the highest-value commodity in the production index in later periods likely reflects a combination of declining horse meat consumption and the growing importance of plant-based proteins in Italian food systems, consistent with broader dietary shifts in Southern Europe.</w:t>
      </w:r>
    </w:p>
    <w:p>
      <w:pPr>
        <w:pStyle w:val="Heading2"/>
        <w:spacing w:before="280" w:after="120"/>
        <w:rPr/>
      </w:pPr>
      <w:r>
        <w:rPr>
          <w:rFonts w:eastAsia="Arial" w:cs="Arial" w:ascii="Arial" w:hAnsi="Arial"/>
          <w:b/>
          <w:bCs/>
          <w:color w:val="2E75B6"/>
          <w:sz w:val="26"/>
          <w:szCs w:val="26"/>
        </w:rPr>
        <w:t>5.4 Data Comparability Limitations</w:t>
      </w:r>
    </w:p>
    <w:p>
      <w:pPr>
        <w:pStyle w:val="Normal"/>
        <w:spacing w:before="80" w:after="80"/>
        <w:jc w:val="both"/>
        <w:rPr/>
      </w:pPr>
      <w:r>
        <w:rPr>
          <w:rFonts w:eastAsia="Arial" w:cs="Arial"/>
          <w:sz w:val="22"/>
          <w:szCs w:val="22"/>
        </w:rPr>
        <w:t>The sector-level analysis is the most limited in terms of cross-country comparability. The mixture of CO₂-only (Germany, Italy) and full-GHG (France, Spain) sources means that sector shares are not directly comparable across countries. In particular, agriculture's share appears very small for Germany (0.4%) because agricultural methane and nitrous oxide — which are the dominant agricultural GHGs — are excluded from the CO₂-only UBA series. A fully comparable analysis would require a harmonised dataset such as the UNFCCC National Inventory Submissions or the EEA's UNFCCC-aligned reporting.</w:t>
      </w:r>
    </w:p>
    <w:p>
      <w:pPr>
        <w:pStyle w:val="Normal"/>
        <w:spacing w:before="0" w:after="0"/>
        <w:rPr/>
      </w:pPr>
      <w:r>
        <w:rPr/>
      </w:r>
      <w:r>
        <w:br w:type="page"/>
      </w:r>
    </w:p>
    <w:p>
      <w:pPr>
        <w:pStyle w:val="Heading1"/>
        <w:pBdr>
          <w:bottom w:val="single" w:sz="6" w:space="4" w:color="2E75B6"/>
        </w:pBdr>
        <w:spacing w:before="0" w:after="160"/>
        <w:rPr/>
      </w:pPr>
      <w:r>
        <w:rPr>
          <w:rFonts w:eastAsia="Arial" w:cs="Arial" w:ascii="Arial" w:hAnsi="Arial"/>
          <w:b/>
          <w:bCs/>
          <w:color w:val="1F4E79"/>
          <w:sz w:val="32"/>
          <w:szCs w:val="32"/>
        </w:rPr>
        <w:t>6. Conclusion</w:t>
      </w:r>
    </w:p>
    <w:p>
      <w:pPr>
        <w:pStyle w:val="Normal"/>
        <w:spacing w:before="80" w:after="80"/>
        <w:jc w:val="both"/>
        <w:rPr/>
      </w:pPr>
      <w:r>
        <w:rPr>
          <w:rFonts w:eastAsia="Arial" w:cs="Arial"/>
          <w:sz w:val="22"/>
          <w:szCs w:val="22"/>
        </w:rPr>
        <w:t>This report has analysed agricultural production indices and GHG emissions trends for Italy, Spain, France, and Germany over the period 1990–2023. The main findings are as follows.</w:t>
      </w:r>
    </w:p>
    <w:p>
      <w:pPr>
        <w:pStyle w:val="Normal"/>
        <w:spacing w:before="80" w:after="80"/>
        <w:rPr/>
      </w:pPr>
      <w:r>
        <w:rPr/>
      </w:r>
    </w:p>
    <w:p>
      <w:pPr>
        <w:pStyle w:val="Normal"/>
        <w:spacing w:before="80" w:after="80"/>
        <w:jc w:val="both"/>
        <w:rPr/>
      </w:pPr>
      <w:r>
        <w:rPr>
          <w:rFonts w:eastAsia="Arial" w:cs="Arial"/>
          <w:sz w:val="22"/>
          <w:szCs w:val="22"/>
        </w:rPr>
        <w:t>First, Spain stands out as the single country showing sustained growth in both agricultural output and GHG emissions, driven by the expansion of its irrigated horticultural sector. This growth trajectory contrasts sharply with the broadly flat or declining emissions and production indices seen in the other three countries.</w:t>
      </w:r>
    </w:p>
    <w:p>
      <w:pPr>
        <w:pStyle w:val="Normal"/>
        <w:spacing w:before="80" w:after="80"/>
        <w:rPr/>
      </w:pPr>
      <w:r>
        <w:rPr/>
      </w:r>
    </w:p>
    <w:p>
      <w:pPr>
        <w:pStyle w:val="Normal"/>
        <w:spacing w:before="80" w:after="80"/>
        <w:jc w:val="both"/>
        <w:rPr/>
      </w:pPr>
      <w:r>
        <w:rPr>
          <w:rFonts w:eastAsia="Arial" w:cs="Arial"/>
          <w:sz w:val="22"/>
          <w:szCs w:val="22"/>
        </w:rPr>
        <w:t>Second, Germany has achieved the largest reductions in livestock-related emissions (CH₄, N₂O) among the four countries, likely reflecting post-reunification structural change in its livestock sector as well as subsequent efficiency improvements.</w:t>
      </w:r>
    </w:p>
    <w:p>
      <w:pPr>
        <w:pStyle w:val="Normal"/>
        <w:spacing w:before="80" w:after="80"/>
        <w:rPr/>
      </w:pPr>
      <w:r>
        <w:rPr/>
      </w:r>
    </w:p>
    <w:p>
      <w:pPr>
        <w:pStyle w:val="Normal"/>
        <w:spacing w:before="80" w:after="80"/>
        <w:jc w:val="both"/>
        <w:rPr/>
      </w:pPr>
      <w:r>
        <w:rPr>
          <w:rFonts w:eastAsia="Arial" w:cs="Arial"/>
          <w:sz w:val="22"/>
          <w:szCs w:val="22"/>
        </w:rPr>
        <w:t>Third, the commodity-level analysis reveals interesting artefacts of the production index methodology — notably the dominance of hemp in France's index — that underscore the importance of examining sub-aggregate data alongside country totals.</w:t>
      </w:r>
    </w:p>
    <w:p>
      <w:pPr>
        <w:pStyle w:val="Normal"/>
        <w:spacing w:before="80" w:after="80"/>
        <w:rPr/>
      </w:pPr>
      <w:r>
        <w:rPr/>
      </w:r>
    </w:p>
    <w:p>
      <w:pPr>
        <w:pStyle w:val="Normal"/>
        <w:spacing w:before="80" w:after="80"/>
        <w:jc w:val="both"/>
        <w:rPr/>
      </w:pPr>
      <w:r>
        <w:rPr>
          <w:rFonts w:eastAsia="Arial" w:cs="Arial"/>
          <w:sz w:val="22"/>
          <w:szCs w:val="22"/>
        </w:rPr>
        <w:t>Fourth, the sector-level emissions breakdown is limited in comparability due to the use of heterogeneous data sources. A priority for future work would be to replace the current patchwork of national sources with a harmonised cross-country dataset, ideally the UNFCCC National Inventory Submissions processed through a common pipeline.</w:t>
      </w:r>
    </w:p>
    <w:p>
      <w:pPr>
        <w:pStyle w:val="Normal"/>
        <w:spacing w:before="80" w:after="80"/>
        <w:rPr/>
      </w:pPr>
      <w:r>
        <w:rPr/>
      </w:r>
    </w:p>
    <w:p>
      <w:pPr>
        <w:pStyle w:val="Normal"/>
        <w:spacing w:before="80" w:after="80"/>
        <w:jc w:val="both"/>
        <w:rPr/>
      </w:pPr>
      <w:r>
        <w:rPr>
          <w:rFonts w:eastAsia="Arial" w:cs="Arial"/>
          <w:sz w:val="22"/>
          <w:szCs w:val="22"/>
        </w:rPr>
        <w:t>Future extensions of this analysis could incorporate: (i) emissions intensity metrics (emissions per unit of agricultural output), combining the production index and emissions data already available; (ii) expansion to a broader set of European countries using the existing extensible code architecture; and (iii) alignment of the emissions series with the sector breakdown to provide a consistent multi-dimensional view of each country's agricultural emissions profile over time.</w:t>
      </w:r>
    </w:p>
    <w:sectPr>
      <w:headerReference w:type="even" r:id="rId7"/>
      <w:headerReference w:type="default" r:id="rId8"/>
      <w:headerReference w:type="first" r:id="rId9"/>
      <w:footerReference w:type="even" r:id="rId10"/>
      <w:footerReference w:type="default" r:id="rId11"/>
      <w:footerReference w:type="first" r:id="rId12"/>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spacing w:before="80" w:after="0"/>
      <w:jc w:val="center"/>
      <w:rPr/>
    </w:pPr>
    <w:r>
      <w:rPr>
        <w:rFonts w:eastAsia="Arial" w:cs="Arial"/>
        <w:color w:val="777777"/>
        <w:sz w:val="18"/>
        <w:szCs w:val="18"/>
      </w:rPr>
      <w:t xml:space="preserve">Page </w:t>
    </w:r>
    <w:r>
      <w:rPr/>
      <w:fldChar w:fldCharType="begin"/>
    </w:r>
    <w:r>
      <w:rPr/>
      <w:instrText xml:space="preserve"> PAGE </w:instrText>
    </w:r>
    <w:r>
      <w:rPr/>
      <w:fldChar w:fldCharType="separate"/>
    </w:r>
    <w:r>
      <w:rPr/>
      <w:t>16</w:t>
    </w:r>
    <w:r>
      <w:rPr/>
      <w:fldChar w:fldCharType="end"/>
    </w:r>
    <w:r>
      <w:rPr>
        <w:rFonts w:eastAsia="Arial" w:cs="Arial"/>
        <w:color w:val="777777"/>
        <w:sz w:val="18"/>
        <w:szCs w:val="18"/>
      </w:rPr>
      <w:t xml:space="preserve"> of </w:t>
    </w:r>
    <w:r>
      <w:rPr/>
      <w:fldChar w:fldCharType="begin"/>
    </w:r>
    <w:r>
      <w:rPr/>
      <w:instrText xml:space="preserve"> NUMPAGES </w:instrText>
    </w:r>
    <w:r>
      <w:rPr/>
      <w:fldChar w:fldCharType="separate"/>
    </w:r>
    <w:r>
      <w:rPr/>
      <w:t>16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spacing w:before="80" w:after="0"/>
      <w:jc w:val="center"/>
      <w:rPr/>
    </w:pPr>
    <w:r>
      <w:rPr>
        <w:rFonts w:eastAsia="Arial" w:cs="Arial"/>
        <w:color w:val="777777"/>
        <w:sz w:val="18"/>
        <w:szCs w:val="18"/>
      </w:rPr>
      <w:t xml:space="preserve">Page </w:t>
    </w:r>
    <w:r>
      <w:rPr/>
      <w:fldChar w:fldCharType="begin"/>
    </w:r>
    <w:r>
      <w:rPr/>
      <w:instrText xml:space="preserve"> PAGE </w:instrText>
    </w:r>
    <w:r>
      <w:rPr/>
      <w:fldChar w:fldCharType="separate"/>
    </w:r>
    <w:r>
      <w:rPr/>
      <w:t>16</w:t>
    </w:r>
    <w:r>
      <w:rPr/>
      <w:fldChar w:fldCharType="end"/>
    </w:r>
    <w:r>
      <w:rPr>
        <w:rFonts w:eastAsia="Arial" w:cs="Arial"/>
        <w:color w:val="777777"/>
        <w:sz w:val="18"/>
        <w:szCs w:val="18"/>
      </w:rPr>
      <w:t xml:space="preserve"> of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rFonts w:eastAsia="Arial" w:cs="Arial"/>
        <w:color w:val="777777"/>
        <w:sz w:val="18"/>
        <w:szCs w:val="18"/>
      </w:rPr>
      <w:t>GHG Emissions &amp; Agricultural Production in Europe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spacing w:before="0" w:after="0"/>
      <w:jc w:val="right"/>
      <w:rPr/>
    </w:pPr>
    <w:r>
      <w:rPr>
        <w:rFonts w:eastAsia="Arial" w:cs="Arial"/>
        <w:color w:val="777777"/>
        <w:sz w:val="18"/>
        <w:szCs w:val="18"/>
      </w:rPr>
      <w:t>GHG Emissions &amp; Agricultural Production in Europe</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U"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AU" w:eastAsia="zh-CN" w:bidi="hi-IN"/>
    </w:rPr>
  </w:style>
  <w:style w:type="paragraph" w:styleId="Heading1">
    <w:name w:val="heading 1"/>
    <w:basedOn w:val="Heading"/>
    <w:qFormat/>
    <w:pPr>
      <w:spacing w:before="360" w:after="160"/>
      <w:outlineLvl w:val="0"/>
    </w:pPr>
    <w:rPr>
      <w:rFonts w:ascii="Arial" w:hAnsi="Arial" w:eastAsia="Arial" w:cs="Arial"/>
      <w:b/>
      <w:bCs/>
      <w:color w:val="1F4E79"/>
      <w:sz w:val="32"/>
      <w:szCs w:val="32"/>
    </w:rPr>
  </w:style>
  <w:style w:type="paragraph" w:styleId="Heading2">
    <w:name w:val="heading 2"/>
    <w:basedOn w:val="Heading"/>
    <w:qFormat/>
    <w:pPr>
      <w:spacing w:before="280" w:after="12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AU"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AU"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16</Pages>
  <Words>2455</Words>
  <Characters>14184</Characters>
  <CharactersWithSpaces>16425</CharactersWithSpaces>
  <Paragraphs>179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2026-02-28T09:11:03Z</dcterms:created>
  <dc:creator>Un-named</dc:creator>
  <dc:description/>
  <dc:language>en-AU</dc:language>
  <cp:lastModifiedBy/>
  <dcterms:modified xsi:type="dcterms:W3CDTF">2026-02-28T10:23:48Z</dcterms:modified>
  <cp:revision>2</cp:revision>
  <dc:subject/>
  <dc:title/>
</cp:coreProperties>
</file>