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全球ETF动态仓位管理报告（Pro Max 9.0 - 机构风控版）</w:t>
      </w:r>
    </w:p>
    <w:p/>
    <w:p>
      <w:r>
        <w:t xml:space="preserve">**报告日期**：2026-05-09（UTC）  </w:t>
      </w:r>
    </w:p>
    <w:p>
      <w:r>
        <w:t xml:space="preserve">**适用账户**：用户当前ETF组合  </w:t>
      </w:r>
    </w:p>
    <w:p>
      <w:r>
        <w:t>**重要假设**：你提供的 `2026-05-10 标普500买入4万` 按“已成交并以最近交易日估值”处理；若该笔尚未成交，建议将本报告所有仓位数据按减少4万元标普持仓、增加4万元现金重新计算。</w:t>
      </w:r>
    </w:p>
    <w:p/>
    <w:p>
      <w:r>
        <w:t>---</w:t>
      </w:r>
    </w:p>
    <w:p/>
    <w:p>
      <w:pPr>
        <w:pStyle w:val="Heading1"/>
      </w:pPr>
      <w:r>
        <w:t>==================================</w:t>
      </w:r>
    </w:p>
    <w:p>
      <w:r>
        <w:t>【1】市场风险总览</w:t>
      </w:r>
    </w:p>
    <w:p/>
    <w:p>
      <w:pPr>
        <w:pStyle w:val="Heading2"/>
      </w:pPr>
      <w:r>
        <w:t>1) 估值快照（用于风控打分）</w:t>
      </w:r>
    </w:p>
    <w:p>
      <w:pPr>
        <w:pStyle w:val="ListBullet"/>
      </w:pPr>
      <w:r>
        <w:t>**标普500 PE**：**31.56**（偏贵区：28~32）</w:t>
      </w:r>
    </w:p>
    <w:p>
      <w:pPr>
        <w:pStyle w:val="ListBullet"/>
      </w:pPr>
      <w:r>
        <w:t>**纳指（纳斯达克100）PE**：**35.5**（&gt;35，进入减仓区）</w:t>
      </w:r>
    </w:p>
    <w:p>
      <w:pPr>
        <w:pStyle w:val="ListBullet"/>
      </w:pPr>
      <w:r>
        <w:t>**日经225 PE**：**18.66**（18~24，正常区间）</w:t>
      </w:r>
    </w:p>
    <w:p/>
    <w:p>
      <w:pPr>
        <w:pStyle w:val="Heading2"/>
      </w:pPr>
      <w:r>
        <w:t>2) 各市场风险等级（按你给定规则）</w:t>
      </w:r>
    </w:p>
    <w:p>
      <w:pPr>
        <w:pStyle w:val="ListBullet"/>
      </w:pPr>
      <w:r>
        <w:t>**标普500**：偏贵 / 高位风险（停止新增）</w:t>
      </w:r>
    </w:p>
    <w:p>
      <w:pPr>
        <w:pStyle w:val="ListBullet"/>
      </w:pPr>
      <w:r>
        <w:t>**纳指**：高风险（开始减仓）</w:t>
      </w:r>
    </w:p>
    <w:p>
      <w:pPr>
        <w:pStyle w:val="ListBullet"/>
      </w:pPr>
      <w:r>
        <w:t>**日经225**：中性（可持有，回调再加）</w:t>
      </w:r>
    </w:p>
    <w:p/>
    <w:p>
      <w:pPr>
        <w:pStyle w:val="Heading2"/>
      </w:pPr>
      <w:r>
        <w:t>3) 横向比较</w:t>
      </w:r>
    </w:p>
    <w:p>
      <w:pPr>
        <w:pStyle w:val="ListBullet"/>
      </w:pPr>
      <w:r>
        <w:t>**风险最高市场**：**纳指**（估值最高 + AI情绪最集中）</w:t>
      </w:r>
    </w:p>
    <w:p>
      <w:pPr>
        <w:pStyle w:val="ListBullet"/>
      </w:pPr>
      <w:r>
        <w:t>**当前风险收益比最好市场**：**日经225**（PE相对低，估值安全垫优于美股两大指数）</w:t>
      </w:r>
    </w:p>
    <w:p/>
    <w:p>
      <w:r>
        <w:t>---</w:t>
      </w:r>
    </w:p>
    <w:p/>
    <w:p>
      <w:pPr>
        <w:pStyle w:val="Heading1"/>
      </w:pPr>
      <w:r>
        <w:t>==================================</w:t>
      </w:r>
    </w:p>
    <w:p>
      <w:r>
        <w:t>【2】宏观环境分析</w:t>
      </w:r>
    </w:p>
    <w:p/>
    <w:p>
      <w:pPr>
        <w:pStyle w:val="Heading2"/>
      </w:pPr>
      <w:r>
        <w:t>1) 美国10年国债收益率</w:t>
      </w:r>
    </w:p>
    <w:p>
      <w:pPr>
        <w:pStyle w:val="ListBullet"/>
      </w:pPr>
      <w:r>
        <w:t>当前约 **4.41%**</w:t>
      </w:r>
    </w:p>
    <w:p>
      <w:pPr>
        <w:pStyle w:val="ListBullet"/>
      </w:pPr>
      <w:r>
        <w:t>按规则属于 **3%~4.5%中性偏紧区间**</w:t>
      </w:r>
    </w:p>
    <w:p>
      <w:pPr>
        <w:pStyle w:val="ListBullet"/>
      </w:pPr>
      <w:r>
        <w:t>结论：对高估值成长股（尤其纳指）形成估值压制，不支持激进加仓。</w:t>
      </w:r>
    </w:p>
    <w:p/>
    <w:p>
      <w:pPr>
        <w:pStyle w:val="Heading2"/>
      </w:pPr>
      <w:r>
        <w:t>2) AI市场情绪</w:t>
      </w:r>
    </w:p>
    <w:p>
      <w:pPr>
        <w:pStyle w:val="ListBullet"/>
      </w:pPr>
      <w:r>
        <w:t>AI/半导体主题持续高热，媒体与资金关注集中。</w:t>
      </w:r>
    </w:p>
    <w:p>
      <w:pPr>
        <w:pStyle w:val="ListBullet"/>
      </w:pPr>
      <w:r>
        <w:t>判断：情绪风险 **高**，追高胜率下降。</w:t>
      </w:r>
    </w:p>
    <w:p/>
    <w:p>
      <w:pPr>
        <w:pStyle w:val="Heading2"/>
      </w:pPr>
      <w:r>
        <w:t>3) ETF资金流向</w:t>
      </w:r>
    </w:p>
    <w:p>
      <w:pPr>
        <w:pStyle w:val="ListBullet"/>
      </w:pPr>
      <w:r>
        <w:t>2026年4月美股ETF出现显著净流入（风险偏好回升明显）。</w:t>
      </w:r>
    </w:p>
    <w:p>
      <w:pPr>
        <w:pStyle w:val="ListBullet"/>
      </w:pPr>
      <w:r>
        <w:t>判断：资金“拥挤交易”特征增强，后续波动放大概率上升。</w:t>
      </w:r>
    </w:p>
    <w:p/>
    <w:p>
      <w:pPr>
        <w:pStyle w:val="Heading2"/>
      </w:pPr>
      <w:r>
        <w:t>4) 综合风险评分（100分制）</w:t>
      </w:r>
    </w:p>
    <w:p>
      <w:pPr>
        <w:pStyle w:val="ListBullet"/>
      </w:pPr>
      <w:r>
        <w:t>**估值风险（40）**：</w:t>
      </w:r>
    </w:p>
    <w:p>
      <w:r>
        <w:t xml:space="preserve">  - 标普500：28分  </w:t>
      </w:r>
    </w:p>
    <w:p>
      <w:r>
        <w:t xml:space="preserve">  - 纳指：40分  </w:t>
      </w:r>
    </w:p>
    <w:p>
      <w:r>
        <w:t xml:space="preserve">  - 日经225：15分  </w:t>
      </w:r>
    </w:p>
    <w:p>
      <w:r>
        <w:t xml:space="preserve">  - 按你当前持仓权重加权：**23.0 / 40**</w:t>
      </w:r>
    </w:p>
    <w:p>
      <w:pPr>
        <w:pStyle w:val="ListBullet"/>
      </w:pPr>
      <w:r>
        <w:t>**美债利率风险（25）**：**15 / 25**</w:t>
      </w:r>
    </w:p>
    <w:p>
      <w:pPr>
        <w:pStyle w:val="ListBullet"/>
      </w:pPr>
      <w:r>
        <w:t>**市场情绪风险（20）**：6项中触发5项，按20分封顶计 **20 / 20**</w:t>
      </w:r>
    </w:p>
    <w:p>
      <w:pPr>
        <w:pStyle w:val="ListBullet"/>
      </w:pPr>
      <w:r>
        <w:t>**涨幅风险（15）**（近6个月）：</w:t>
      </w:r>
    </w:p>
    <w:p>
      <w:r>
        <w:t xml:space="preserve">  - 标普500：+9.96% -&gt; 3分  </w:t>
      </w:r>
    </w:p>
    <w:p>
      <w:r>
        <w:t xml:space="preserve">  - 纳指：+11.94% -&gt; 8分  </w:t>
      </w:r>
    </w:p>
    <w:p>
      <w:r>
        <w:t xml:space="preserve">  - 日经225：+24.74% -&gt; 12分  </w:t>
      </w:r>
    </w:p>
    <w:p>
      <w:r>
        <w:t xml:space="preserve">  - 加权：**8.5 / 15**</w:t>
      </w:r>
    </w:p>
    <w:p/>
    <w:p>
      <w:pPr>
        <w:pStyle w:val="Heading3"/>
      </w:pPr>
      <w:r>
        <w:t>总分</w:t>
      </w:r>
    </w:p>
    <w:p>
      <w:r>
        <w:t>**66.5 / 100**</w:t>
      </w:r>
    </w:p>
    <w:p/>
    <w:p>
      <w:pPr>
        <w:pStyle w:val="Heading3"/>
      </w:pPr>
      <w:r>
        <w:t>当前整体风险等级判断</w:t>
      </w:r>
    </w:p>
    <w:p>
      <w:r>
        <w:t xml:space="preserve">**泡沫阶段（偏边缘）**  </w:t>
      </w:r>
    </w:p>
    <w:p>
      <w:r>
        <w:t>&gt; 风控口径：应将总仓位压到 20%~50% 区间上沿附近，显著提高现金。</w:t>
      </w:r>
    </w:p>
    <w:p/>
    <w:p>
      <w:r>
        <w:t>---</w:t>
      </w:r>
    </w:p>
    <w:p/>
    <w:p>
      <w:pPr>
        <w:pStyle w:val="Heading1"/>
      </w:pPr>
      <w:r>
        <w:t>==================================</w:t>
      </w:r>
    </w:p>
    <w:p>
      <w:r>
        <w:t>【3】当前持仓分析</w:t>
      </w:r>
    </w:p>
    <w:p/>
    <w:p>
      <w:pPr>
        <w:pStyle w:val="Heading2"/>
      </w:pPr>
      <w:r>
        <w:t>数据口径</w:t>
      </w:r>
    </w:p>
    <w:p>
      <w:r>
        <w:t>使用主要指数最新收盘与买入日指数位置估算（非逐笔成交价复盘）。</w:t>
      </w:r>
    </w:p>
    <w:p/>
    <w:p>
      <w:pPr>
        <w:pStyle w:val="Heading2"/>
      </w:pPr>
      <w:r>
        <w:t>A. 标普500持仓</w:t>
      </w:r>
    </w:p>
    <w:p>
      <w:pPr>
        <w:pStyle w:val="ListBullet"/>
      </w:pPr>
      <w:r>
        <w:t>买入记录：</w:t>
      </w:r>
    </w:p>
    <w:p>
      <w:r>
        <w:t xml:space="preserve">  - 2026-02-20 买入 20,000，当前估算盈亏：**+1,417（+7.08%）**</w:t>
      </w:r>
    </w:p>
    <w:p>
      <w:r>
        <w:t xml:space="preserve">  - 2026-05-10 买入 40,000，当前估算盈亏：**0（0.00%）**</w:t>
      </w:r>
    </w:p>
    <w:p>
      <w:pPr>
        <w:pStyle w:val="ListBullet"/>
      </w:pPr>
      <w:r>
        <w:t>当前持仓金额（估算市值）：**61,417**</w:t>
      </w:r>
    </w:p>
    <w:p>
      <w:pPr>
        <w:pStyle w:val="ListBullet"/>
      </w:pPr>
      <w:r>
        <w:t>持仓占比（总资产）：**21.4%**</w:t>
      </w:r>
    </w:p>
    <w:p>
      <w:pPr>
        <w:pStyle w:val="ListBullet"/>
      </w:pPr>
      <w:r>
        <w:t>当前风险等级：**高（估值偏贵）**</w:t>
      </w:r>
    </w:p>
    <w:p>
      <w:pPr>
        <w:pStyle w:val="ListBullet"/>
      </w:pPr>
      <w:r>
        <w:t>是否适合继续投资：**不适合继续新增，转入观察/回撤加仓模式**</w:t>
      </w:r>
    </w:p>
    <w:p/>
    <w:p>
      <w:pPr>
        <w:pStyle w:val="Heading2"/>
      </w:pPr>
      <w:r>
        <w:t>B. 纳指持仓</w:t>
      </w:r>
    </w:p>
    <w:p>
      <w:pPr>
        <w:pStyle w:val="ListBullet"/>
      </w:pPr>
      <w:r>
        <w:t>买入记录：</w:t>
      </w:r>
    </w:p>
    <w:p>
      <w:r>
        <w:t xml:space="preserve">  - 2025-04-10 买入 10,000，当前估算盈亏：**+5,748（+57.48%）**</w:t>
      </w:r>
    </w:p>
    <w:p>
      <w:r>
        <w:t xml:space="preserve">  - 2026-04-06 买入 10,000，当前估算盈亏：**+1,732（+17.32%）**</w:t>
      </w:r>
    </w:p>
    <w:p>
      <w:pPr>
        <w:pStyle w:val="ListBullet"/>
      </w:pPr>
      <w:r>
        <w:t>当前持仓金额（估算市值）：**27,480**</w:t>
      </w:r>
    </w:p>
    <w:p>
      <w:pPr>
        <w:pStyle w:val="ListBullet"/>
      </w:pPr>
      <w:r>
        <w:t>持仓占比（总资产）：**9.6%**</w:t>
      </w:r>
    </w:p>
    <w:p>
      <w:pPr>
        <w:pStyle w:val="ListBullet"/>
      </w:pPr>
      <w:r>
        <w:t>当前风险等级：**很高（PE&gt;35 + 情绪拥挤）**</w:t>
      </w:r>
    </w:p>
    <w:p>
      <w:pPr>
        <w:pStyle w:val="ListBullet"/>
      </w:pPr>
      <w:r>
        <w:t>是否适合继续投资：**不适合继续投资，执行主动减仓**</w:t>
      </w:r>
    </w:p>
    <w:p/>
    <w:p>
      <w:pPr>
        <w:pStyle w:val="Heading2"/>
      </w:pPr>
      <w:r>
        <w:t>C. 日经225持仓</w:t>
      </w:r>
    </w:p>
    <w:p>
      <w:pPr>
        <w:pStyle w:val="ListBullet"/>
      </w:pPr>
      <w:r>
        <w:t>买入记录：</w:t>
      </w:r>
    </w:p>
    <w:p>
      <w:r>
        <w:t xml:space="preserve">  - 2025-01-20 买入 20,000，当前估算盈亏：**+12,241（+61.21%）**</w:t>
      </w:r>
    </w:p>
    <w:p>
      <w:r>
        <w:t xml:space="preserve">  - 2026-02-10 买入 60,000，当前估算盈亏：**+5,269（+8.78%）**</w:t>
      </w:r>
    </w:p>
    <w:p>
      <w:pPr>
        <w:pStyle w:val="ListBullet"/>
      </w:pPr>
      <w:r>
        <w:t>当前持仓金额（估算市值）：**97,511**</w:t>
      </w:r>
    </w:p>
    <w:p>
      <w:pPr>
        <w:pStyle w:val="ListBullet"/>
      </w:pPr>
      <w:r>
        <w:t>持仓占比（总资产）：**34.1%**</w:t>
      </w:r>
    </w:p>
    <w:p>
      <w:pPr>
        <w:pStyle w:val="ListBullet"/>
      </w:pPr>
      <w:r>
        <w:t>当前风险等级：**中风险（估值中性，但短期涨幅较高）**</w:t>
      </w:r>
    </w:p>
    <w:p>
      <w:pPr>
        <w:pStyle w:val="ListBullet"/>
      </w:pPr>
      <w:r>
        <w:t>是否适合继续投资：**可持有，等待回撤后再分批加仓**</w:t>
      </w:r>
    </w:p>
    <w:p/>
    <w:p>
      <w:r>
        <w:t>---</w:t>
      </w:r>
    </w:p>
    <w:p/>
    <w:p>
      <w:pPr>
        <w:pStyle w:val="Heading1"/>
      </w:pPr>
      <w:r>
        <w:t>==================================</w:t>
      </w:r>
    </w:p>
    <w:p>
      <w:r>
        <w:t>【4】仓位健康度分析</w:t>
      </w:r>
    </w:p>
    <w:p/>
    <w:p>
      <w:pPr>
        <w:pStyle w:val="Heading2"/>
      </w:pPr>
      <w:r>
        <w:t>1) 当前资产结构（估算）</w:t>
      </w:r>
    </w:p>
    <w:p>
      <w:pPr>
        <w:pStyle w:val="ListBullet"/>
      </w:pPr>
      <w:r>
        <w:t>**总资产**：**286,407**</w:t>
      </w:r>
    </w:p>
    <w:p>
      <w:pPr>
        <w:pStyle w:val="ListBullet"/>
      </w:pPr>
      <w:r>
        <w:t>**ETF总市值**：**186,407**</w:t>
      </w:r>
    </w:p>
    <w:p>
      <w:pPr>
        <w:pStyle w:val="ListBullet"/>
      </w:pPr>
      <w:r>
        <w:t>**当前现金**：**100,000**</w:t>
      </w:r>
    </w:p>
    <w:p>
      <w:pPr>
        <w:pStyle w:val="ListBullet"/>
      </w:pPr>
      <w:r>
        <w:t>**当前总仓位**：**65.1%**</w:t>
      </w:r>
    </w:p>
    <w:p>
      <w:pPr>
        <w:pStyle w:val="ListBullet"/>
      </w:pPr>
      <w:r>
        <w:t>**当前现金比例**：**34.9%**</w:t>
      </w:r>
    </w:p>
    <w:p/>
    <w:p>
      <w:pPr>
        <w:pStyle w:val="Heading2"/>
      </w:pPr>
      <w:r>
        <w:t>2) 与风控目标对比</w:t>
      </w:r>
    </w:p>
    <w:p>
      <w:pPr>
        <w:pStyle w:val="ListBullet"/>
      </w:pPr>
      <w:r>
        <w:t>你当前风险等级：泡沫阶段（66.5分）</w:t>
      </w:r>
    </w:p>
    <w:p>
      <w:pPr>
        <w:pStyle w:val="ListBullet"/>
      </w:pPr>
      <w:r>
        <w:t>对应建议仓位：20%~50%</w:t>
      </w:r>
    </w:p>
    <w:p>
      <w:pPr>
        <w:pStyle w:val="ListBullet"/>
      </w:pPr>
      <w:r>
        <w:t>对应建议现金：50%~80%</w:t>
      </w:r>
    </w:p>
    <w:p/>
    <w:p>
      <w:pPr>
        <w:pStyle w:val="Heading3"/>
      </w:pPr>
      <w:r>
        <w:t>结论</w:t>
      </w:r>
    </w:p>
    <w:p>
      <w:pPr>
        <w:pStyle w:val="ListBullet"/>
      </w:pPr>
      <w:r>
        <w:t>**当前现金不足（相对泡沫阶段目标）**</w:t>
      </w:r>
    </w:p>
    <w:p>
      <w:pPr>
        <w:pStyle w:val="ListBullet"/>
      </w:pPr>
      <w:r>
        <w:t>**需要提高现金**</w:t>
      </w:r>
    </w:p>
    <w:p>
      <w:pPr>
        <w:pStyle w:val="ListBullet"/>
      </w:pPr>
      <w:r>
        <w:t>流动性风险：</w:t>
      </w:r>
    </w:p>
    <w:p>
      <w:r>
        <w:t xml:space="preserve">  - 满足最低现金5万要求（当前10万 &gt; 5万），短期无硬性流动性风险；  </w:t>
      </w:r>
    </w:p>
    <w:p>
      <w:r>
        <w:t xml:space="preserve">  - 但若市场快速回撤，当前“可机动加仓现金”不够理想，需提升现金弹药。</w:t>
      </w:r>
    </w:p>
    <w:p/>
    <w:p>
      <w:r>
        <w:t>---</w:t>
      </w:r>
    </w:p>
    <w:p/>
    <w:p>
      <w:pPr>
        <w:pStyle w:val="Heading1"/>
      </w:pPr>
      <w:r>
        <w:t>==================================</w:t>
      </w:r>
    </w:p>
    <w:p>
      <w:r>
        <w:t>【5】具体操作建议</w:t>
      </w:r>
    </w:p>
    <w:p/>
    <w:p>
      <w:pPr>
        <w:pStyle w:val="Heading2"/>
      </w:pPr>
      <w:r>
        <w:t>明确结论（不模糊）</w:t>
      </w:r>
    </w:p>
    <w:p>
      <w:pPr>
        <w:pStyle w:val="ListBullet"/>
      </w:pPr>
      <w:r>
        <w:t>**停止新增**：标普500、纳指（美股端全部暂停新增）</w:t>
      </w:r>
    </w:p>
    <w:p>
      <w:pPr>
        <w:pStyle w:val="ListBullet"/>
      </w:pPr>
      <w:r>
        <w:t>**继续定投**：当前阶段 **不执行常规定投**，改为“触发式定投”</w:t>
      </w:r>
    </w:p>
    <w:p>
      <w:pPr>
        <w:pStyle w:val="ListBullet"/>
      </w:pPr>
      <w:r>
        <w:t>**适合加仓**：当前无立即加仓标的（等待回撤触发）</w:t>
      </w:r>
    </w:p>
    <w:p>
      <w:pPr>
        <w:pStyle w:val="ListBullet"/>
      </w:pPr>
      <w:r>
        <w:t>**需要减仓**：纳指（优先）、标普（次优先）、日经（小幅）</w:t>
      </w:r>
    </w:p>
    <w:p>
      <w:pPr>
        <w:pStyle w:val="ListBullet"/>
      </w:pPr>
      <w:r>
        <w:t>**是否保留现金**：是，且要把现金提升到接近50%</w:t>
      </w:r>
    </w:p>
    <w:p>
      <w:pPr>
        <w:pStyle w:val="ListBullet"/>
      </w:pPr>
      <w:r>
        <w:t>**是否等待暴跌机会**：是，执行分级回撤买入计划</w:t>
      </w:r>
    </w:p>
    <w:p/>
    <w:p>
      <w:r>
        <w:t>---</w:t>
      </w:r>
    </w:p>
    <w:p/>
    <w:p>
      <w:pPr>
        <w:pStyle w:val="Heading1"/>
      </w:pPr>
      <w:r>
        <w:t>==================================</w:t>
      </w:r>
    </w:p>
    <w:p>
      <w:r>
        <w:t>【6】具体金额建议</w:t>
      </w:r>
    </w:p>
    <w:p/>
    <w:p>
      <w:pPr>
        <w:pStyle w:val="Heading2"/>
      </w:pPr>
      <w:r>
        <w:t>建议一次性再平衡（T+0/T+1执行）</w:t>
      </w:r>
    </w:p>
    <w:p>
      <w:pPr>
        <w:pStyle w:val="ListNumber"/>
      </w:pPr>
      <w:r>
        <w:t>1. **纳指减仓 12,000**</w:t>
      </w:r>
    </w:p>
    <w:p>
      <w:pPr>
        <w:pStyle w:val="ListNumber"/>
      </w:pPr>
      <w:r>
        <w:t>2. **标普500减仓 18,000**</w:t>
      </w:r>
    </w:p>
    <w:p>
      <w:pPr>
        <w:pStyle w:val="ListNumber"/>
      </w:pPr>
      <w:r>
        <w:t>3. **日经225减仓 13,000**</w:t>
      </w:r>
    </w:p>
    <w:p>
      <w:pPr>
        <w:pStyle w:val="ListNumber"/>
      </w:pPr>
      <w:r>
        <w:t>4. **新增买入：0（暂不抄顶）**</w:t>
      </w:r>
    </w:p>
    <w:p>
      <w:pPr>
        <w:pStyle w:val="ListNumber"/>
      </w:pPr>
      <w:r>
        <w:t>5. **全部回笼到现金**</w:t>
      </w:r>
    </w:p>
    <w:p/>
    <w:p>
      <w:pPr>
        <w:pStyle w:val="Heading3"/>
      </w:pPr>
      <w:r>
        <w:t>调整后资产结构（估算）</w:t>
      </w:r>
    </w:p>
    <w:p>
      <w:pPr>
        <w:pStyle w:val="ListBullet"/>
      </w:pPr>
      <w:r>
        <w:t>ETF总市值：186,407 - 43,000 = **143,407**</w:t>
      </w:r>
    </w:p>
    <w:p>
      <w:pPr>
        <w:pStyle w:val="ListBullet"/>
      </w:pPr>
      <w:r>
        <w:t>现金：100,000 + 43,000 = **143,000**</w:t>
      </w:r>
    </w:p>
    <w:p>
      <w:pPr>
        <w:pStyle w:val="ListBullet"/>
      </w:pPr>
      <w:r>
        <w:t>总资产：约 **286,407**</w:t>
      </w:r>
    </w:p>
    <w:p/>
    <w:p>
      <w:pPr>
        <w:pStyle w:val="Heading3"/>
      </w:pPr>
      <w:r>
        <w:t>调整后比例</w:t>
      </w:r>
    </w:p>
    <w:p>
      <w:pPr>
        <w:pStyle w:val="ListBullet"/>
      </w:pPr>
      <w:r>
        <w:t>**总仓位**：**50.1%**</w:t>
      </w:r>
    </w:p>
    <w:p>
      <w:pPr>
        <w:pStyle w:val="ListBullet"/>
      </w:pPr>
      <w:r>
        <w:t>**现金比例**：**49.9%**</w:t>
      </w:r>
    </w:p>
    <w:p/>
    <w:p>
      <w:r>
        <w:t>&gt; 结果：基本到达“泡沫阶段”防守目标区间上沿，既控制回撤，又保留充足子弹。</w:t>
      </w:r>
    </w:p>
    <w:p/>
    <w:p>
      <w:r>
        <w:t>---</w:t>
      </w:r>
    </w:p>
    <w:p/>
    <w:p>
      <w:pPr>
        <w:pStyle w:val="Heading1"/>
      </w:pPr>
      <w:r>
        <w:t>==================================</w:t>
      </w:r>
    </w:p>
    <w:p>
      <w:r>
        <w:t>【7】未来触发条件与行动计划</w:t>
      </w:r>
    </w:p>
    <w:p/>
    <w:p>
      <w:r>
        <w:t>以下动作以“已执行上面的再平衡后”作为基准。</w:t>
      </w:r>
    </w:p>
    <w:p/>
    <w:p>
      <w:pPr>
        <w:pStyle w:val="Heading2"/>
      </w:pPr>
      <w:r>
        <w:t>触发1：如果纳指再涨10%</w:t>
      </w:r>
    </w:p>
    <w:p>
      <w:pPr>
        <w:pStyle w:val="ListBullet"/>
      </w:pPr>
      <w:r>
        <w:t>动作：**再减仓纳指 3,500**</w:t>
      </w:r>
    </w:p>
    <w:p>
      <w:pPr>
        <w:pStyle w:val="ListBullet"/>
      </w:pPr>
      <w:r>
        <w:t>目标：锁定利润，防止情绪尾段回撤</w:t>
      </w:r>
    </w:p>
    <w:p>
      <w:pPr>
        <w:pStyle w:val="ListBullet"/>
      </w:pPr>
      <w:r>
        <w:t>执行后现金比例：约 **50.9%**</w:t>
      </w:r>
    </w:p>
    <w:p/>
    <w:p>
      <w:pPr>
        <w:pStyle w:val="Heading2"/>
      </w:pPr>
      <w:r>
        <w:t>触发2：如果纳指从当前下跌15%</w:t>
      </w:r>
    </w:p>
    <w:p>
      <w:pPr>
        <w:pStyle w:val="ListBullet"/>
      </w:pPr>
      <w:r>
        <w:t>动作：**加仓纳指 8,000**</w:t>
      </w:r>
    </w:p>
    <w:p>
      <w:pPr>
        <w:pStyle w:val="ListBullet"/>
      </w:pPr>
      <w:r>
        <w:t>判断：进入机会区（按你的规则“跌15%可加仓”）</w:t>
      </w:r>
    </w:p>
    <w:p>
      <w:pPr>
        <w:pStyle w:val="ListBullet"/>
      </w:pPr>
      <w:r>
        <w:t>执行后现金比例：约 **47.5%**</w:t>
      </w:r>
    </w:p>
    <w:p/>
    <w:p>
      <w:pPr>
        <w:pStyle w:val="Heading2"/>
      </w:pPr>
      <w:r>
        <w:t>触发3：如果标普500下跌10%</w:t>
      </w:r>
    </w:p>
    <w:p>
      <w:pPr>
        <w:pStyle w:val="ListBullet"/>
      </w:pPr>
      <w:r>
        <w:t>动作：**开始加速定投标普 10,000**</w:t>
      </w:r>
    </w:p>
    <w:p>
      <w:pPr>
        <w:pStyle w:val="ListBullet"/>
      </w:pPr>
      <w:r>
        <w:t>判断：进入第一层机会区（跌10%启动）</w:t>
      </w:r>
    </w:p>
    <w:p>
      <w:pPr>
        <w:pStyle w:val="ListBullet"/>
      </w:pPr>
      <w:r>
        <w:t>执行后现金比例：约 **47.2%**</w:t>
      </w:r>
    </w:p>
    <w:p/>
    <w:p>
      <w:pPr>
        <w:pStyle w:val="Heading2"/>
      </w:pPr>
      <w:r>
        <w:t>触发4：如果日经225下跌10%</w:t>
      </w:r>
    </w:p>
    <w:p>
      <w:pPr>
        <w:pStyle w:val="ListBullet"/>
      </w:pPr>
      <w:r>
        <w:t>动作：**加仓日经 12,000**</w:t>
      </w:r>
    </w:p>
    <w:p>
      <w:pPr>
        <w:pStyle w:val="ListBullet"/>
      </w:pPr>
      <w:r>
        <w:t>判断：进入加仓区（跌10%执行）</w:t>
      </w:r>
    </w:p>
    <w:p>
      <w:pPr>
        <w:pStyle w:val="ListBullet"/>
      </w:pPr>
      <w:r>
        <w:t>执行后现金比例：约 **47.1%**</w:t>
      </w:r>
    </w:p>
    <w:p/>
    <w:p>
      <w:pPr>
        <w:pStyle w:val="Heading2"/>
      </w:pPr>
      <w:r>
        <w:t>触发5：如果美债10年收益率突破5%</w:t>
      </w:r>
    </w:p>
    <w:p>
      <w:pPr>
        <w:pStyle w:val="ListBullet"/>
      </w:pPr>
      <w:r>
        <w:t>动作：**再降低美股仓位 20,000（标普12,000 + 纳指8,000）**</w:t>
      </w:r>
    </w:p>
    <w:p>
      <w:pPr>
        <w:pStyle w:val="ListBullet"/>
      </w:pPr>
      <w:r>
        <w:t>同时：**停止新增全部美股ETF**</w:t>
      </w:r>
    </w:p>
    <w:p>
      <w:pPr>
        <w:pStyle w:val="ListBullet"/>
      </w:pPr>
      <w:r>
        <w:t>执行后现金比例：约 **56.9%**</w:t>
      </w:r>
    </w:p>
    <w:p/>
    <w:p>
      <w:r>
        <w:t>---</w:t>
      </w:r>
    </w:p>
    <w:p/>
    <w:p>
      <w:pPr>
        <w:pStyle w:val="Heading2"/>
      </w:pPr>
      <w:r>
        <w:t>执行纪律（机构风控口径）</w:t>
      </w:r>
    </w:p>
    <w:p>
      <w:pPr>
        <w:pStyle w:val="ListBullet"/>
      </w:pPr>
      <w:r>
        <w:t>单次操作后，若市场未触发下一条件，不重复交易，防止过度操作。</w:t>
      </w:r>
    </w:p>
    <w:p>
      <w:pPr>
        <w:pStyle w:val="ListBullet"/>
      </w:pPr>
      <w:r>
        <w:t>任意时点现金不得低于 **50,000**（你的硬约束）。</w:t>
      </w:r>
    </w:p>
    <w:p>
      <w:pPr>
        <w:pStyle w:val="ListBullet"/>
      </w:pPr>
      <w:r>
        <w:t>若风险分数连续两周 &gt; 65，维持防守仓位，不提前乐观。</w:t>
      </w:r>
    </w:p>
    <w:p/>
    <w:p>
      <w:r>
        <w:t>---</w:t>
      </w:r>
    </w:p>
    <w:p/>
    <w:p>
      <w:pPr>
        <w:pStyle w:val="Heading2"/>
      </w:pPr>
      <w:r>
        <w:t>数据来源口径（本报告使用）</w:t>
      </w:r>
    </w:p>
    <w:p>
      <w:pPr>
        <w:pStyle w:val="ListBullet"/>
      </w:pPr>
      <w:r>
        <w:t>估值：Multpl / GuruFocus / WorldPEratio / CEIC公开口径（存在口径差异，采用风控中值法）</w:t>
      </w:r>
    </w:p>
    <w:p>
      <w:pPr>
        <w:pStyle w:val="ListBullet"/>
      </w:pPr>
      <w:r>
        <w:t>利率：美国10年国债收益率公开市场报价（约4.41%）</w:t>
      </w:r>
    </w:p>
    <w:p>
      <w:pPr>
        <w:pStyle w:val="ListBullet"/>
      </w:pPr>
      <w:r>
        <w:t>指数与盈亏估算：FRED日度指数数据（SP500、NASDAQCOM、NIKKEI225）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