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B7FEF" w14:textId="77777777" w:rsidR="00551BAF" w:rsidRDefault="00A90588" w:rsidP="00A90588">
      <w:pPr>
        <w:jc w:val="right"/>
      </w:pPr>
      <w:r>
        <w:t>Daniel Lozano Gómez</w:t>
      </w:r>
    </w:p>
    <w:p w14:paraId="7CD7A8A5" w14:textId="77777777" w:rsidR="00A90588" w:rsidRDefault="00A90588" w:rsidP="00A90588">
      <w:pPr>
        <w:jc w:val="right"/>
      </w:pPr>
      <w:r>
        <w:t>Código: 201125010</w:t>
      </w:r>
    </w:p>
    <w:p w14:paraId="786DC451" w14:textId="77777777" w:rsidR="00A90588" w:rsidRDefault="00A90588" w:rsidP="00A90588">
      <w:pPr>
        <w:pBdr>
          <w:bottom w:val="single" w:sz="6" w:space="1" w:color="auto"/>
        </w:pBdr>
        <w:jc w:val="right"/>
      </w:pPr>
      <w:r>
        <w:t>Aceleradores de partículas y aplicaciones</w:t>
      </w:r>
    </w:p>
    <w:p w14:paraId="26113EE7" w14:textId="77777777" w:rsidR="00A90588" w:rsidRDefault="00A90588"/>
    <w:p w14:paraId="7EA6F7E9" w14:textId="77777777" w:rsidR="00A90588" w:rsidRPr="003E7B07" w:rsidRDefault="00A90588" w:rsidP="00A90588">
      <w:pPr>
        <w:jc w:val="center"/>
        <w:rPr>
          <w:sz w:val="28"/>
        </w:rPr>
      </w:pPr>
      <w:r w:rsidRPr="003E7B07">
        <w:rPr>
          <w:sz w:val="28"/>
        </w:rPr>
        <w:t>Simulación de un Acelerador Ciclotrón</w:t>
      </w:r>
    </w:p>
    <w:p w14:paraId="6681973C" w14:textId="77777777" w:rsidR="00A90588" w:rsidRDefault="00A90588" w:rsidP="00A90588">
      <w:pPr>
        <w:jc w:val="center"/>
      </w:pPr>
    </w:p>
    <w:p w14:paraId="66CFA372" w14:textId="77777777" w:rsidR="008C5C79" w:rsidRDefault="008C5C79" w:rsidP="00A90588">
      <w:pPr>
        <w:rPr>
          <w:b/>
          <w:sz w:val="28"/>
        </w:rPr>
        <w:sectPr w:rsidR="008C5C79" w:rsidSect="00551BAF">
          <w:pgSz w:w="11900" w:h="16840"/>
          <w:pgMar w:top="1440" w:right="1800" w:bottom="1440" w:left="1800" w:header="708" w:footer="708" w:gutter="0"/>
          <w:cols w:space="708"/>
          <w:docGrid w:linePitch="360"/>
        </w:sectPr>
      </w:pPr>
    </w:p>
    <w:p w14:paraId="1493C0BA" w14:textId="57FB82A4" w:rsidR="00A90588" w:rsidRPr="003E7B07" w:rsidRDefault="00A90588" w:rsidP="00A90588">
      <w:pPr>
        <w:rPr>
          <w:b/>
          <w:sz w:val="28"/>
        </w:rPr>
      </w:pPr>
      <w:r w:rsidRPr="003E7B07">
        <w:rPr>
          <w:b/>
          <w:sz w:val="28"/>
        </w:rPr>
        <w:lastRenderedPageBreak/>
        <w:t>Objetivo General</w:t>
      </w:r>
    </w:p>
    <w:p w14:paraId="03555094" w14:textId="77777777" w:rsidR="00A90588" w:rsidRDefault="00A90588" w:rsidP="00A90588">
      <w:pPr>
        <w:pStyle w:val="ListParagraph"/>
        <w:numPr>
          <w:ilvl w:val="0"/>
          <w:numId w:val="1"/>
        </w:numPr>
      </w:pPr>
      <w:r w:rsidRPr="00A90588">
        <w:t>General una simulación computacional en la cual se ve el comportamiento que tiene una partícula cargada al entrar a un ciclotrón.</w:t>
      </w:r>
    </w:p>
    <w:p w14:paraId="7B00E94C" w14:textId="77777777" w:rsidR="00A90588" w:rsidRDefault="00A90588" w:rsidP="00A90588"/>
    <w:p w14:paraId="6D02F6E7" w14:textId="77777777" w:rsidR="00A90588" w:rsidRPr="003E7B07" w:rsidRDefault="00A90588" w:rsidP="00A90588">
      <w:pPr>
        <w:rPr>
          <w:b/>
          <w:sz w:val="28"/>
        </w:rPr>
      </w:pPr>
      <w:r w:rsidRPr="003E7B07">
        <w:rPr>
          <w:b/>
          <w:sz w:val="28"/>
        </w:rPr>
        <w:t>Objetivos Específicos</w:t>
      </w:r>
    </w:p>
    <w:p w14:paraId="25C6FB39" w14:textId="77777777" w:rsidR="00A90588" w:rsidRDefault="00A90588" w:rsidP="00A90588">
      <w:pPr>
        <w:pStyle w:val="ListParagraph"/>
        <w:numPr>
          <w:ilvl w:val="0"/>
          <w:numId w:val="1"/>
        </w:numPr>
        <w:jc w:val="both"/>
      </w:pPr>
      <w:r>
        <w:t>Obtener una grafica que describa el comportamiento del radio vs el tiempo que ha transcurrido desde que la partícula entro al acelerador.</w:t>
      </w:r>
    </w:p>
    <w:p w14:paraId="5DA0848F" w14:textId="77777777" w:rsidR="00A90588" w:rsidRDefault="00A90588" w:rsidP="00A90588">
      <w:pPr>
        <w:pStyle w:val="ListParagraph"/>
        <w:numPr>
          <w:ilvl w:val="0"/>
          <w:numId w:val="1"/>
        </w:numPr>
        <w:jc w:val="both"/>
      </w:pPr>
      <w:r>
        <w:t>Obtener una grafica de la energía cinética en función del tiempo.</w:t>
      </w:r>
    </w:p>
    <w:p w14:paraId="720A4D65" w14:textId="77777777" w:rsidR="00A90588" w:rsidRDefault="00A90588" w:rsidP="00A90588">
      <w:pPr>
        <w:pStyle w:val="ListParagraph"/>
        <w:numPr>
          <w:ilvl w:val="0"/>
          <w:numId w:val="1"/>
        </w:numPr>
        <w:jc w:val="both"/>
      </w:pPr>
      <w:r>
        <w:t>Notar como se conserva el periodo de rotación por cada media vuelta que recorre la partícula.</w:t>
      </w:r>
    </w:p>
    <w:p w14:paraId="104807AB" w14:textId="77777777" w:rsidR="00A90588" w:rsidRDefault="00A90588" w:rsidP="00A90588">
      <w:pPr>
        <w:pStyle w:val="ListParagraph"/>
        <w:jc w:val="both"/>
      </w:pPr>
    </w:p>
    <w:p w14:paraId="365AD4DB" w14:textId="77777777" w:rsidR="00A90588" w:rsidRPr="003E7B07" w:rsidRDefault="00A90588" w:rsidP="00A90588">
      <w:pPr>
        <w:jc w:val="both"/>
        <w:rPr>
          <w:b/>
          <w:sz w:val="28"/>
        </w:rPr>
      </w:pPr>
      <w:r w:rsidRPr="003E7B07">
        <w:rPr>
          <w:b/>
          <w:sz w:val="28"/>
        </w:rPr>
        <w:t>Metodología</w:t>
      </w:r>
    </w:p>
    <w:p w14:paraId="55A4B611" w14:textId="77777777" w:rsidR="00A90588" w:rsidRDefault="00A90588" w:rsidP="00A90588">
      <w:pPr>
        <w:jc w:val="both"/>
      </w:pPr>
    </w:p>
    <w:p w14:paraId="2AE98238" w14:textId="77777777" w:rsidR="00A90588" w:rsidRDefault="00A90588" w:rsidP="00A90588">
      <w:pPr>
        <w:jc w:val="both"/>
      </w:pPr>
      <w:r>
        <w:t xml:space="preserve">Para la simulación del Acelerador Ciclotrón se utilizo el método de runge kutta de 4 orden en el cual se evolucionaron arreglos definidos de las posiciones y velocidades iniciales en X y Y por medio del calculo de la aceleración respectiva en estas dos coordenadas. </w:t>
      </w:r>
    </w:p>
    <w:p w14:paraId="5B35623A" w14:textId="77777777" w:rsidR="00754182" w:rsidRDefault="00754182" w:rsidP="00A90588">
      <w:pPr>
        <w:jc w:val="both"/>
      </w:pPr>
    </w:p>
    <w:p w14:paraId="2A063AA4" w14:textId="77777777" w:rsidR="00A90588" w:rsidRDefault="00A90588" w:rsidP="00A90588">
      <w:pPr>
        <w:jc w:val="both"/>
      </w:pPr>
      <w:r>
        <w:t>Las funciones utilizadas fueron:</w:t>
      </w:r>
    </w:p>
    <w:p w14:paraId="4C046AD0" w14:textId="77777777" w:rsidR="00A90588" w:rsidRDefault="00A90588" w:rsidP="00A90588">
      <w:pPr>
        <w:jc w:val="both"/>
      </w:pPr>
    </w:p>
    <w:p w14:paraId="6082811B" w14:textId="77777777" w:rsidR="00A90588" w:rsidRPr="00A90588" w:rsidRDefault="00A90588" w:rsidP="00A90588">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099FD6F5" w14:textId="77777777" w:rsidR="00A90588" w:rsidRPr="00A90588" w:rsidRDefault="00A90588" w:rsidP="00A90588">
      <m:oMathPara>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540628EE" w14:textId="77777777" w:rsidR="00A90588" w:rsidRPr="00A90588" w:rsidRDefault="00A90588" w:rsidP="00A90588">
      <w:pPr>
        <w:jc w:val="center"/>
      </w:pPr>
    </w:p>
    <w:p w14:paraId="0B5D0795" w14:textId="77777777" w:rsidR="00A90588" w:rsidRDefault="00A90588" w:rsidP="00A90588">
      <w:pPr>
        <w:jc w:val="center"/>
      </w:p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cos⁡</m:t>
        </m:r>
        <m:r>
          <w:rPr>
            <w:rFonts w:ascii="Cambria Math" w:hAnsi="Cambria Math"/>
          </w:rPr>
          <m:t>(ωt+φ)</m:t>
        </m:r>
      </m:oMath>
      <w:r>
        <w:t xml:space="preserve"> (3)</w:t>
      </w:r>
    </w:p>
    <w:p w14:paraId="0AF89FCC" w14:textId="77777777" w:rsidR="00754182" w:rsidRDefault="00754182" w:rsidP="00A90588">
      <w:pPr>
        <w:jc w:val="center"/>
      </w:pPr>
    </w:p>
    <w:p w14:paraId="7F16FF37" w14:textId="77777777" w:rsidR="00754182" w:rsidRDefault="00754182" w:rsidP="00B626D8">
      <w:pPr>
        <w:jc w:val="both"/>
      </w:pPr>
      <w:r>
        <w:lastRenderedPageBreak/>
        <w:t xml:space="preserve">Donde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y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son la aceleración  y la velocidad en la coordenada i respectivamente, q denota la carga de la partícula y m su masa,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w:r>
        <w:t xml:space="preserve">corresponde a la amplitud del campo eléctrico oscilante que se tiene entre las D’s, </w:t>
      </w:r>
      <m:oMath>
        <m:r>
          <w:rPr>
            <w:rFonts w:ascii="Cambria Math" w:hAnsi="Cambria Math"/>
          </w:rPr>
          <m:t>φ</m:t>
        </m:r>
      </m:oMath>
      <w:r>
        <w:t xml:space="preserve"> es la fase inicial del campo oscilatorio y </w:t>
      </w:r>
      <m:oMath>
        <m:r>
          <w:rPr>
            <w:rFonts w:ascii="Cambria Math" w:hAnsi="Cambria Math"/>
          </w:rPr>
          <m:t>ω</m:t>
        </m:r>
      </m:oMath>
      <w:r>
        <w:t xml:space="preserve"> es la frecuencia de ciclotrón definida por la ecuación:</w:t>
      </w:r>
    </w:p>
    <w:p w14:paraId="3049E455" w14:textId="77777777" w:rsidR="00B626D8" w:rsidRPr="00B626D8" w:rsidRDefault="00754182" w:rsidP="00B626D8">
      <w:pPr>
        <w:jc w:val="center"/>
      </w:pPr>
      <m:oMathPara>
        <m:oMath>
          <m:r>
            <w:rPr>
              <w:rFonts w:ascii="Cambria Math" w:hAnsi="Cambria Math"/>
            </w:rPr>
            <m:t>ω=</m:t>
          </m:r>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B</m:t>
          </m:r>
        </m:oMath>
      </m:oMathPara>
    </w:p>
    <w:p w14:paraId="1DC95464" w14:textId="77777777" w:rsidR="00B626D8" w:rsidRDefault="00B626D8" w:rsidP="00B626D8">
      <w:pPr>
        <w:jc w:val="center"/>
      </w:pPr>
    </w:p>
    <w:p w14:paraId="4FB74D0E" w14:textId="77777777" w:rsidR="00B626D8" w:rsidRDefault="00B626D8" w:rsidP="00B626D8">
      <w:r>
        <w:t>Dado que el método de runge kutta utiliza los parámetros en un punto inicial para obtener los parámetros del punto siguiente (y así sucesivamente) se dieron ciertos valores iniciales a las variables.</w:t>
      </w:r>
    </w:p>
    <w:p w14:paraId="4613EBED" w14:textId="77777777" w:rsidR="00B626D8" w:rsidRDefault="00B626D8" w:rsidP="00B626D8">
      <w:pPr>
        <w:jc w:val="center"/>
      </w:pPr>
    </w:p>
    <w:tbl>
      <w:tblPr>
        <w:tblStyle w:val="TableGrid"/>
        <w:tblW w:w="0" w:type="auto"/>
        <w:jc w:val="center"/>
        <w:tblLook w:val="04A0" w:firstRow="1" w:lastRow="0" w:firstColumn="1" w:lastColumn="0" w:noHBand="0" w:noVBand="1"/>
      </w:tblPr>
      <w:tblGrid>
        <w:gridCol w:w="1075"/>
        <w:gridCol w:w="839"/>
        <w:gridCol w:w="1075"/>
        <w:gridCol w:w="839"/>
      </w:tblGrid>
      <w:tr w:rsidR="00B626D8" w14:paraId="67256B6A" w14:textId="77777777" w:rsidTr="003E7B07">
        <w:trPr>
          <w:trHeight w:val="271"/>
          <w:jc w:val="center"/>
        </w:trPr>
        <w:tc>
          <w:tcPr>
            <w:tcW w:w="1075" w:type="dxa"/>
          </w:tcPr>
          <w:p w14:paraId="054EB4C6" w14:textId="77777777" w:rsidR="00B626D8" w:rsidRDefault="00B626D8" w:rsidP="00B626D8">
            <w:pPr>
              <w:jc w:val="center"/>
            </w:pPr>
            <w:r>
              <w:t>Variable</w:t>
            </w:r>
          </w:p>
        </w:tc>
        <w:tc>
          <w:tcPr>
            <w:tcW w:w="839" w:type="dxa"/>
          </w:tcPr>
          <w:p w14:paraId="3779C2F5" w14:textId="77777777" w:rsidR="00B626D8" w:rsidRDefault="00B626D8" w:rsidP="00B626D8">
            <w:pPr>
              <w:jc w:val="center"/>
            </w:pPr>
            <w:r>
              <w:t>Valor inicial</w:t>
            </w:r>
          </w:p>
        </w:tc>
        <w:tc>
          <w:tcPr>
            <w:tcW w:w="1075" w:type="dxa"/>
          </w:tcPr>
          <w:p w14:paraId="5538FF3A" w14:textId="77777777" w:rsidR="00B626D8" w:rsidRDefault="00B626D8" w:rsidP="00B626D8">
            <w:pPr>
              <w:jc w:val="center"/>
            </w:pPr>
            <w:r>
              <w:t>Variable</w:t>
            </w:r>
          </w:p>
        </w:tc>
        <w:tc>
          <w:tcPr>
            <w:tcW w:w="839" w:type="dxa"/>
          </w:tcPr>
          <w:p w14:paraId="06A44631" w14:textId="77777777" w:rsidR="00B626D8" w:rsidRDefault="00B626D8" w:rsidP="00B626D8">
            <w:pPr>
              <w:jc w:val="center"/>
            </w:pPr>
            <w:r>
              <w:t>Valor inicial</w:t>
            </w:r>
          </w:p>
        </w:tc>
      </w:tr>
      <w:tr w:rsidR="00B626D8" w14:paraId="0379060C" w14:textId="77777777" w:rsidTr="003E7B07">
        <w:trPr>
          <w:trHeight w:val="258"/>
          <w:jc w:val="center"/>
        </w:trPr>
        <w:tc>
          <w:tcPr>
            <w:tcW w:w="1075" w:type="dxa"/>
          </w:tcPr>
          <w:p w14:paraId="2196A264" w14:textId="77777777" w:rsidR="00B626D8" w:rsidRDefault="00B626D8" w:rsidP="00B626D8">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oMath>
            </m:oMathPara>
          </w:p>
        </w:tc>
        <w:tc>
          <w:tcPr>
            <w:tcW w:w="839" w:type="dxa"/>
          </w:tcPr>
          <w:p w14:paraId="2AE0AAD9" w14:textId="77777777" w:rsidR="00B626D8" w:rsidRDefault="00B626D8" w:rsidP="00B626D8">
            <w:pPr>
              <w:jc w:val="center"/>
            </w:pPr>
            <w:r>
              <w:t>0.0</w:t>
            </w:r>
          </w:p>
        </w:tc>
        <w:tc>
          <w:tcPr>
            <w:tcW w:w="1075" w:type="dxa"/>
          </w:tcPr>
          <w:p w14:paraId="08071C7B" w14:textId="77777777" w:rsidR="00B626D8" w:rsidRDefault="00B626D8" w:rsidP="00B626D8">
            <w:pPr>
              <w:jc w:val="center"/>
            </w:pPr>
            <m:oMathPara>
              <m:oMath>
                <m:r>
                  <w:rPr>
                    <w:rFonts w:ascii="Cambria Math" w:hAnsi="Cambria Math"/>
                  </w:rPr>
                  <m:t>Y</m:t>
                </m:r>
              </m:oMath>
            </m:oMathPara>
          </w:p>
        </w:tc>
        <w:tc>
          <w:tcPr>
            <w:tcW w:w="839" w:type="dxa"/>
          </w:tcPr>
          <w:p w14:paraId="13DC3F67" w14:textId="77777777" w:rsidR="00B626D8" w:rsidRDefault="00B626D8" w:rsidP="00B626D8">
            <w:pPr>
              <w:jc w:val="center"/>
            </w:pPr>
            <w:r>
              <w:t>0.0</w:t>
            </w:r>
          </w:p>
        </w:tc>
      </w:tr>
      <w:tr w:rsidR="00B626D8" w14:paraId="2C2D1BD3" w14:textId="77777777" w:rsidTr="003E7B07">
        <w:trPr>
          <w:trHeight w:val="296"/>
          <w:jc w:val="center"/>
        </w:trPr>
        <w:tc>
          <w:tcPr>
            <w:tcW w:w="1075" w:type="dxa"/>
          </w:tcPr>
          <w:p w14:paraId="54E9B39B" w14:textId="77777777" w:rsidR="00B626D8" w:rsidRDefault="00B626D8" w:rsidP="00B626D8">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oMath>
            </m:oMathPara>
          </w:p>
        </w:tc>
        <w:tc>
          <w:tcPr>
            <w:tcW w:w="839" w:type="dxa"/>
          </w:tcPr>
          <w:p w14:paraId="249C1275" w14:textId="77777777" w:rsidR="00B626D8" w:rsidRDefault="00B626D8" w:rsidP="00B626D8">
            <w:pPr>
              <w:jc w:val="center"/>
            </w:pPr>
            <w:r>
              <w:t>0.09</w:t>
            </w:r>
          </w:p>
        </w:tc>
        <w:tc>
          <w:tcPr>
            <w:tcW w:w="1075" w:type="dxa"/>
          </w:tcPr>
          <w:p w14:paraId="127CE17B" w14:textId="77777777" w:rsidR="00B626D8" w:rsidRDefault="00B626D8" w:rsidP="00B626D8">
            <w:pPr>
              <w:jc w:val="center"/>
            </w:pPr>
            <m:oMathPara>
              <m:oMath>
                <m:r>
                  <w:rPr>
                    <w:rFonts w:ascii="Cambria Math" w:hAnsi="Cambria Math"/>
                  </w:rPr>
                  <m:t>d</m:t>
                </m:r>
              </m:oMath>
            </m:oMathPara>
          </w:p>
        </w:tc>
        <w:tc>
          <w:tcPr>
            <w:tcW w:w="839" w:type="dxa"/>
          </w:tcPr>
          <w:p w14:paraId="5BE2F064" w14:textId="77777777" w:rsidR="00B626D8" w:rsidRDefault="00B626D8" w:rsidP="00B626D8">
            <w:pPr>
              <w:jc w:val="center"/>
            </w:pPr>
            <w:r>
              <w:t>0.05</w:t>
            </w:r>
          </w:p>
        </w:tc>
      </w:tr>
      <w:tr w:rsidR="00B626D8" w14:paraId="2B3DC6C7" w14:textId="77777777" w:rsidTr="003E7B07">
        <w:trPr>
          <w:trHeight w:val="283"/>
          <w:jc w:val="center"/>
        </w:trPr>
        <w:tc>
          <w:tcPr>
            <w:tcW w:w="1075" w:type="dxa"/>
          </w:tcPr>
          <w:p w14:paraId="59912BEB" w14:textId="77777777" w:rsidR="00B626D8" w:rsidRDefault="00B626D8" w:rsidP="00B626D8">
            <w:pPr>
              <w:jc w:val="center"/>
            </w:pPr>
            <m:oMathPara>
              <m:oMath>
                <m:r>
                  <w:rPr>
                    <w:rFonts w:ascii="Cambria Math" w:hAnsi="Cambria Math"/>
                  </w:rPr>
                  <m:t>B</m:t>
                </m:r>
              </m:oMath>
            </m:oMathPara>
          </w:p>
        </w:tc>
        <w:tc>
          <w:tcPr>
            <w:tcW w:w="839" w:type="dxa"/>
          </w:tcPr>
          <w:p w14:paraId="314EAE0A" w14:textId="77777777" w:rsidR="00B626D8" w:rsidRDefault="00B626D8" w:rsidP="00B626D8">
            <w:pPr>
              <w:jc w:val="center"/>
            </w:pPr>
            <w:r>
              <w:t>1.0</w:t>
            </w:r>
          </w:p>
        </w:tc>
        <w:tc>
          <w:tcPr>
            <w:tcW w:w="1075" w:type="dxa"/>
          </w:tcPr>
          <w:p w14:paraId="32777D0A" w14:textId="77777777" w:rsidR="00B626D8" w:rsidRDefault="00B626D8" w:rsidP="00B626D8">
            <w:pPr>
              <w:jc w:val="center"/>
            </w:pPr>
            <m:oMathPara>
              <m:oMath>
                <m:r>
                  <w:rPr>
                    <w:rFonts w:ascii="Cambria Math" w:hAnsi="Cambria Math"/>
                  </w:rPr>
                  <m:t>q</m:t>
                </m:r>
              </m:oMath>
            </m:oMathPara>
          </w:p>
        </w:tc>
        <w:tc>
          <w:tcPr>
            <w:tcW w:w="839" w:type="dxa"/>
          </w:tcPr>
          <w:p w14:paraId="2D04C672" w14:textId="77777777" w:rsidR="00B626D8" w:rsidRDefault="00B626D8" w:rsidP="00B626D8">
            <w:pPr>
              <w:jc w:val="center"/>
            </w:pPr>
            <w:r>
              <w:t>1.0</w:t>
            </w:r>
          </w:p>
        </w:tc>
      </w:tr>
      <w:tr w:rsidR="00B626D8" w14:paraId="4DBB8823" w14:textId="77777777" w:rsidTr="003E7B07">
        <w:trPr>
          <w:trHeight w:val="271"/>
          <w:jc w:val="center"/>
        </w:trPr>
        <w:tc>
          <w:tcPr>
            <w:tcW w:w="1075" w:type="dxa"/>
          </w:tcPr>
          <w:p w14:paraId="7BFF7F14" w14:textId="77777777" w:rsidR="00B626D8" w:rsidRDefault="00B626D8" w:rsidP="00B626D8">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c>
          <w:tcPr>
            <w:tcW w:w="839" w:type="dxa"/>
          </w:tcPr>
          <w:p w14:paraId="13BB2AB7" w14:textId="77777777" w:rsidR="00B626D8" w:rsidRDefault="00B626D8" w:rsidP="00B626D8">
            <w:pPr>
              <w:jc w:val="center"/>
            </w:pPr>
            <w:r>
              <w:t>0.15</w:t>
            </w:r>
          </w:p>
        </w:tc>
        <w:tc>
          <w:tcPr>
            <w:tcW w:w="1075" w:type="dxa"/>
          </w:tcPr>
          <w:p w14:paraId="0E62591E" w14:textId="77777777" w:rsidR="00B626D8" w:rsidRPr="00B626D8" w:rsidRDefault="00B626D8" w:rsidP="00B626D8">
            <w:pPr>
              <w:jc w:val="center"/>
            </w:pPr>
            <m:oMathPara>
              <m:oMath>
                <m:r>
                  <w:rPr>
                    <w:rFonts w:ascii="Cambria Math" w:hAnsi="Cambria Math"/>
                  </w:rPr>
                  <m:t>m</m:t>
                </m:r>
              </m:oMath>
            </m:oMathPara>
          </w:p>
        </w:tc>
        <w:tc>
          <w:tcPr>
            <w:tcW w:w="839" w:type="dxa"/>
          </w:tcPr>
          <w:p w14:paraId="6E0194EF" w14:textId="77777777" w:rsidR="00B626D8" w:rsidRDefault="00B626D8" w:rsidP="00B626D8">
            <w:pPr>
              <w:jc w:val="center"/>
            </w:pPr>
            <w:r>
              <w:t>1.0</w:t>
            </w:r>
          </w:p>
        </w:tc>
      </w:tr>
      <w:tr w:rsidR="00B626D8" w14:paraId="0923F3F3" w14:textId="77777777" w:rsidTr="003E7B07">
        <w:trPr>
          <w:trHeight w:val="271"/>
          <w:jc w:val="center"/>
        </w:trPr>
        <w:tc>
          <w:tcPr>
            <w:tcW w:w="1075" w:type="dxa"/>
          </w:tcPr>
          <w:p w14:paraId="2E629589" w14:textId="77777777" w:rsidR="00B626D8" w:rsidRDefault="00B626D8" w:rsidP="00B626D8">
            <w:pPr>
              <w:jc w:val="center"/>
            </w:pPr>
            <m:oMathPara>
              <m:oMath>
                <m:r>
                  <w:rPr>
                    <w:rFonts w:ascii="Cambria Math" w:hAnsi="Cambria Math"/>
                  </w:rPr>
                  <m:t>dt</m:t>
                </m:r>
              </m:oMath>
            </m:oMathPara>
          </w:p>
        </w:tc>
        <w:tc>
          <w:tcPr>
            <w:tcW w:w="839" w:type="dxa"/>
          </w:tcPr>
          <w:p w14:paraId="170F750D" w14:textId="77777777" w:rsidR="00B626D8" w:rsidRDefault="00B626D8" w:rsidP="00B626D8">
            <w:pPr>
              <w:jc w:val="center"/>
            </w:pPr>
            <w:r>
              <w:t>0.1</w:t>
            </w:r>
          </w:p>
        </w:tc>
        <w:tc>
          <w:tcPr>
            <w:tcW w:w="1075" w:type="dxa"/>
          </w:tcPr>
          <w:p w14:paraId="470A23C0" w14:textId="77777777" w:rsidR="00B626D8" w:rsidRDefault="00B626D8" w:rsidP="00B626D8">
            <w:pPr>
              <w:jc w:val="center"/>
            </w:pPr>
            <m:oMathPara>
              <m:oMath>
                <m:r>
                  <w:rPr>
                    <w:rFonts w:ascii="Cambria Math" w:hAnsi="Cambria Math"/>
                  </w:rPr>
                  <m:t>ω</m:t>
                </m:r>
              </m:oMath>
            </m:oMathPara>
          </w:p>
        </w:tc>
        <w:tc>
          <w:tcPr>
            <w:tcW w:w="839" w:type="dxa"/>
          </w:tcPr>
          <w:p w14:paraId="6B0A6725" w14:textId="77777777" w:rsidR="00B626D8" w:rsidRDefault="00B626D8" w:rsidP="00B626D8">
            <w:pPr>
              <w:jc w:val="center"/>
            </w:pPr>
            <w:r>
              <w:t>1.0</w:t>
            </w:r>
          </w:p>
        </w:tc>
      </w:tr>
      <w:tr w:rsidR="00B626D8" w14:paraId="1E2DE680" w14:textId="77777777" w:rsidTr="003E7B07">
        <w:trPr>
          <w:trHeight w:val="271"/>
          <w:jc w:val="center"/>
        </w:trPr>
        <w:tc>
          <w:tcPr>
            <w:tcW w:w="1075" w:type="dxa"/>
          </w:tcPr>
          <w:p w14:paraId="43526E58" w14:textId="77777777" w:rsidR="00B626D8" w:rsidRDefault="00B626D8" w:rsidP="00B626D8">
            <w:pPr>
              <w:jc w:val="center"/>
            </w:pPr>
            <m:oMathPara>
              <m:oMath>
                <m:r>
                  <w:rPr>
                    <w:rFonts w:ascii="Cambria Math" w:hAnsi="Cambria Math"/>
                  </w:rPr>
                  <m:t>φ</m:t>
                </m:r>
              </m:oMath>
            </m:oMathPara>
          </w:p>
        </w:tc>
        <w:tc>
          <w:tcPr>
            <w:tcW w:w="839" w:type="dxa"/>
          </w:tcPr>
          <w:p w14:paraId="4C60013B" w14:textId="77777777" w:rsidR="00B626D8" w:rsidRDefault="00B626D8" w:rsidP="00B626D8">
            <w:pPr>
              <w:jc w:val="center"/>
            </w:pPr>
            <w:r>
              <w:t>0.0</w:t>
            </w:r>
          </w:p>
        </w:tc>
        <w:tc>
          <w:tcPr>
            <w:tcW w:w="1075" w:type="dxa"/>
          </w:tcPr>
          <w:p w14:paraId="1A1C176B" w14:textId="77777777" w:rsidR="00B626D8" w:rsidRDefault="00B626D8" w:rsidP="00B626D8">
            <w:pPr>
              <w:jc w:val="center"/>
            </w:pPr>
          </w:p>
        </w:tc>
        <w:tc>
          <w:tcPr>
            <w:tcW w:w="839" w:type="dxa"/>
          </w:tcPr>
          <w:p w14:paraId="42BB1553" w14:textId="77777777" w:rsidR="00B626D8" w:rsidRDefault="00B626D8" w:rsidP="00B626D8">
            <w:pPr>
              <w:jc w:val="center"/>
            </w:pPr>
          </w:p>
        </w:tc>
      </w:tr>
      <w:tr w:rsidR="00B626D8" w14:paraId="451D5BC4" w14:textId="77777777" w:rsidTr="003E7B07">
        <w:trPr>
          <w:trHeight w:val="271"/>
          <w:jc w:val="center"/>
        </w:trPr>
        <w:tc>
          <w:tcPr>
            <w:tcW w:w="1075" w:type="dxa"/>
          </w:tcPr>
          <w:p w14:paraId="61F06BB4" w14:textId="77777777" w:rsidR="00B626D8" w:rsidRDefault="00B626D8" w:rsidP="00B626D8">
            <w:pPr>
              <w:jc w:val="center"/>
            </w:pPr>
            <m:oMathPara>
              <m:oMath>
                <m:r>
                  <w:rPr>
                    <w:rFonts w:ascii="Cambria Math" w:hAnsi="Cambria Math"/>
                  </w:rPr>
                  <m:t>X</m:t>
                </m:r>
              </m:oMath>
            </m:oMathPara>
          </w:p>
        </w:tc>
        <w:tc>
          <w:tcPr>
            <w:tcW w:w="839" w:type="dxa"/>
          </w:tcPr>
          <w:p w14:paraId="5F60C2DD" w14:textId="77777777" w:rsidR="00B626D8" w:rsidRDefault="00B626D8" w:rsidP="00B626D8">
            <w:pPr>
              <w:jc w:val="center"/>
            </w:pPr>
            <w:r>
              <w:t>-0.1</w:t>
            </w:r>
          </w:p>
        </w:tc>
        <w:tc>
          <w:tcPr>
            <w:tcW w:w="1075" w:type="dxa"/>
          </w:tcPr>
          <w:p w14:paraId="1E207666" w14:textId="77777777" w:rsidR="00B626D8" w:rsidRDefault="00B626D8" w:rsidP="00B626D8">
            <w:pPr>
              <w:jc w:val="center"/>
            </w:pPr>
          </w:p>
        </w:tc>
        <w:tc>
          <w:tcPr>
            <w:tcW w:w="839" w:type="dxa"/>
          </w:tcPr>
          <w:p w14:paraId="5E6ADFEC" w14:textId="77777777" w:rsidR="00B626D8" w:rsidRDefault="00B626D8" w:rsidP="00B626D8">
            <w:pPr>
              <w:jc w:val="center"/>
            </w:pPr>
          </w:p>
        </w:tc>
      </w:tr>
    </w:tbl>
    <w:p w14:paraId="125651C9" w14:textId="77777777" w:rsidR="00B626D8" w:rsidRDefault="00B626D8" w:rsidP="00B626D8">
      <w:pPr>
        <w:jc w:val="center"/>
      </w:pPr>
    </w:p>
    <w:p w14:paraId="148C4EDC" w14:textId="77777777" w:rsidR="00B626D8" w:rsidRDefault="00B626D8" w:rsidP="00B626D8">
      <w:r>
        <w:t>Todas estas variables tienen unidades del S.I.</w:t>
      </w:r>
    </w:p>
    <w:p w14:paraId="65BA024B" w14:textId="77777777" w:rsidR="003E7B07" w:rsidRDefault="003E7B07" w:rsidP="00B626D8"/>
    <w:p w14:paraId="2BF6F62D" w14:textId="77777777" w:rsidR="00B626D8" w:rsidRDefault="00B626D8" w:rsidP="003E7B07">
      <w:pPr>
        <w:jc w:val="both"/>
      </w:pPr>
      <w:r>
        <w:t xml:space="preserve">Para entrar en detalles de la simulación, primero debemos notar que los valores de la carga </w:t>
      </w:r>
      <m:oMath>
        <m:r>
          <w:rPr>
            <w:rFonts w:ascii="Cambria Math" w:hAnsi="Cambria Math"/>
          </w:rPr>
          <m:t>q</m:t>
        </m:r>
      </m:oMath>
      <w:r>
        <w:t xml:space="preserve"> y la masa </w:t>
      </w:r>
      <m:oMath>
        <m:r>
          <w:rPr>
            <w:rFonts w:ascii="Cambria Math" w:hAnsi="Cambria Math"/>
          </w:rPr>
          <m:t>m</m:t>
        </m:r>
      </m:oMath>
      <w:r>
        <w:t xml:space="preserve"> son 1.0, esto es debido a que con la evolución del proceso dado por el método de runge kutta los valores obtenidos serian muy grandes, lo cual se sale de la memoria del programa utilizado </w:t>
      </w:r>
      <w:r>
        <w:lastRenderedPageBreak/>
        <w:t>(ipython notebook)</w:t>
      </w:r>
      <w:r w:rsidR="003E7B07">
        <w:t xml:space="preserve"> y deja de tomar estos valores como números.</w:t>
      </w:r>
    </w:p>
    <w:p w14:paraId="3C4EEAA6" w14:textId="77777777" w:rsidR="003E7B07" w:rsidRDefault="003E7B07" w:rsidP="003E7B07">
      <w:pPr>
        <w:jc w:val="both"/>
      </w:pPr>
    </w:p>
    <w:p w14:paraId="3A8CB507" w14:textId="77777777" w:rsidR="003E7B07" w:rsidRPr="00754182" w:rsidRDefault="003E7B07" w:rsidP="003E7B07">
      <w:pPr>
        <w:jc w:val="both"/>
      </w:pPr>
      <w:r>
        <w:t xml:space="preserve">Por otra parte están las ecuaciones (1), (2) y (3), notamos que para la aceleración en </w:t>
      </w:r>
      <m:oMath>
        <m:r>
          <w:rPr>
            <w:rFonts w:ascii="Cambria Math" w:hAnsi="Cambria Math"/>
          </w:rPr>
          <m:t>x</m:t>
        </m:r>
      </m:oMath>
      <w:r>
        <w:t xml:space="preserve"> descrita en  (1), no tenemos inconvenientes ya que esta ecuación se mantiene estable durante todo el proceso. Para la aceleración en </w:t>
      </w:r>
      <m:oMath>
        <m:r>
          <w:rPr>
            <w:rFonts w:ascii="Cambria Math" w:hAnsi="Cambria Math"/>
          </w:rPr>
          <m:t>y</m:t>
        </m:r>
      </m:oMath>
      <w:r>
        <w:t xml:space="preserve"> debemos recordad que en este componente tendremos la aceleración dada por el campo magnético (igual que en </w:t>
      </w:r>
      <m:oMath>
        <m:r>
          <w:rPr>
            <w:rFonts w:ascii="Cambria Math" w:hAnsi="Cambria Math"/>
          </w:rPr>
          <m:t>x</m:t>
        </m:r>
      </m:oMath>
      <w:r>
        <w:t>) dada por (2), adicionalmente cuando la partícula esta entre las D’s tiene una aceleración dada por el campo eléctrico, en este segundo caso la aceleración que siente esta partícula esta dada por (3).</w:t>
      </w:r>
    </w:p>
    <w:p w14:paraId="43099566" w14:textId="77777777" w:rsidR="00754182" w:rsidRDefault="00754182" w:rsidP="003E7B07">
      <w:pPr>
        <w:jc w:val="both"/>
      </w:pPr>
    </w:p>
    <w:p w14:paraId="61B54B4F" w14:textId="77777777" w:rsidR="003E7B07" w:rsidRDefault="003E7B07" w:rsidP="003E7B07">
      <w:pPr>
        <w:jc w:val="both"/>
      </w:pPr>
      <w:r>
        <w:t>En esta simulación se tomaron resultados obtenidos al ejecutar el método de runge kutta por: 500, 1000 y 5000 puntos.</w:t>
      </w:r>
    </w:p>
    <w:p w14:paraId="03170D10" w14:textId="77777777" w:rsidR="003E7B07" w:rsidRDefault="003E7B07" w:rsidP="003E7B07">
      <w:pPr>
        <w:jc w:val="both"/>
      </w:pPr>
    </w:p>
    <w:p w14:paraId="265CDFDA" w14:textId="77777777" w:rsidR="003E7B07" w:rsidRDefault="003E7B07" w:rsidP="003E7B07">
      <w:pPr>
        <w:jc w:val="both"/>
        <w:rPr>
          <w:b/>
          <w:sz w:val="28"/>
        </w:rPr>
      </w:pPr>
      <w:r>
        <w:rPr>
          <w:b/>
          <w:sz w:val="28"/>
        </w:rPr>
        <w:t>Resultados</w:t>
      </w:r>
    </w:p>
    <w:p w14:paraId="52E7ACA6" w14:textId="77777777" w:rsidR="00B03BB6" w:rsidRDefault="00B03BB6" w:rsidP="003E7B07">
      <w:pPr>
        <w:jc w:val="both"/>
        <w:rPr>
          <w:b/>
          <w:sz w:val="28"/>
        </w:rPr>
      </w:pPr>
    </w:p>
    <w:p w14:paraId="54047B26" w14:textId="77777777" w:rsidR="003E7B07" w:rsidRPr="003E7B07" w:rsidRDefault="003E7B07" w:rsidP="003E7B07">
      <w:pPr>
        <w:jc w:val="both"/>
      </w:pPr>
      <w:r w:rsidRPr="003E7B07">
        <w:t>Para cada simulación se utilizo un campo eléctrico oscilante descrito así:</w:t>
      </w:r>
    </w:p>
    <w:p w14:paraId="4AF54030" w14:textId="77777777" w:rsidR="003E7B07" w:rsidRDefault="003E7B07" w:rsidP="003E7B07">
      <w:pPr>
        <w:jc w:val="both"/>
        <w:rPr>
          <w:sz w:val="22"/>
        </w:rPr>
      </w:pPr>
    </w:p>
    <w:p w14:paraId="3DAC540B" w14:textId="77777777" w:rsidR="003E7B07" w:rsidRDefault="003E7B07" w:rsidP="003E7B07">
      <w:pPr>
        <w:jc w:val="center"/>
        <w:rPr>
          <w:sz w:val="22"/>
        </w:rPr>
      </w:pPr>
      <w:r>
        <w:rPr>
          <w:noProof/>
          <w:sz w:val="22"/>
          <w:lang w:val="en-US"/>
        </w:rPr>
        <w:drawing>
          <wp:inline distT="0" distB="0" distL="0" distR="0" wp14:anchorId="5A305A37" wp14:editId="515E2A32">
            <wp:extent cx="2765435" cy="1843512"/>
            <wp:effectExtent l="0" t="0" r="317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o.png"/>
                    <pic:cNvPicPr/>
                  </pic:nvPicPr>
                  <pic:blipFill>
                    <a:blip r:embed="rId6">
                      <a:extLst>
                        <a:ext uri="{28A0092B-C50C-407E-A947-70E740481C1C}">
                          <a14:useLocalDpi xmlns:a14="http://schemas.microsoft.com/office/drawing/2010/main" val="0"/>
                        </a:ext>
                      </a:extLst>
                    </a:blip>
                    <a:stretch>
                      <a:fillRect/>
                    </a:stretch>
                  </pic:blipFill>
                  <pic:spPr>
                    <a:xfrm>
                      <a:off x="0" y="0"/>
                      <a:ext cx="2765967" cy="1843867"/>
                    </a:xfrm>
                    <a:prstGeom prst="rect">
                      <a:avLst/>
                    </a:prstGeom>
                  </pic:spPr>
                </pic:pic>
              </a:graphicData>
            </a:graphic>
          </wp:inline>
        </w:drawing>
      </w:r>
    </w:p>
    <w:p w14:paraId="17210556" w14:textId="77777777" w:rsidR="003E7B07" w:rsidRDefault="003E7B07" w:rsidP="003E7B07">
      <w:pPr>
        <w:jc w:val="center"/>
        <w:rPr>
          <w:sz w:val="22"/>
        </w:rPr>
      </w:pPr>
      <w:r>
        <w:rPr>
          <w:sz w:val="22"/>
        </w:rPr>
        <w:t>Imagen 1</w:t>
      </w:r>
    </w:p>
    <w:p w14:paraId="68D677D3" w14:textId="77777777" w:rsidR="003E7B07" w:rsidRDefault="003E7B07" w:rsidP="003E7B07">
      <w:pPr>
        <w:jc w:val="center"/>
        <w:rPr>
          <w:sz w:val="22"/>
        </w:rPr>
      </w:pPr>
    </w:p>
    <w:p w14:paraId="06BFD3B7" w14:textId="77777777" w:rsidR="003E7B07" w:rsidRPr="003E7B07" w:rsidRDefault="003E7B07" w:rsidP="003E7B07">
      <w:pPr>
        <w:rPr>
          <w:sz w:val="22"/>
        </w:rPr>
      </w:pPr>
      <w:r>
        <w:rPr>
          <w:sz w:val="22"/>
        </w:rPr>
        <w:t>Con este campo eléctrico oscilante (Imagen 1) y con los valores iniciales se obtuvieron los siguientes resultados:</w:t>
      </w:r>
    </w:p>
    <w:p w14:paraId="0829C2D7" w14:textId="77777777" w:rsidR="003E7B07" w:rsidRDefault="003E7B07" w:rsidP="003E7B07">
      <w:pPr>
        <w:jc w:val="both"/>
      </w:pPr>
    </w:p>
    <w:p w14:paraId="45245DCA" w14:textId="77777777" w:rsidR="003E7B07" w:rsidRPr="00762598" w:rsidRDefault="003E7B07" w:rsidP="003E7B07">
      <w:pPr>
        <w:pStyle w:val="ListParagraph"/>
        <w:numPr>
          <w:ilvl w:val="0"/>
          <w:numId w:val="2"/>
        </w:numPr>
        <w:jc w:val="both"/>
        <w:rPr>
          <w:b/>
        </w:rPr>
      </w:pPr>
      <w:r w:rsidRPr="00762598">
        <w:rPr>
          <w:b/>
        </w:rPr>
        <w:t>500 puntos</w:t>
      </w:r>
    </w:p>
    <w:p w14:paraId="1F2EE441" w14:textId="77777777" w:rsidR="00762598" w:rsidRDefault="00762598" w:rsidP="00762598">
      <w:pPr>
        <w:ind w:left="720"/>
        <w:jc w:val="both"/>
      </w:pPr>
      <w:r>
        <w:rPr>
          <w:noProof/>
          <w:lang w:val="en-US"/>
        </w:rPr>
        <w:drawing>
          <wp:inline distT="0" distB="0" distL="0" distR="0" wp14:anchorId="3C94045B" wp14:editId="7AF8662A">
            <wp:extent cx="2400300" cy="2400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500.png"/>
                    <pic:cNvPicPr/>
                  </pic:nvPicPr>
                  <pic:blipFill>
                    <a:blip r:embed="rId7">
                      <a:extLst>
                        <a:ext uri="{28A0092B-C50C-407E-A947-70E740481C1C}">
                          <a14:useLocalDpi xmlns:a14="http://schemas.microsoft.com/office/drawing/2010/main" val="0"/>
                        </a:ext>
                      </a:extLst>
                    </a:blip>
                    <a:stretch>
                      <a:fillRect/>
                    </a:stretch>
                  </pic:blipFill>
                  <pic:spPr>
                    <a:xfrm>
                      <a:off x="0" y="0"/>
                      <a:ext cx="2400543" cy="2400543"/>
                    </a:xfrm>
                    <a:prstGeom prst="rect">
                      <a:avLst/>
                    </a:prstGeom>
                  </pic:spPr>
                </pic:pic>
              </a:graphicData>
            </a:graphic>
          </wp:inline>
        </w:drawing>
      </w:r>
    </w:p>
    <w:p w14:paraId="64F74B3B" w14:textId="77777777" w:rsidR="00762598" w:rsidRDefault="00762598" w:rsidP="00762598">
      <w:pPr>
        <w:ind w:left="1440" w:firstLine="720"/>
        <w:jc w:val="both"/>
      </w:pPr>
      <w:r>
        <w:t>Imagen 2</w:t>
      </w:r>
    </w:p>
    <w:p w14:paraId="7E0E0A6B" w14:textId="77777777" w:rsidR="00762598" w:rsidRDefault="00762598" w:rsidP="00762598">
      <w:pPr>
        <w:ind w:left="720"/>
        <w:jc w:val="both"/>
      </w:pPr>
      <w:r>
        <w:tab/>
      </w:r>
    </w:p>
    <w:p w14:paraId="639335CE" w14:textId="77777777" w:rsidR="008C5C79" w:rsidRDefault="008C5C79" w:rsidP="00762598">
      <w:pPr>
        <w:ind w:left="720"/>
        <w:jc w:val="both"/>
      </w:pPr>
    </w:p>
    <w:p w14:paraId="7BB2B1F7" w14:textId="77777777" w:rsidR="00762598" w:rsidRDefault="00762598" w:rsidP="00762598">
      <w:pPr>
        <w:pStyle w:val="ListParagraph"/>
        <w:numPr>
          <w:ilvl w:val="0"/>
          <w:numId w:val="2"/>
        </w:numPr>
        <w:jc w:val="both"/>
        <w:rPr>
          <w:sz w:val="28"/>
        </w:rPr>
      </w:pPr>
      <w:r w:rsidRPr="00762598">
        <w:rPr>
          <w:sz w:val="28"/>
        </w:rPr>
        <w:t>1000 puntos</w:t>
      </w:r>
    </w:p>
    <w:p w14:paraId="2321D272" w14:textId="77777777" w:rsidR="008C5C79" w:rsidRPr="00762598" w:rsidRDefault="008C5C79" w:rsidP="008C5C79">
      <w:pPr>
        <w:pStyle w:val="ListParagraph"/>
        <w:jc w:val="both"/>
        <w:rPr>
          <w:sz w:val="28"/>
        </w:rPr>
      </w:pPr>
    </w:p>
    <w:p w14:paraId="11623DC1" w14:textId="77777777" w:rsidR="00762598" w:rsidRDefault="00762598" w:rsidP="00762598">
      <w:pPr>
        <w:ind w:left="720"/>
        <w:jc w:val="both"/>
      </w:pPr>
      <w:r>
        <w:rPr>
          <w:noProof/>
          <w:lang w:val="en-US"/>
        </w:rPr>
        <w:drawing>
          <wp:inline distT="0" distB="0" distL="0" distR="0" wp14:anchorId="3669ED54" wp14:editId="14A8ED21">
            <wp:extent cx="2394642" cy="2394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1000.png"/>
                    <pic:cNvPicPr/>
                  </pic:nvPicPr>
                  <pic:blipFill>
                    <a:blip r:embed="rId8">
                      <a:extLst>
                        <a:ext uri="{28A0092B-C50C-407E-A947-70E740481C1C}">
                          <a14:useLocalDpi xmlns:a14="http://schemas.microsoft.com/office/drawing/2010/main" val="0"/>
                        </a:ext>
                      </a:extLst>
                    </a:blip>
                    <a:stretch>
                      <a:fillRect/>
                    </a:stretch>
                  </pic:blipFill>
                  <pic:spPr>
                    <a:xfrm>
                      <a:off x="0" y="0"/>
                      <a:ext cx="2395402" cy="2395402"/>
                    </a:xfrm>
                    <a:prstGeom prst="rect">
                      <a:avLst/>
                    </a:prstGeom>
                  </pic:spPr>
                </pic:pic>
              </a:graphicData>
            </a:graphic>
          </wp:inline>
        </w:drawing>
      </w:r>
    </w:p>
    <w:p w14:paraId="00E7D3AF" w14:textId="77777777" w:rsidR="00762598" w:rsidRDefault="00762598" w:rsidP="00762598">
      <w:pPr>
        <w:ind w:left="1440" w:firstLine="720"/>
        <w:jc w:val="both"/>
      </w:pPr>
      <w:r>
        <w:t>Imagen 3</w:t>
      </w:r>
    </w:p>
    <w:p w14:paraId="58B08763" w14:textId="77777777" w:rsidR="00762598" w:rsidRDefault="00762598" w:rsidP="00762598">
      <w:pPr>
        <w:ind w:left="720"/>
        <w:jc w:val="both"/>
      </w:pPr>
    </w:p>
    <w:p w14:paraId="0746BE41" w14:textId="77777777" w:rsidR="00762598" w:rsidRDefault="00762598" w:rsidP="00762598">
      <w:pPr>
        <w:ind w:left="720"/>
        <w:jc w:val="both"/>
      </w:pPr>
      <w:bookmarkStart w:id="0" w:name="_GoBack"/>
      <w:bookmarkEnd w:id="0"/>
      <w:r>
        <w:rPr>
          <w:noProof/>
          <w:lang w:val="en-US"/>
        </w:rPr>
        <w:drawing>
          <wp:inline distT="0" distB="0" distL="0" distR="0" wp14:anchorId="7AB772BE" wp14:editId="35C870FE">
            <wp:extent cx="2471596" cy="2471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linea_1000.png"/>
                    <pic:cNvPicPr/>
                  </pic:nvPicPr>
                  <pic:blipFill>
                    <a:blip r:embed="rId9">
                      <a:extLst>
                        <a:ext uri="{28A0092B-C50C-407E-A947-70E740481C1C}">
                          <a14:useLocalDpi xmlns:a14="http://schemas.microsoft.com/office/drawing/2010/main" val="0"/>
                        </a:ext>
                      </a:extLst>
                    </a:blip>
                    <a:stretch>
                      <a:fillRect/>
                    </a:stretch>
                  </pic:blipFill>
                  <pic:spPr>
                    <a:xfrm>
                      <a:off x="0" y="0"/>
                      <a:ext cx="2471987" cy="2471987"/>
                    </a:xfrm>
                    <a:prstGeom prst="rect">
                      <a:avLst/>
                    </a:prstGeom>
                  </pic:spPr>
                </pic:pic>
              </a:graphicData>
            </a:graphic>
          </wp:inline>
        </w:drawing>
      </w:r>
    </w:p>
    <w:p w14:paraId="3FFD8806" w14:textId="77777777" w:rsidR="00762598" w:rsidRDefault="00762598" w:rsidP="00762598">
      <w:pPr>
        <w:ind w:left="1440" w:firstLine="720"/>
        <w:jc w:val="both"/>
      </w:pPr>
      <w:r>
        <w:t>Imagen 4</w:t>
      </w:r>
    </w:p>
    <w:p w14:paraId="3AE74C9A" w14:textId="77777777" w:rsidR="00762598" w:rsidRDefault="00762598" w:rsidP="00762598">
      <w:pPr>
        <w:ind w:left="1440" w:firstLine="720"/>
      </w:pPr>
    </w:p>
    <w:p w14:paraId="56728B48" w14:textId="77777777" w:rsidR="00762598" w:rsidRDefault="00762598" w:rsidP="00762598">
      <w:pPr>
        <w:ind w:left="720"/>
        <w:jc w:val="both"/>
      </w:pPr>
    </w:p>
    <w:p w14:paraId="0356331C" w14:textId="77777777" w:rsidR="00762598" w:rsidRDefault="00762598" w:rsidP="00762598">
      <w:pPr>
        <w:ind w:left="720"/>
        <w:jc w:val="both"/>
      </w:pPr>
    </w:p>
    <w:p w14:paraId="1CF36682" w14:textId="2F24A3E2" w:rsidR="00754182" w:rsidRDefault="008C5C79" w:rsidP="008C5C79">
      <w:pPr>
        <w:pStyle w:val="ListParagraph"/>
        <w:numPr>
          <w:ilvl w:val="0"/>
          <w:numId w:val="2"/>
        </w:numPr>
        <w:rPr>
          <w:b/>
        </w:rPr>
      </w:pPr>
      <w:r w:rsidRPr="008C5C79">
        <w:rPr>
          <w:b/>
        </w:rPr>
        <w:t>5000 puntos</w:t>
      </w:r>
    </w:p>
    <w:p w14:paraId="2BAFDADD" w14:textId="0F773A67" w:rsidR="008C5C79" w:rsidRPr="008C5C79" w:rsidRDefault="008C5C79" w:rsidP="008C5C79">
      <w:pPr>
        <w:rPr>
          <w:b/>
        </w:rPr>
      </w:pPr>
      <w:r>
        <w:rPr>
          <w:noProof/>
          <w:lang w:val="en-US"/>
        </w:rPr>
        <w:drawing>
          <wp:inline distT="0" distB="0" distL="0" distR="0" wp14:anchorId="6C0837F7" wp14:editId="37A3E442">
            <wp:extent cx="2410460" cy="24104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puntos_5000.png"/>
                    <pic:cNvPicPr/>
                  </pic:nvPicPr>
                  <pic:blipFill>
                    <a:blip r:embed="rId10">
                      <a:extLst>
                        <a:ext uri="{28A0092B-C50C-407E-A947-70E740481C1C}">
                          <a14:useLocalDpi xmlns:a14="http://schemas.microsoft.com/office/drawing/2010/main" val="0"/>
                        </a:ext>
                      </a:extLst>
                    </a:blip>
                    <a:stretch>
                      <a:fillRect/>
                    </a:stretch>
                  </pic:blipFill>
                  <pic:spPr>
                    <a:xfrm>
                      <a:off x="0" y="0"/>
                      <a:ext cx="2410460" cy="2410460"/>
                    </a:xfrm>
                    <a:prstGeom prst="rect">
                      <a:avLst/>
                    </a:prstGeom>
                  </pic:spPr>
                </pic:pic>
              </a:graphicData>
            </a:graphic>
          </wp:inline>
        </w:drawing>
      </w:r>
    </w:p>
    <w:p w14:paraId="40B03895" w14:textId="2C5823F2" w:rsidR="00A90588" w:rsidRDefault="008C5C79" w:rsidP="008C5C79">
      <w:pPr>
        <w:ind w:left="720" w:firstLine="720"/>
        <w:jc w:val="both"/>
      </w:pPr>
      <w:r>
        <w:t>Imagen 5</w:t>
      </w:r>
    </w:p>
    <w:p w14:paraId="45628CE8" w14:textId="3DDB39EF" w:rsidR="008C5C79" w:rsidRPr="00A90588" w:rsidRDefault="008C5C79" w:rsidP="008C5C79">
      <w:pPr>
        <w:jc w:val="both"/>
      </w:pPr>
      <w:r>
        <w:rPr>
          <w:noProof/>
          <w:lang w:val="en-US"/>
        </w:rPr>
        <w:drawing>
          <wp:inline distT="0" distB="0" distL="0" distR="0" wp14:anchorId="1E4A4DAF" wp14:editId="41F0B942">
            <wp:extent cx="2410460" cy="24104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linea_5000.png"/>
                    <pic:cNvPicPr/>
                  </pic:nvPicPr>
                  <pic:blipFill>
                    <a:blip r:embed="rId11">
                      <a:extLst>
                        <a:ext uri="{28A0092B-C50C-407E-A947-70E740481C1C}">
                          <a14:useLocalDpi xmlns:a14="http://schemas.microsoft.com/office/drawing/2010/main" val="0"/>
                        </a:ext>
                      </a:extLst>
                    </a:blip>
                    <a:stretch>
                      <a:fillRect/>
                    </a:stretch>
                  </pic:blipFill>
                  <pic:spPr>
                    <a:xfrm>
                      <a:off x="0" y="0"/>
                      <a:ext cx="2410460" cy="2410460"/>
                    </a:xfrm>
                    <a:prstGeom prst="rect">
                      <a:avLst/>
                    </a:prstGeom>
                  </pic:spPr>
                </pic:pic>
              </a:graphicData>
            </a:graphic>
          </wp:inline>
        </w:drawing>
      </w:r>
    </w:p>
    <w:p w14:paraId="43777E2D" w14:textId="5E1BD2AA" w:rsidR="00A90588" w:rsidRDefault="008C5C79" w:rsidP="008C5C79">
      <w:pPr>
        <w:ind w:left="720" w:firstLine="720"/>
        <w:jc w:val="both"/>
      </w:pPr>
      <w:r>
        <w:t>Imagen 6</w:t>
      </w:r>
    </w:p>
    <w:p w14:paraId="065F254E" w14:textId="77777777" w:rsidR="008C5C79" w:rsidRDefault="008C5C79" w:rsidP="008C5C79">
      <w:pPr>
        <w:ind w:left="720" w:firstLine="720"/>
        <w:jc w:val="both"/>
      </w:pPr>
    </w:p>
    <w:p w14:paraId="6C6DBCEA" w14:textId="42BF629D" w:rsidR="008C5C79" w:rsidRDefault="008C5C79" w:rsidP="008C5C79">
      <w:pPr>
        <w:jc w:val="both"/>
      </w:pPr>
      <w:r>
        <w:t>En todas estas imágenes aparecen dos líneas rojas en el centro d</w:t>
      </w:r>
      <w:r w:rsidR="009A5993">
        <w:t>e la trayectoria descrita por la partícula,</w:t>
      </w:r>
      <w:r w:rsidR="005811BE">
        <w:t xml:space="preserve"> </w:t>
      </w:r>
      <w:r w:rsidR="009A5993">
        <w:t xml:space="preserve">estas líneas </w:t>
      </w:r>
      <w:r w:rsidR="005811BE">
        <w:t>describen la separación entre</w:t>
      </w:r>
      <w:r>
        <w:t xml:space="preserve"> D’s</w:t>
      </w:r>
      <w:r w:rsidR="009A5993">
        <w:t xml:space="preserve"> del ciclotrón.</w:t>
      </w:r>
    </w:p>
    <w:p w14:paraId="7FB21773" w14:textId="77777777" w:rsidR="009A5993" w:rsidRDefault="009A5993" w:rsidP="008C5C79">
      <w:pPr>
        <w:jc w:val="both"/>
      </w:pPr>
    </w:p>
    <w:p w14:paraId="0B32F6F4" w14:textId="1ECFCB23" w:rsidR="009A5993" w:rsidRDefault="009A5993" w:rsidP="008C5C79">
      <w:pPr>
        <w:jc w:val="both"/>
      </w:pPr>
      <w:r>
        <w:t xml:space="preserve">Adicionalmente en la simulación de 1000 y 5000 puntos se muestran imágenes de la trayectoria de las partículas descritas por una línea o por puntos para notar el cambio en la posición de la partícula en cada intervalo  </w:t>
      </w:r>
      <m:oMath>
        <m:r>
          <w:rPr>
            <w:rFonts w:ascii="Cambria Math" w:hAnsi="Cambria Math"/>
          </w:rPr>
          <m:t>dt</m:t>
        </m:r>
      </m:oMath>
      <w:r>
        <w:t>.</w:t>
      </w:r>
    </w:p>
    <w:p w14:paraId="46E6B16F" w14:textId="5E5E54AE" w:rsidR="009A5993" w:rsidRDefault="009A5993" w:rsidP="008C5C79">
      <w:pPr>
        <w:jc w:val="both"/>
      </w:pPr>
      <w:r>
        <w:t xml:space="preserve"> </w:t>
      </w:r>
    </w:p>
    <w:p w14:paraId="1B31BE4D" w14:textId="3ED0FB66" w:rsidR="009A5993" w:rsidRDefault="009A5993" w:rsidP="008C5C79">
      <w:pPr>
        <w:jc w:val="both"/>
      </w:pPr>
      <w:r>
        <w:t>Luego de obtener estos datos se busco obtener graficas que describieran el radio y la energía cinética como función del tiempo.</w:t>
      </w:r>
    </w:p>
    <w:p w14:paraId="724944B4" w14:textId="754E1E11" w:rsidR="009A5993" w:rsidRDefault="009A5993" w:rsidP="008C5C79">
      <w:pPr>
        <w:jc w:val="both"/>
      </w:pPr>
      <w:r>
        <w:rPr>
          <w:noProof/>
          <w:lang w:val="en-US"/>
        </w:rPr>
        <w:drawing>
          <wp:inline distT="0" distB="0" distL="0" distR="0" wp14:anchorId="50E45934" wp14:editId="500F6541">
            <wp:extent cx="2410460" cy="24104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1000.png"/>
                    <pic:cNvPicPr/>
                  </pic:nvPicPr>
                  <pic:blipFill>
                    <a:blip r:embed="rId12">
                      <a:extLst>
                        <a:ext uri="{28A0092B-C50C-407E-A947-70E740481C1C}">
                          <a14:useLocalDpi xmlns:a14="http://schemas.microsoft.com/office/drawing/2010/main" val="0"/>
                        </a:ext>
                      </a:extLst>
                    </a:blip>
                    <a:stretch>
                      <a:fillRect/>
                    </a:stretch>
                  </pic:blipFill>
                  <pic:spPr>
                    <a:xfrm>
                      <a:off x="0" y="0"/>
                      <a:ext cx="2410460" cy="2410460"/>
                    </a:xfrm>
                    <a:prstGeom prst="rect">
                      <a:avLst/>
                    </a:prstGeom>
                  </pic:spPr>
                </pic:pic>
              </a:graphicData>
            </a:graphic>
          </wp:inline>
        </w:drawing>
      </w:r>
    </w:p>
    <w:p w14:paraId="79AC5B1B" w14:textId="2657DEF1" w:rsidR="009A5993" w:rsidRDefault="009A5993" w:rsidP="008C5C79">
      <w:pPr>
        <w:jc w:val="both"/>
      </w:pPr>
      <w:r>
        <w:tab/>
      </w:r>
      <w:r>
        <w:tab/>
        <w:t>Imagen 7</w:t>
      </w:r>
    </w:p>
    <w:p w14:paraId="141091A1" w14:textId="1B80038F" w:rsidR="009A5993" w:rsidRDefault="009A5993" w:rsidP="008C5C79">
      <w:pPr>
        <w:jc w:val="both"/>
      </w:pPr>
      <w:r>
        <w:rPr>
          <w:noProof/>
          <w:lang w:val="en-US"/>
        </w:rPr>
        <w:drawing>
          <wp:inline distT="0" distB="0" distL="0" distR="0" wp14:anchorId="19153EB9" wp14:editId="1A8DCEC4">
            <wp:extent cx="2410460" cy="24104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5000.png"/>
                    <pic:cNvPicPr/>
                  </pic:nvPicPr>
                  <pic:blipFill>
                    <a:blip r:embed="rId13">
                      <a:extLst>
                        <a:ext uri="{28A0092B-C50C-407E-A947-70E740481C1C}">
                          <a14:useLocalDpi xmlns:a14="http://schemas.microsoft.com/office/drawing/2010/main" val="0"/>
                        </a:ext>
                      </a:extLst>
                    </a:blip>
                    <a:stretch>
                      <a:fillRect/>
                    </a:stretch>
                  </pic:blipFill>
                  <pic:spPr>
                    <a:xfrm>
                      <a:off x="0" y="0"/>
                      <a:ext cx="2410460" cy="2410460"/>
                    </a:xfrm>
                    <a:prstGeom prst="rect">
                      <a:avLst/>
                    </a:prstGeom>
                  </pic:spPr>
                </pic:pic>
              </a:graphicData>
            </a:graphic>
          </wp:inline>
        </w:drawing>
      </w:r>
    </w:p>
    <w:p w14:paraId="4D41E5AE" w14:textId="7415320E" w:rsidR="009A5993" w:rsidRDefault="009A5993" w:rsidP="009A5993">
      <w:pPr>
        <w:ind w:left="720" w:firstLine="720"/>
        <w:jc w:val="both"/>
      </w:pPr>
      <w:r>
        <w:t>Imagen 8</w:t>
      </w:r>
    </w:p>
    <w:p w14:paraId="41BC2EF7" w14:textId="77777777" w:rsidR="009A5993" w:rsidRDefault="009A5993" w:rsidP="009A5993">
      <w:pPr>
        <w:jc w:val="both"/>
      </w:pPr>
    </w:p>
    <w:p w14:paraId="6B627FF0" w14:textId="74022AA3" w:rsidR="009A5993" w:rsidRDefault="009A5993" w:rsidP="009A5993">
      <w:pPr>
        <w:jc w:val="both"/>
      </w:pPr>
      <w:r>
        <w:t>Las Imagen 7 y 8 muestran la evolución del radio en la simulación</w:t>
      </w:r>
      <w:r w:rsidR="00EF13FA">
        <w:t xml:space="preserve"> de 1000 puntos y 5000 puntos respectivamente.</w:t>
      </w:r>
    </w:p>
    <w:p w14:paraId="3BD84CAC" w14:textId="77777777" w:rsidR="00EF13FA" w:rsidRDefault="00EF13FA" w:rsidP="009A5993">
      <w:pPr>
        <w:jc w:val="both"/>
      </w:pPr>
    </w:p>
    <w:p w14:paraId="122AAC59" w14:textId="0944126E" w:rsidR="00EF13FA" w:rsidRDefault="00EF13FA" w:rsidP="009A5993">
      <w:pPr>
        <w:jc w:val="both"/>
      </w:pPr>
      <w:r>
        <w:rPr>
          <w:noProof/>
          <w:lang w:val="en-US"/>
        </w:rPr>
        <w:drawing>
          <wp:inline distT="0" distB="0" distL="0" distR="0" wp14:anchorId="78933C28" wp14:editId="4FDF22F0">
            <wp:extent cx="2410460" cy="24104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etica_1000.png"/>
                    <pic:cNvPicPr/>
                  </pic:nvPicPr>
                  <pic:blipFill>
                    <a:blip r:embed="rId14">
                      <a:extLst>
                        <a:ext uri="{28A0092B-C50C-407E-A947-70E740481C1C}">
                          <a14:useLocalDpi xmlns:a14="http://schemas.microsoft.com/office/drawing/2010/main" val="0"/>
                        </a:ext>
                      </a:extLst>
                    </a:blip>
                    <a:stretch>
                      <a:fillRect/>
                    </a:stretch>
                  </pic:blipFill>
                  <pic:spPr>
                    <a:xfrm>
                      <a:off x="0" y="0"/>
                      <a:ext cx="2410460" cy="2410460"/>
                    </a:xfrm>
                    <a:prstGeom prst="rect">
                      <a:avLst/>
                    </a:prstGeom>
                  </pic:spPr>
                </pic:pic>
              </a:graphicData>
            </a:graphic>
          </wp:inline>
        </w:drawing>
      </w:r>
      <w:r>
        <w:tab/>
      </w:r>
      <w:r>
        <w:tab/>
        <w:t>Imagen 9</w:t>
      </w:r>
    </w:p>
    <w:p w14:paraId="1383AA4E" w14:textId="6F2947E5" w:rsidR="00EF13FA" w:rsidRDefault="00EF13FA" w:rsidP="009A5993">
      <w:pPr>
        <w:jc w:val="both"/>
      </w:pPr>
      <w:r>
        <w:rPr>
          <w:noProof/>
          <w:lang w:val="en-US"/>
        </w:rPr>
        <w:drawing>
          <wp:inline distT="0" distB="0" distL="0" distR="0" wp14:anchorId="1DB811D5" wp14:editId="6FB858C3">
            <wp:extent cx="2410460" cy="24104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_1000.png"/>
                    <pic:cNvPicPr/>
                  </pic:nvPicPr>
                  <pic:blipFill>
                    <a:blip r:embed="rId15">
                      <a:extLst>
                        <a:ext uri="{28A0092B-C50C-407E-A947-70E740481C1C}">
                          <a14:useLocalDpi xmlns:a14="http://schemas.microsoft.com/office/drawing/2010/main" val="0"/>
                        </a:ext>
                      </a:extLst>
                    </a:blip>
                    <a:stretch>
                      <a:fillRect/>
                    </a:stretch>
                  </pic:blipFill>
                  <pic:spPr>
                    <a:xfrm>
                      <a:off x="0" y="0"/>
                      <a:ext cx="2410460" cy="2410460"/>
                    </a:xfrm>
                    <a:prstGeom prst="rect">
                      <a:avLst/>
                    </a:prstGeom>
                  </pic:spPr>
                </pic:pic>
              </a:graphicData>
            </a:graphic>
          </wp:inline>
        </w:drawing>
      </w:r>
    </w:p>
    <w:p w14:paraId="0E322189" w14:textId="343D3F70" w:rsidR="00EF13FA" w:rsidRDefault="00EF13FA" w:rsidP="00EF13FA">
      <w:pPr>
        <w:ind w:left="720" w:firstLine="720"/>
        <w:jc w:val="both"/>
      </w:pPr>
      <w:r>
        <w:t>Imagen 10</w:t>
      </w:r>
    </w:p>
    <w:p w14:paraId="2CB78E25" w14:textId="77777777" w:rsidR="00EF13FA" w:rsidRDefault="00EF13FA" w:rsidP="00EF13FA">
      <w:pPr>
        <w:ind w:left="720" w:firstLine="720"/>
        <w:jc w:val="both"/>
      </w:pPr>
    </w:p>
    <w:p w14:paraId="63412D18" w14:textId="79D9829C" w:rsidR="00EF13FA" w:rsidRDefault="00EF13FA" w:rsidP="00EF13FA">
      <w:pPr>
        <w:jc w:val="both"/>
      </w:pPr>
      <w:r>
        <w:t>La Imagen 9 ilustra como incrementa la energía cinética como función del tiempo en la simulación de 1000 puntos mientras que en la Imagen 10 se muestra como varia el periodo de oscilación por cada media vuelta.</w:t>
      </w:r>
    </w:p>
    <w:p w14:paraId="2BF890D8" w14:textId="729DDD94" w:rsidR="00EF13FA" w:rsidRDefault="00EF13FA" w:rsidP="00EF13FA">
      <w:pPr>
        <w:jc w:val="both"/>
      </w:pPr>
      <w:r>
        <w:t>Note que el periodo de rotación que se ve en la Imagen 10 tiende a oscilar entre -2 y 2 segundos lo cual muestra un periodo constante, sin embargo en cierta parte de la simulación el periodo pareciera crecer, este resultado es debido a que los puntos que se tomaron dependían solamente de la posición de la partícula (que esta partícula se encontrara dentro de la cavidad de resonancia) por lo cual pueden haber variaciones en los tiempos medidos.</w:t>
      </w:r>
    </w:p>
    <w:p w14:paraId="2D4A5CF8" w14:textId="77777777" w:rsidR="00EF13FA" w:rsidRPr="00EF13FA" w:rsidRDefault="00EF13FA" w:rsidP="00EF13FA">
      <w:pPr>
        <w:jc w:val="both"/>
        <w:rPr>
          <w:b/>
          <w:sz w:val="28"/>
        </w:rPr>
      </w:pPr>
    </w:p>
    <w:p w14:paraId="18DD66A5" w14:textId="00B78589" w:rsidR="00EF13FA" w:rsidRDefault="00EF13FA" w:rsidP="00EF13FA">
      <w:pPr>
        <w:jc w:val="both"/>
        <w:rPr>
          <w:b/>
          <w:sz w:val="28"/>
        </w:rPr>
      </w:pPr>
      <w:r w:rsidRPr="00EF13FA">
        <w:rPr>
          <w:b/>
          <w:sz w:val="28"/>
        </w:rPr>
        <w:t xml:space="preserve">Conclusiones </w:t>
      </w:r>
    </w:p>
    <w:p w14:paraId="6596527F" w14:textId="77777777" w:rsidR="00B03BB6" w:rsidRDefault="00B03BB6" w:rsidP="00EF13FA">
      <w:pPr>
        <w:jc w:val="both"/>
        <w:rPr>
          <w:b/>
          <w:sz w:val="28"/>
        </w:rPr>
      </w:pPr>
    </w:p>
    <w:p w14:paraId="1B8A9816" w14:textId="1C5B3EF0" w:rsidR="00EF13FA" w:rsidRDefault="00EF13FA" w:rsidP="00EF13FA">
      <w:pPr>
        <w:jc w:val="both"/>
      </w:pPr>
      <w:r>
        <w:t>Dados los resultados de las simulaciones generadas</w:t>
      </w:r>
      <w:r w:rsidR="00B03BB6">
        <w:t>,</w:t>
      </w:r>
      <w:r>
        <w:t xml:space="preserve"> se ven comportamientos bastante cercanos a los obtenidos por una partícula en un acelerador ciclotrón,</w:t>
      </w:r>
      <w:r w:rsidR="00B03BB6">
        <w:t xml:space="preserve"> sin embargo hay pequeñas diferencias en la forma en la que evoluciona la energía cinética, ya que teóricamente debería verse un comportamiento parabólico. Este comportamiento podría ser obtenido al ingresar unos valores iniciales mas cercanos a los reales para así poder obtener comportamientos mas acertados. A parte de este observación la simulación ha sido un éxito al mostrar una evolución lógica de la partícula en esta situación.</w:t>
      </w:r>
    </w:p>
    <w:p w14:paraId="738A48B6" w14:textId="77777777" w:rsidR="00B03BB6" w:rsidRPr="00B03BB6" w:rsidRDefault="00B03BB6" w:rsidP="00EF13FA">
      <w:pPr>
        <w:jc w:val="both"/>
        <w:rPr>
          <w:b/>
          <w:sz w:val="28"/>
        </w:rPr>
      </w:pPr>
    </w:p>
    <w:p w14:paraId="1B1471EB" w14:textId="34608594" w:rsidR="00B03BB6" w:rsidRDefault="00B03BB6" w:rsidP="00EF13FA">
      <w:pPr>
        <w:jc w:val="both"/>
        <w:rPr>
          <w:b/>
          <w:sz w:val="28"/>
        </w:rPr>
      </w:pPr>
      <w:r w:rsidRPr="00B03BB6">
        <w:rPr>
          <w:b/>
          <w:sz w:val="28"/>
        </w:rPr>
        <w:t>Apéndice</w:t>
      </w:r>
      <w:r>
        <w:rPr>
          <w:b/>
          <w:sz w:val="28"/>
        </w:rPr>
        <w:t>:</w:t>
      </w:r>
    </w:p>
    <w:p w14:paraId="591FCF4C" w14:textId="77777777" w:rsidR="00B03BB6" w:rsidRPr="00B03BB6" w:rsidRDefault="00B03BB6" w:rsidP="00EF13FA">
      <w:pPr>
        <w:jc w:val="both"/>
      </w:pPr>
    </w:p>
    <w:p w14:paraId="75F158FA" w14:textId="252382CC" w:rsidR="00B03BB6" w:rsidRDefault="00B03BB6" w:rsidP="00EF13FA">
      <w:pPr>
        <w:jc w:val="both"/>
      </w:pPr>
      <w:r w:rsidRPr="00B03BB6">
        <w:t>Para poder</w:t>
      </w:r>
      <w:r>
        <w:t xml:space="preserve"> observar el código  utilizado en esta simulación ingresar a:</w:t>
      </w:r>
    </w:p>
    <w:p w14:paraId="455E830C" w14:textId="277FBAAB" w:rsidR="00B03BB6" w:rsidRDefault="00B03BB6" w:rsidP="00B03BB6">
      <w:pPr>
        <w:pStyle w:val="ListParagraph"/>
        <w:numPr>
          <w:ilvl w:val="0"/>
          <w:numId w:val="3"/>
        </w:numPr>
        <w:jc w:val="both"/>
      </w:pPr>
      <w:hyperlink r:id="rId16" w:history="1">
        <w:r w:rsidRPr="00B80950">
          <w:rPr>
            <w:rStyle w:val="Hyperlink"/>
          </w:rPr>
          <w:t>www.github.com/daniel-lozano/Aceleradores</w:t>
        </w:r>
      </w:hyperlink>
    </w:p>
    <w:p w14:paraId="27CF5B32" w14:textId="77777777" w:rsidR="00B03BB6" w:rsidRDefault="00B03BB6" w:rsidP="00B03BB6">
      <w:pPr>
        <w:pStyle w:val="ListParagraph"/>
        <w:jc w:val="both"/>
      </w:pPr>
    </w:p>
    <w:p w14:paraId="5E5D98D6" w14:textId="1001980C" w:rsidR="00B03BB6" w:rsidRDefault="00B03BB6" w:rsidP="00B03BB6">
      <w:pPr>
        <w:jc w:val="both"/>
      </w:pPr>
      <w:r>
        <w:t>en esta pagina web se encontraran varios enlaces correspondientes a las 3 simulaciones producidas y a las imágenes mostradas en este documento.</w:t>
      </w:r>
    </w:p>
    <w:p w14:paraId="7EC2BE0B" w14:textId="1DFFCF9A" w:rsidR="00B03BB6" w:rsidRDefault="00B03BB6" w:rsidP="00B03BB6">
      <w:pPr>
        <w:jc w:val="both"/>
      </w:pPr>
      <w:r>
        <w:t>Para poder ver el código detalladamente ingresar a:</w:t>
      </w:r>
    </w:p>
    <w:p w14:paraId="71AED069" w14:textId="075685A3" w:rsidR="00B03BB6" w:rsidRDefault="00B03BB6" w:rsidP="00B03BB6">
      <w:pPr>
        <w:pStyle w:val="ListParagraph"/>
        <w:numPr>
          <w:ilvl w:val="0"/>
          <w:numId w:val="3"/>
        </w:numPr>
        <w:jc w:val="both"/>
      </w:pPr>
      <w:hyperlink r:id="rId17" w:history="1">
        <w:r w:rsidRPr="00B80950">
          <w:rPr>
            <w:rStyle w:val="Hyperlink"/>
          </w:rPr>
          <w:t>http://nbviewer.ipython.org/github/daniel-lozano/Aceleradores/blob/master/Ciclotron_sirve.ipynb</w:t>
        </w:r>
      </w:hyperlink>
    </w:p>
    <w:p w14:paraId="235CAAFA" w14:textId="77777777" w:rsidR="002836D7" w:rsidRDefault="002836D7" w:rsidP="002836D7">
      <w:pPr>
        <w:pStyle w:val="ListParagraph"/>
        <w:jc w:val="both"/>
      </w:pPr>
    </w:p>
    <w:p w14:paraId="2A0028BB" w14:textId="7F5CBA1B" w:rsidR="00B03BB6" w:rsidRDefault="002836D7" w:rsidP="00B03BB6">
      <w:pPr>
        <w:pStyle w:val="ListParagraph"/>
        <w:numPr>
          <w:ilvl w:val="0"/>
          <w:numId w:val="3"/>
        </w:numPr>
        <w:jc w:val="both"/>
      </w:pPr>
      <w:hyperlink r:id="rId18" w:history="1">
        <w:r w:rsidRPr="00B80950">
          <w:rPr>
            <w:rStyle w:val="Hyperlink"/>
          </w:rPr>
          <w:t>http://nbviewer.ipython.org/github/daniel-lozano/Aceleradores/blob/master/ciclotron%20.ipynb</w:t>
        </w:r>
      </w:hyperlink>
    </w:p>
    <w:p w14:paraId="73076350" w14:textId="77777777" w:rsidR="002836D7" w:rsidRDefault="002836D7" w:rsidP="002836D7">
      <w:pPr>
        <w:jc w:val="both"/>
      </w:pPr>
    </w:p>
    <w:p w14:paraId="3517F464" w14:textId="77777777" w:rsidR="002836D7" w:rsidRDefault="002836D7" w:rsidP="002836D7">
      <w:pPr>
        <w:pStyle w:val="ListParagraph"/>
        <w:jc w:val="both"/>
      </w:pPr>
    </w:p>
    <w:p w14:paraId="25D6B3EC" w14:textId="72F2F97D" w:rsidR="002836D7" w:rsidRDefault="002836D7" w:rsidP="00B03BB6">
      <w:pPr>
        <w:pStyle w:val="ListParagraph"/>
        <w:numPr>
          <w:ilvl w:val="0"/>
          <w:numId w:val="3"/>
        </w:numPr>
        <w:jc w:val="both"/>
      </w:pPr>
      <w:hyperlink r:id="rId19" w:history="1">
        <w:r w:rsidRPr="00B80950">
          <w:rPr>
            <w:rStyle w:val="Hyperlink"/>
          </w:rPr>
          <w:t>http://nbviewer.ipython.org/github/daniel-lozano/Aceleradores/blob/master/ciclotron5000.ipynb</w:t>
        </w:r>
      </w:hyperlink>
    </w:p>
    <w:p w14:paraId="2365A6B6" w14:textId="77777777" w:rsidR="002836D7" w:rsidRDefault="002836D7" w:rsidP="002836D7">
      <w:pPr>
        <w:pStyle w:val="ListParagraph"/>
        <w:jc w:val="both"/>
      </w:pPr>
    </w:p>
    <w:p w14:paraId="5A7E3172" w14:textId="77777777" w:rsidR="00B03BB6" w:rsidRPr="00EF13FA" w:rsidRDefault="00B03BB6" w:rsidP="00EF13FA">
      <w:pPr>
        <w:jc w:val="both"/>
      </w:pPr>
    </w:p>
    <w:sectPr w:rsidR="00B03BB6" w:rsidRPr="00EF13FA" w:rsidSect="008C5C79">
      <w:type w:val="continuous"/>
      <w:pgSz w:w="11900" w:h="16840"/>
      <w:pgMar w:top="1440" w:right="1800" w:bottom="1440" w:left="180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1315B"/>
    <w:multiLevelType w:val="hybridMultilevel"/>
    <w:tmpl w:val="B34C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D1D99"/>
    <w:multiLevelType w:val="hybridMultilevel"/>
    <w:tmpl w:val="46803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14808"/>
    <w:multiLevelType w:val="hybridMultilevel"/>
    <w:tmpl w:val="E43E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88"/>
    <w:rsid w:val="002836D7"/>
    <w:rsid w:val="003E7B07"/>
    <w:rsid w:val="00551BAF"/>
    <w:rsid w:val="005811BE"/>
    <w:rsid w:val="00754182"/>
    <w:rsid w:val="00762598"/>
    <w:rsid w:val="008C5C79"/>
    <w:rsid w:val="009A5993"/>
    <w:rsid w:val="00A90588"/>
    <w:rsid w:val="00B03BB6"/>
    <w:rsid w:val="00B626D8"/>
    <w:rsid w:val="00EF1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24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88"/>
    <w:pPr>
      <w:ind w:left="720"/>
      <w:contextualSpacing/>
    </w:pPr>
  </w:style>
  <w:style w:type="character" w:styleId="PlaceholderText">
    <w:name w:val="Placeholder Text"/>
    <w:basedOn w:val="DefaultParagraphFont"/>
    <w:uiPriority w:val="99"/>
    <w:semiHidden/>
    <w:rsid w:val="00A90588"/>
    <w:rPr>
      <w:color w:val="808080"/>
    </w:rPr>
  </w:style>
  <w:style w:type="paragraph" w:styleId="BalloonText">
    <w:name w:val="Balloon Text"/>
    <w:basedOn w:val="Normal"/>
    <w:link w:val="BalloonTextChar"/>
    <w:uiPriority w:val="99"/>
    <w:semiHidden/>
    <w:unhideWhenUsed/>
    <w:rsid w:val="00A90588"/>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588"/>
    <w:rPr>
      <w:rFonts w:ascii="Lucida Grande" w:hAnsi="Lucida Grande"/>
      <w:sz w:val="18"/>
      <w:szCs w:val="18"/>
      <w:lang w:val="es-ES_tradnl"/>
    </w:rPr>
  </w:style>
  <w:style w:type="table" w:styleId="TableGrid">
    <w:name w:val="Table Grid"/>
    <w:basedOn w:val="TableNormal"/>
    <w:uiPriority w:val="59"/>
    <w:rsid w:val="00B626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3B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88"/>
    <w:pPr>
      <w:ind w:left="720"/>
      <w:contextualSpacing/>
    </w:pPr>
  </w:style>
  <w:style w:type="character" w:styleId="PlaceholderText">
    <w:name w:val="Placeholder Text"/>
    <w:basedOn w:val="DefaultParagraphFont"/>
    <w:uiPriority w:val="99"/>
    <w:semiHidden/>
    <w:rsid w:val="00A90588"/>
    <w:rPr>
      <w:color w:val="808080"/>
    </w:rPr>
  </w:style>
  <w:style w:type="paragraph" w:styleId="BalloonText">
    <w:name w:val="Balloon Text"/>
    <w:basedOn w:val="Normal"/>
    <w:link w:val="BalloonTextChar"/>
    <w:uiPriority w:val="99"/>
    <w:semiHidden/>
    <w:unhideWhenUsed/>
    <w:rsid w:val="00A90588"/>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588"/>
    <w:rPr>
      <w:rFonts w:ascii="Lucida Grande" w:hAnsi="Lucida Grande"/>
      <w:sz w:val="18"/>
      <w:szCs w:val="18"/>
      <w:lang w:val="es-ES_tradnl"/>
    </w:rPr>
  </w:style>
  <w:style w:type="table" w:styleId="TableGrid">
    <w:name w:val="Table Grid"/>
    <w:basedOn w:val="TableNormal"/>
    <w:uiPriority w:val="59"/>
    <w:rsid w:val="00B626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3B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www.github.com/daniel-lozano/Aceleradores" TargetMode="External"/><Relationship Id="rId17" Type="http://schemas.openxmlformats.org/officeDocument/2006/relationships/hyperlink" Target="http://nbviewer.ipython.org/github/daniel-lozano/Aceleradores/blob/master/Ciclotron_sirve.ipynb" TargetMode="External"/><Relationship Id="rId18" Type="http://schemas.openxmlformats.org/officeDocument/2006/relationships/hyperlink" Target="http://nbviewer.ipython.org/github/daniel-lozano/Aceleradores/blob/master/ciclotron%20.ipynb" TargetMode="External"/><Relationship Id="rId19" Type="http://schemas.openxmlformats.org/officeDocument/2006/relationships/hyperlink" Target="http://nbviewer.ipython.org/github/daniel-lozano/Aceleradores/blob/master/ciclotron5000.ipyn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908</Words>
  <Characters>5180</Characters>
  <Application>Microsoft Macintosh Word</Application>
  <DocSecurity>0</DocSecurity>
  <Lines>43</Lines>
  <Paragraphs>12</Paragraphs>
  <ScaleCrop>false</ScaleCrop>
  <Company>Universidad de Los Andes</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cp:revision>4</cp:revision>
  <dcterms:created xsi:type="dcterms:W3CDTF">2014-05-20T17:24:00Z</dcterms:created>
  <dcterms:modified xsi:type="dcterms:W3CDTF">2014-05-20T19:00:00Z</dcterms:modified>
</cp:coreProperties>
</file>