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Top 10 departments by median neurodevelopmental consultations per 10,000 inhabitants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41"/>
        <w:gridCol w:w="912"/>
        <w:gridCol w:w="912"/>
        <w:gridCol w:w="961"/>
        <w:gridCol w:w="961"/>
      </w:tblGrid>
      <w:tr>
        <w:trPr>
          <w:trHeight w:val="612" w:hRule="auto"/>
          <w:tblHeader/>
        </w:trPr>
        header 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Department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F808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F809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F900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6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Narino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141.5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408.5</w:t>
            </w:r>
          </w:p>
        </w:tc>
      </w:tr>
      <w:tr>
        <w:trPr>
          <w:trHeight w:val="61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Boyaca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331.0</w:t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Santander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260.0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237.0</w:t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Cundinamarca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227.0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215.0</w:t>
            </w:r>
          </w:p>
        </w:tc>
      </w:tr>
      <w:tr>
        <w:trPr>
          <w:trHeight w:val="58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212.0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Putumayo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192.0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Risaralda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189.0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Casanare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174.0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16" w:space="0" w:color="000000"/>
              <w:top w:val="none" w:sz="0" w:space="0" w:color="000000"/>
              <w:left w:val="single" w:sz="1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Sucre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174.0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Note. Departments are ordered by the total median burden across the three most frequent diagnostic categories.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2025-11-25T18:56:23Z</dcterms:modified>
  <cp:category/>
</cp:coreProperties>
</file>