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CE8F8" w14:textId="77777777" w:rsidR="00C177C5" w:rsidRDefault="00000000" w:rsidP="00876B70">
      <w:pPr>
        <w:spacing w:before="120" w:after="120" w:line="276" w:lineRule="auto"/>
        <w:jc w:val="center"/>
        <w:rPr>
          <w:rFonts w:ascii="Times New Roman" w:hAnsi="Times New Roman" w:cs="Times New Roman"/>
          <w:b/>
          <w:bCs/>
          <w:caps/>
          <w:color w:val="595959"/>
        </w:rPr>
      </w:pPr>
      <w:r w:rsidRPr="00D2337F">
        <w:rPr>
          <w:rFonts w:ascii="Times New Roman" w:hAnsi="Times New Roman" w:cs="Times New Roman"/>
          <w:b/>
          <w:bCs/>
          <w:caps/>
          <w:color w:val="595959"/>
        </w:rPr>
        <w:t>Capstone Project Concept Note</w:t>
      </w:r>
    </w:p>
    <w:p w14:paraId="5677E3AB" w14:textId="12666845" w:rsidR="00876B70" w:rsidRDefault="00876B70" w:rsidP="00876B70">
      <w:pPr>
        <w:spacing w:before="120" w:after="120" w:line="276" w:lineRule="auto"/>
        <w:jc w:val="center"/>
        <w:rPr>
          <w:rFonts w:ascii="Times New Roman" w:hAnsi="Times New Roman" w:cs="Times New Roman"/>
          <w:b/>
          <w:bCs/>
          <w:caps/>
          <w:color w:val="595959"/>
        </w:rPr>
      </w:pPr>
      <w:r>
        <w:rPr>
          <w:rFonts w:ascii="Times New Roman" w:hAnsi="Times New Roman" w:cs="Times New Roman"/>
          <w:b/>
          <w:bCs/>
          <w:caps/>
          <w:color w:val="595959"/>
        </w:rPr>
        <w:t>STD no: 223757</w:t>
      </w:r>
    </w:p>
    <w:p w14:paraId="694CBA60" w14:textId="77777777" w:rsidR="00A37EF8" w:rsidRPr="00D2337F" w:rsidRDefault="00A37EF8" w:rsidP="00876B70">
      <w:pPr>
        <w:spacing w:before="120" w:after="120" w:line="276" w:lineRule="auto"/>
        <w:jc w:val="center"/>
        <w:rPr>
          <w:rFonts w:ascii="Times New Roman" w:hAnsi="Times New Roman" w:cs="Times New Roman"/>
        </w:rPr>
      </w:pPr>
    </w:p>
    <w:p w14:paraId="0D427DB0" w14:textId="77777777" w:rsidR="00C177C5" w:rsidRPr="00D2337F" w:rsidRDefault="00000000" w:rsidP="00876B70">
      <w:pPr>
        <w:spacing w:before="120" w:after="120" w:line="276" w:lineRule="auto"/>
        <w:jc w:val="center"/>
        <w:rPr>
          <w:rFonts w:ascii="Times New Roman" w:hAnsi="Times New Roman" w:cs="Times New Roman"/>
        </w:rPr>
      </w:pPr>
      <w:r w:rsidRPr="00D2337F">
        <w:rPr>
          <w:rFonts w:ascii="Times New Roman" w:hAnsi="Times New Roman" w:cs="Times New Roman"/>
          <w:b/>
          <w:bCs/>
        </w:rPr>
        <w:t>Household Energy and Cost Comparison Tool for Supporting the Clean Cooking Transition in Kenya</w:t>
      </w:r>
    </w:p>
    <w:p w14:paraId="29FEDFCC" w14:textId="77777777" w:rsidR="00C177C5" w:rsidRPr="00D2337F" w:rsidRDefault="00000000" w:rsidP="00876B70">
      <w:pPr>
        <w:pStyle w:val="Heading1"/>
        <w:spacing w:before="120" w:after="120" w:line="276" w:lineRule="auto"/>
        <w:rPr>
          <w:rFonts w:ascii="Times New Roman" w:hAnsi="Times New Roman" w:cs="Times New Roman"/>
          <w:sz w:val="22"/>
          <w:szCs w:val="22"/>
        </w:rPr>
      </w:pPr>
      <w:r w:rsidRPr="00D2337F">
        <w:rPr>
          <w:rFonts w:ascii="Times New Roman" w:hAnsi="Times New Roman" w:cs="Times New Roman"/>
          <w:sz w:val="22"/>
          <w:szCs w:val="22"/>
        </w:rPr>
        <w:t>1. Background</w:t>
      </w:r>
    </w:p>
    <w:p w14:paraId="461D926F" w14:textId="29B93248" w:rsidR="00D2337F" w:rsidRPr="00D2337F" w:rsidRDefault="00D2337F" w:rsidP="00876B70">
      <w:pPr>
        <w:spacing w:before="120" w:after="120" w:line="276" w:lineRule="auto"/>
        <w:jc w:val="both"/>
        <w:rPr>
          <w:rFonts w:ascii="Times New Roman" w:hAnsi="Times New Roman" w:cs="Times New Roman"/>
        </w:rPr>
      </w:pPr>
      <w:r w:rsidRPr="00D2337F">
        <w:rPr>
          <w:rFonts w:ascii="Times New Roman" w:hAnsi="Times New Roman" w:cs="Times New Roman"/>
        </w:rPr>
        <w:t xml:space="preserve">Access to clean cooking remains one of the most persistent development challenges in Kenya and across sub-Saharan Africa. The International Energy Agency estimates that around one billion people in sub-Saharan Africa still lack access to clean cooking, with roughly four in five households relying on polluting fuels such as firewood, charcoal, and kerosene; the resulting household air pollution contributes to an estimated 815,000 premature deaths across Africa each year (IEA, 2025; WHO, 2023). In Kenya, the Kenya National Cooking Transition Strategy identifies firewood as the primary cooking energy source for approximately 9.1 million households, the majority in rural areas (Ministry of Energy and Petroleum </w:t>
      </w:r>
      <w:r w:rsidR="00512AFA">
        <w:rPr>
          <w:rFonts w:ascii="Times New Roman" w:hAnsi="Times New Roman" w:cs="Times New Roman"/>
        </w:rPr>
        <w:t>(</w:t>
      </w:r>
      <w:proofErr w:type="spellStart"/>
      <w:r w:rsidRPr="00D2337F">
        <w:rPr>
          <w:rFonts w:ascii="Times New Roman" w:hAnsi="Times New Roman" w:cs="Times New Roman"/>
        </w:rPr>
        <w:t>MoEP</w:t>
      </w:r>
      <w:proofErr w:type="spellEnd"/>
      <w:r w:rsidRPr="00D2337F">
        <w:rPr>
          <w:rFonts w:ascii="Times New Roman" w:hAnsi="Times New Roman" w:cs="Times New Roman"/>
        </w:rPr>
        <w:t>, 2024a). These practices impose substantial costs on health, household budgets, women’s time, and the environment, and they sit in direct tension with the national goal of universal access to clean cooking by 2028.</w:t>
      </w:r>
      <w:r w:rsidRPr="00D2337F">
        <w:rPr>
          <w:rFonts w:ascii="Times New Roman" w:hAnsi="Times New Roman" w:cs="Times New Roman"/>
        </w:rPr>
        <w:t xml:space="preserve"> </w:t>
      </w:r>
      <w:r w:rsidRPr="00D2337F">
        <w:rPr>
          <w:rFonts w:ascii="Times New Roman" w:hAnsi="Times New Roman" w:cs="Times New Roman"/>
        </w:rPr>
        <w:t>The main barrier is cost, or how costly people believe it to be, and campaigns rarely show the money side for a household’s own meals. Because cost depends heavily on which dish is cooked on which appliance, general comparisons can mislead (Perros et al., 2025). This project fills that gap by collecting primary cooking-cost data and building a simple household comparison tool.</w:t>
      </w:r>
    </w:p>
    <w:p w14:paraId="6ED02682" w14:textId="77777777" w:rsidR="00C177C5" w:rsidRPr="00D2337F" w:rsidRDefault="00000000" w:rsidP="00876B70">
      <w:pPr>
        <w:pStyle w:val="Heading1"/>
        <w:spacing w:before="120" w:after="120" w:line="276" w:lineRule="auto"/>
        <w:rPr>
          <w:rFonts w:ascii="Times New Roman" w:hAnsi="Times New Roman" w:cs="Times New Roman"/>
          <w:sz w:val="22"/>
          <w:szCs w:val="22"/>
        </w:rPr>
      </w:pPr>
      <w:r w:rsidRPr="00D2337F">
        <w:rPr>
          <w:rFonts w:ascii="Times New Roman" w:hAnsi="Times New Roman" w:cs="Times New Roman"/>
          <w:sz w:val="22"/>
          <w:szCs w:val="22"/>
        </w:rPr>
        <w:t>2. Problem Statement</w:t>
      </w:r>
    </w:p>
    <w:p w14:paraId="42624C0D" w14:textId="0BEEC075" w:rsidR="00C177C5" w:rsidRPr="00D2337F" w:rsidRDefault="00000000" w:rsidP="00876B70">
      <w:pPr>
        <w:spacing w:before="120" w:after="120" w:line="276" w:lineRule="auto"/>
        <w:jc w:val="both"/>
        <w:rPr>
          <w:rFonts w:ascii="Times New Roman" w:hAnsi="Times New Roman" w:cs="Times New Roman"/>
        </w:rPr>
      </w:pPr>
      <w:r w:rsidRPr="00D2337F">
        <w:rPr>
          <w:rFonts w:ascii="Times New Roman" w:hAnsi="Times New Roman" w:cs="Times New Roman"/>
        </w:rPr>
        <w:t>Most cost comparisons available to households are generic. They assume one fuel, one typical household, and a fixed set of meals, and they ignore what actually drives a household’s cooking bill: household size, the dishes cooked and how often, the appliance used, and the electricity tariff band</w:t>
      </w:r>
      <w:r w:rsidR="00A70633" w:rsidRPr="00D2337F">
        <w:rPr>
          <w:rFonts w:ascii="Times New Roman" w:hAnsi="Times New Roman" w:cs="Times New Roman"/>
        </w:rPr>
        <w:t>,</w:t>
      </w:r>
      <w:r w:rsidRPr="00D2337F">
        <w:rPr>
          <w:rFonts w:ascii="Times New Roman" w:hAnsi="Times New Roman" w:cs="Times New Roman"/>
        </w:rPr>
        <w:t xml:space="preserve"> lifeline or ordinary</w:t>
      </w:r>
      <w:r w:rsidR="00A70633" w:rsidRPr="00D2337F">
        <w:rPr>
          <w:rFonts w:ascii="Times New Roman" w:hAnsi="Times New Roman" w:cs="Times New Roman"/>
        </w:rPr>
        <w:t xml:space="preserve">, </w:t>
      </w:r>
      <w:r w:rsidRPr="00D2337F">
        <w:rPr>
          <w:rFonts w:ascii="Times New Roman" w:hAnsi="Times New Roman" w:cs="Times New Roman"/>
        </w:rPr>
        <w:t>which changes the unit price of power (EPRA, 2023). They also ignore that most Kenyan households use more than one stove or fuel (</w:t>
      </w:r>
      <w:proofErr w:type="spellStart"/>
      <w:r w:rsidRPr="00D2337F">
        <w:rPr>
          <w:rFonts w:ascii="Times New Roman" w:hAnsi="Times New Roman" w:cs="Times New Roman"/>
        </w:rPr>
        <w:t>MoEP</w:t>
      </w:r>
      <w:proofErr w:type="spellEnd"/>
      <w:r w:rsidRPr="00D2337F">
        <w:rPr>
          <w:rFonts w:ascii="Times New Roman" w:hAnsi="Times New Roman" w:cs="Times New Roman"/>
        </w:rPr>
        <w:t xml:space="preserve">, 2024b). As a result, families and the field agents advising them </w:t>
      </w:r>
      <w:proofErr w:type="gramStart"/>
      <w:r w:rsidR="00A70633" w:rsidRPr="00D2337F">
        <w:rPr>
          <w:rFonts w:ascii="Times New Roman" w:hAnsi="Times New Roman" w:cs="Times New Roman"/>
        </w:rPr>
        <w:t>have</w:t>
      </w:r>
      <w:proofErr w:type="gramEnd"/>
      <w:r w:rsidRPr="00D2337F">
        <w:rPr>
          <w:rFonts w:ascii="Times New Roman" w:hAnsi="Times New Roman" w:cs="Times New Roman"/>
        </w:rPr>
        <w:t xml:space="preserve"> no simple, evidence-based way to see the real cost, savings, and payback of switching to electric cooking.</w:t>
      </w:r>
    </w:p>
    <w:p w14:paraId="500C6E41" w14:textId="77777777" w:rsidR="00C177C5" w:rsidRPr="00D2337F" w:rsidRDefault="00000000" w:rsidP="00876B70">
      <w:pPr>
        <w:pStyle w:val="Heading1"/>
        <w:spacing w:before="120" w:after="120" w:line="276" w:lineRule="auto"/>
        <w:rPr>
          <w:rFonts w:ascii="Times New Roman" w:hAnsi="Times New Roman" w:cs="Times New Roman"/>
          <w:sz w:val="22"/>
          <w:szCs w:val="22"/>
        </w:rPr>
      </w:pPr>
      <w:r w:rsidRPr="00D2337F">
        <w:rPr>
          <w:rFonts w:ascii="Times New Roman" w:hAnsi="Times New Roman" w:cs="Times New Roman"/>
          <w:sz w:val="22"/>
          <w:szCs w:val="22"/>
        </w:rPr>
        <w:t>3. Main Objective</w:t>
      </w:r>
    </w:p>
    <w:p w14:paraId="07EEA429" w14:textId="18902EC0" w:rsidR="00C177C5" w:rsidRPr="00D2337F" w:rsidRDefault="00000000" w:rsidP="00876B70">
      <w:pPr>
        <w:spacing w:before="120" w:after="120" w:line="276" w:lineRule="auto"/>
        <w:jc w:val="both"/>
        <w:rPr>
          <w:rFonts w:ascii="Times New Roman" w:hAnsi="Times New Roman" w:cs="Times New Roman"/>
        </w:rPr>
      </w:pPr>
      <w:r w:rsidRPr="00D2337F">
        <w:rPr>
          <w:rFonts w:ascii="Times New Roman" w:hAnsi="Times New Roman" w:cs="Times New Roman"/>
        </w:rPr>
        <w:t>To build a tool that lets Kenyan households and clean cooking practitioners compare the energy use, monthly cost, savings, and payback period of different cooking fuels and appliances, using primary data collected through Controlled Cooking Tests.</w:t>
      </w:r>
    </w:p>
    <w:p w14:paraId="582AC0DA" w14:textId="2D866C33" w:rsidR="00A70633" w:rsidRPr="00D2337F" w:rsidRDefault="00000000" w:rsidP="00876B70">
      <w:pPr>
        <w:pStyle w:val="Heading1"/>
        <w:spacing w:before="120" w:after="120" w:line="276" w:lineRule="auto"/>
        <w:rPr>
          <w:rFonts w:ascii="Times New Roman" w:hAnsi="Times New Roman" w:cs="Times New Roman"/>
          <w:sz w:val="22"/>
          <w:szCs w:val="22"/>
        </w:rPr>
      </w:pPr>
      <w:r w:rsidRPr="00D2337F">
        <w:rPr>
          <w:rFonts w:ascii="Times New Roman" w:hAnsi="Times New Roman" w:cs="Times New Roman"/>
          <w:sz w:val="22"/>
          <w:szCs w:val="22"/>
        </w:rPr>
        <w:t>4. Proposed Solution</w:t>
      </w:r>
    </w:p>
    <w:p w14:paraId="586EF666" w14:textId="6A2FCB63" w:rsidR="00A70633" w:rsidRPr="00D2337F" w:rsidRDefault="00A70633" w:rsidP="00876B70">
      <w:pPr>
        <w:spacing w:before="120" w:after="120" w:line="276" w:lineRule="auto"/>
        <w:jc w:val="both"/>
        <w:rPr>
          <w:rFonts w:ascii="Times New Roman" w:hAnsi="Times New Roman" w:cs="Times New Roman"/>
        </w:rPr>
      </w:pPr>
      <w:r w:rsidRPr="00D2337F">
        <w:rPr>
          <w:rFonts w:ascii="Times New Roman" w:hAnsi="Times New Roman" w:cs="Times New Roman"/>
        </w:rPr>
        <w:t>The proposed solution is a Python-based decision-support tool whose distinguishing feature is that its performance engine is built directly on the Controlled Cooking Test measurements</w:t>
      </w:r>
      <w:r w:rsidR="00D2337F">
        <w:rPr>
          <w:rFonts w:ascii="Times New Roman" w:hAnsi="Times New Roman" w:cs="Times New Roman"/>
        </w:rPr>
        <w:t xml:space="preserve"> </w:t>
      </w:r>
      <w:r w:rsidR="00D2337F" w:rsidRPr="00D2337F">
        <w:rPr>
          <w:rFonts w:ascii="Times New Roman" w:hAnsi="Times New Roman" w:cs="Times New Roman"/>
        </w:rPr>
        <w:t>run under the MECS protocol (Leary, 2023)</w:t>
      </w:r>
      <w:r w:rsidR="00D2337F">
        <w:rPr>
          <w:rFonts w:ascii="Times New Roman" w:hAnsi="Times New Roman" w:cs="Times New Roman"/>
        </w:rPr>
        <w:t>.</w:t>
      </w:r>
      <w:r w:rsidR="00D2337F" w:rsidRPr="00D2337F">
        <w:rPr>
          <w:rFonts w:ascii="Times New Roman" w:hAnsi="Times New Roman" w:cs="Times New Roman"/>
        </w:rPr>
        <w:t xml:space="preserve"> </w:t>
      </w:r>
      <w:r w:rsidR="00D2337F" w:rsidRPr="00D2337F">
        <w:rPr>
          <w:rFonts w:ascii="Times New Roman" w:hAnsi="Times New Roman" w:cs="Times New Roman"/>
        </w:rPr>
        <w:t xml:space="preserve">Its cost data will come from primary Controlled Cooking Tests measuring the energy, time, and cost of cooking seven common Kenyan dishes, beans, beef stew, rice, ugali, spinach, chapati, and chips, on ten appliances, both electric (electric pressure cooker, induction, rice cooker, air fryer, infrared, and hot plate) and non-electric (LPG, improved charcoal, kerosene, and ethanol). </w:t>
      </w:r>
      <w:r w:rsidR="00D2337F">
        <w:rPr>
          <w:rFonts w:ascii="Times New Roman" w:hAnsi="Times New Roman" w:cs="Times New Roman"/>
        </w:rPr>
        <w:t xml:space="preserve"> </w:t>
      </w:r>
      <w:r w:rsidRPr="00D2337F">
        <w:rPr>
          <w:rFonts w:ascii="Times New Roman" w:hAnsi="Times New Roman" w:cs="Times New Roman"/>
        </w:rPr>
        <w:t>Generic calorific values and published efficiencies are used only as a documented fallback for fuels or appliances that fall outside this tested set.</w:t>
      </w:r>
    </w:p>
    <w:p w14:paraId="6B8A7313" w14:textId="5FEBBD15" w:rsidR="00D70317" w:rsidRPr="00D2337F" w:rsidRDefault="00A70633" w:rsidP="00876B70">
      <w:pPr>
        <w:spacing w:before="120" w:after="120" w:line="276" w:lineRule="auto"/>
        <w:jc w:val="both"/>
        <w:rPr>
          <w:rFonts w:ascii="Times New Roman" w:hAnsi="Times New Roman" w:cs="Times New Roman"/>
        </w:rPr>
      </w:pPr>
      <w:r w:rsidRPr="00D2337F">
        <w:rPr>
          <w:rFonts w:ascii="Times New Roman" w:hAnsi="Times New Roman" w:cs="Times New Roman"/>
        </w:rPr>
        <w:lastRenderedPageBreak/>
        <w:t xml:space="preserve">A user will describe their household by selecting the dishes they cook and how frequently, the appliance under consideration, the household scale, and their electricity tariff band. The tool will then compute the monthly energy requirement and expenditure for each fuel option, the savings achievable by adopting electric cooking relative to a baseline stack of LPG, charcoal, and kerosene, and the resulting appliance payback period, presenting all results in </w:t>
      </w:r>
      <w:r w:rsidR="00D70317" w:rsidRPr="00D2337F">
        <w:rPr>
          <w:rFonts w:ascii="Times New Roman" w:hAnsi="Times New Roman" w:cs="Times New Roman"/>
        </w:rPr>
        <w:t>shillings</w:t>
      </w:r>
      <w:r w:rsidRPr="00D2337F">
        <w:rPr>
          <w:rFonts w:ascii="Times New Roman" w:hAnsi="Times New Roman" w:cs="Times New Roman"/>
        </w:rPr>
        <w:t>. Tariff-band logic is built in from the outset, so that lifeline and ordinary consumers receive estimates appropriate to their consumption leve</w:t>
      </w:r>
      <w:r w:rsidRPr="00D2337F">
        <w:rPr>
          <w:rFonts w:ascii="Times New Roman" w:hAnsi="Times New Roman" w:cs="Times New Roman"/>
        </w:rPr>
        <w:t>l</w:t>
      </w:r>
      <w:r w:rsidR="00D70317" w:rsidRPr="00D2337F">
        <w:rPr>
          <w:rFonts w:ascii="Times New Roman" w:hAnsi="Times New Roman" w:cs="Times New Roman"/>
        </w:rPr>
        <w:t xml:space="preserve">. </w:t>
      </w:r>
      <w:r w:rsidR="00D70317" w:rsidRPr="00D2337F">
        <w:rPr>
          <w:rFonts w:ascii="Times New Roman" w:hAnsi="Times New Roman" w:cs="Times New Roman"/>
        </w:rPr>
        <w:t>It also supports fuel stacking, using different appliances for different dishes to match how households really cook</w:t>
      </w:r>
      <w:r w:rsidR="00D70317" w:rsidRPr="00D2337F">
        <w:rPr>
          <w:rFonts w:ascii="Times New Roman" w:hAnsi="Times New Roman" w:cs="Times New Roman"/>
        </w:rPr>
        <w:t xml:space="preserve">. </w:t>
      </w:r>
      <w:r w:rsidR="00D70317" w:rsidRPr="00D2337F">
        <w:rPr>
          <w:rFonts w:ascii="Times New Roman" w:hAnsi="Times New Roman" w:cs="Times New Roman"/>
        </w:rPr>
        <w:t>Prices and tariffs sit in an editable file so they can be updated, and untested dish–appliance combinations are flagged rather than guessed.</w:t>
      </w:r>
    </w:p>
    <w:p w14:paraId="49BA3DDA" w14:textId="77777777" w:rsidR="00A70633" w:rsidRPr="00D2337F" w:rsidRDefault="00A70633" w:rsidP="00876B70">
      <w:pPr>
        <w:pStyle w:val="Heading1"/>
        <w:spacing w:before="120" w:after="120" w:line="276" w:lineRule="auto"/>
        <w:rPr>
          <w:rFonts w:ascii="Times New Roman" w:hAnsi="Times New Roman" w:cs="Times New Roman"/>
          <w:sz w:val="22"/>
          <w:szCs w:val="22"/>
        </w:rPr>
      </w:pPr>
      <w:r w:rsidRPr="00D2337F">
        <w:rPr>
          <w:rFonts w:ascii="Times New Roman" w:hAnsi="Times New Roman" w:cs="Times New Roman"/>
          <w:sz w:val="22"/>
          <w:szCs w:val="22"/>
        </w:rPr>
        <w:t>5. Proposed Methodology</w:t>
      </w:r>
    </w:p>
    <w:p w14:paraId="776E0B59" w14:textId="437354E9" w:rsidR="00D70317" w:rsidRPr="00D2337F" w:rsidRDefault="00D70317" w:rsidP="00876B70">
      <w:pPr>
        <w:spacing w:before="120" w:after="120" w:line="276" w:lineRule="auto"/>
        <w:jc w:val="both"/>
        <w:rPr>
          <w:rFonts w:ascii="Times New Roman" w:hAnsi="Times New Roman" w:cs="Times New Roman"/>
        </w:rPr>
      </w:pPr>
      <w:r w:rsidRPr="00D2337F">
        <w:rPr>
          <w:rFonts w:ascii="Times New Roman" w:hAnsi="Times New Roman" w:cs="Times New Roman"/>
        </w:rPr>
        <w:t xml:space="preserve">The </w:t>
      </w:r>
      <w:r w:rsidR="00A37EF8" w:rsidRPr="00D2337F">
        <w:rPr>
          <w:rFonts w:ascii="Times New Roman" w:hAnsi="Times New Roman" w:cs="Times New Roman"/>
        </w:rPr>
        <w:t>methodology</w:t>
      </w:r>
      <w:r w:rsidRPr="00D2337F">
        <w:rPr>
          <w:rFonts w:ascii="Times New Roman" w:hAnsi="Times New Roman" w:cs="Times New Roman"/>
        </w:rPr>
        <w:t xml:space="preserve"> is proposed </w:t>
      </w:r>
      <w:r w:rsidRPr="00D2337F">
        <w:rPr>
          <w:rFonts w:ascii="Times New Roman" w:hAnsi="Times New Roman" w:cs="Times New Roman"/>
        </w:rPr>
        <w:t xml:space="preserve">in five connected phases. The first is a focused review of literature and structuring of the underlying data. Building on recent Kenyan and regional evidence on cooking energy demand, appliance efficiency, and the economics of </w:t>
      </w:r>
      <w:proofErr w:type="spellStart"/>
      <w:r w:rsidRPr="00D2337F">
        <w:rPr>
          <w:rFonts w:ascii="Times New Roman" w:hAnsi="Times New Roman" w:cs="Times New Roman"/>
        </w:rPr>
        <w:t>eCooking</w:t>
      </w:r>
      <w:proofErr w:type="spellEnd"/>
      <w:r w:rsidRPr="00D2337F">
        <w:rPr>
          <w:rFonts w:ascii="Times New Roman" w:hAnsi="Times New Roman" w:cs="Times New Roman"/>
        </w:rPr>
        <w:t xml:space="preserve"> adoption (IEA, 2025; Perros et al., 2025; </w:t>
      </w:r>
      <w:proofErr w:type="spellStart"/>
      <w:r w:rsidRPr="00D2337F">
        <w:rPr>
          <w:rFonts w:ascii="Times New Roman" w:hAnsi="Times New Roman" w:cs="Times New Roman"/>
        </w:rPr>
        <w:t>Berkouwer</w:t>
      </w:r>
      <w:proofErr w:type="spellEnd"/>
      <w:r w:rsidRPr="00D2337F">
        <w:rPr>
          <w:rFonts w:ascii="Times New Roman" w:hAnsi="Times New Roman" w:cs="Times New Roman"/>
        </w:rPr>
        <w:t xml:space="preserve"> &amp; Dean, 2022), the CCT results will be digitised into a structured lookup table holding, for each appliance and dish, the measured energy (kWh), cooking time (minutes), and energy cost (</w:t>
      </w:r>
      <w:proofErr w:type="spellStart"/>
      <w:r w:rsidRPr="00D2337F">
        <w:rPr>
          <w:rFonts w:ascii="Times New Roman" w:hAnsi="Times New Roman" w:cs="Times New Roman"/>
        </w:rPr>
        <w:t>KSh</w:t>
      </w:r>
      <w:proofErr w:type="spellEnd"/>
      <w:r w:rsidRPr="00D2337F">
        <w:rPr>
          <w:rFonts w:ascii="Times New Roman" w:hAnsi="Times New Roman" w:cs="Times New Roman"/>
        </w:rPr>
        <w:t>) by tariff band. Crucially, this phase documents the dataset’s missing cells and defines the tool’s behaviour when a user selects an untested combination, so that coverage gaps are managed by design rather than discovered in use. Electricity tariffs and fuel prices will be drawn from Kenya Power and the Energy and Petroleum Regulatory Authority and stored as editable parameters.</w:t>
      </w:r>
    </w:p>
    <w:p w14:paraId="53B6420D" w14:textId="46C15954" w:rsidR="00D70317" w:rsidRPr="00D2337F" w:rsidRDefault="00D70317" w:rsidP="00876B70">
      <w:pPr>
        <w:spacing w:before="120" w:after="120" w:line="276" w:lineRule="auto"/>
        <w:jc w:val="both"/>
        <w:rPr>
          <w:rFonts w:ascii="Times New Roman" w:hAnsi="Times New Roman" w:cs="Times New Roman"/>
        </w:rPr>
      </w:pPr>
      <w:r w:rsidRPr="00D2337F">
        <w:rPr>
          <w:rFonts w:ascii="Times New Roman" w:hAnsi="Times New Roman" w:cs="Times New Roman"/>
        </w:rPr>
        <w:t>The second phase defines the tool’s architecture: the user inputs, the computational flow, and the structure of the parameter and data files. The third phase implements the calculation engine in Python, with algorithms that estimate energy requirements, convert between fuels using calorific values and efficiencies, compute monthly cooking costs by tariff band, calculate savings against the baseline stack, and derive appliance payback periods. The engine will be developed using</w:t>
      </w:r>
      <w:r w:rsidR="00D2337F" w:rsidRPr="00D2337F">
        <w:rPr>
          <w:rFonts w:ascii="Times New Roman" w:hAnsi="Times New Roman" w:cs="Times New Roman"/>
        </w:rPr>
        <w:t xml:space="preserve"> python</w:t>
      </w:r>
      <w:r w:rsidRPr="00D2337F">
        <w:rPr>
          <w:rFonts w:ascii="Times New Roman" w:hAnsi="Times New Roman" w:cs="Times New Roman"/>
        </w:rPr>
        <w:t>, with unit tests covering the core calculations so that results are reproducible and independently verifiable.</w:t>
      </w:r>
    </w:p>
    <w:p w14:paraId="10285C6A" w14:textId="5149763D" w:rsidR="00D70317" w:rsidRPr="00D2337F" w:rsidRDefault="00D70317" w:rsidP="00876B70">
      <w:pPr>
        <w:spacing w:before="120" w:after="120" w:line="276" w:lineRule="auto"/>
        <w:jc w:val="both"/>
        <w:rPr>
          <w:rFonts w:ascii="Times New Roman" w:hAnsi="Times New Roman" w:cs="Times New Roman"/>
        </w:rPr>
      </w:pPr>
      <w:r w:rsidRPr="00D2337F">
        <w:rPr>
          <w:rFonts w:ascii="Times New Roman" w:hAnsi="Times New Roman" w:cs="Times New Roman"/>
        </w:rPr>
        <w:t>The fourth phase is validation</w:t>
      </w:r>
      <w:r w:rsidRPr="00D2337F">
        <w:rPr>
          <w:rFonts w:ascii="Times New Roman" w:hAnsi="Times New Roman" w:cs="Times New Roman"/>
        </w:rPr>
        <w:t xml:space="preserve"> where the</w:t>
      </w:r>
      <w:r w:rsidRPr="00D2337F">
        <w:rPr>
          <w:rFonts w:ascii="Times New Roman" w:hAnsi="Times New Roman" w:cs="Times New Roman"/>
        </w:rPr>
        <w:t xml:space="preserve"> tool </w:t>
      </w:r>
      <w:r w:rsidRPr="00D2337F">
        <w:rPr>
          <w:rFonts w:ascii="Times New Roman" w:hAnsi="Times New Roman" w:cs="Times New Roman"/>
        </w:rPr>
        <w:t xml:space="preserve">will be </w:t>
      </w:r>
      <w:r w:rsidRPr="00D2337F">
        <w:rPr>
          <w:rFonts w:ascii="Times New Roman" w:hAnsi="Times New Roman" w:cs="Times New Roman"/>
        </w:rPr>
        <w:t xml:space="preserve">validated against the collected data, benchmarked against published studies (Perros et al., 2025; </w:t>
      </w:r>
      <w:proofErr w:type="spellStart"/>
      <w:r w:rsidRPr="00D2337F">
        <w:rPr>
          <w:rFonts w:ascii="Times New Roman" w:hAnsi="Times New Roman" w:cs="Times New Roman"/>
        </w:rPr>
        <w:t>Berkouwer</w:t>
      </w:r>
      <w:proofErr w:type="spellEnd"/>
      <w:r w:rsidRPr="00D2337F">
        <w:rPr>
          <w:rFonts w:ascii="Times New Roman" w:hAnsi="Times New Roman" w:cs="Times New Roman"/>
        </w:rPr>
        <w:t xml:space="preserve"> &amp; Dean, 2022), and tested for sensitivity to price changes, with </w:t>
      </w:r>
      <w:r w:rsidR="00D2337F" w:rsidRPr="00D2337F">
        <w:rPr>
          <w:rFonts w:ascii="Times New Roman" w:hAnsi="Times New Roman" w:cs="Times New Roman"/>
        </w:rPr>
        <w:t xml:space="preserve">several </w:t>
      </w:r>
      <w:r w:rsidR="00A37EF8" w:rsidRPr="00D2337F">
        <w:rPr>
          <w:rFonts w:ascii="Times New Roman" w:hAnsi="Times New Roman" w:cs="Times New Roman"/>
        </w:rPr>
        <w:t>users’</w:t>
      </w:r>
      <w:r w:rsidR="00D2337F" w:rsidRPr="00D2337F">
        <w:rPr>
          <w:rFonts w:ascii="Times New Roman" w:hAnsi="Times New Roman" w:cs="Times New Roman"/>
        </w:rPr>
        <w:t xml:space="preserve"> </w:t>
      </w:r>
      <w:r w:rsidRPr="00D2337F">
        <w:rPr>
          <w:rFonts w:ascii="Times New Roman" w:hAnsi="Times New Roman" w:cs="Times New Roman"/>
        </w:rPr>
        <w:t xml:space="preserve">review. </w:t>
      </w:r>
      <w:r w:rsidRPr="00D2337F">
        <w:rPr>
          <w:rFonts w:ascii="Times New Roman" w:hAnsi="Times New Roman" w:cs="Times New Roman"/>
        </w:rPr>
        <w:t xml:space="preserve">The </w:t>
      </w:r>
      <w:r w:rsidRPr="00D2337F">
        <w:rPr>
          <w:rFonts w:ascii="Times New Roman" w:hAnsi="Times New Roman" w:cs="Times New Roman"/>
        </w:rPr>
        <w:t xml:space="preserve">final phase prepares the technical documentation, a </w:t>
      </w:r>
      <w:r w:rsidRPr="00D2337F">
        <w:rPr>
          <w:rFonts w:ascii="Times New Roman" w:hAnsi="Times New Roman" w:cs="Times New Roman"/>
        </w:rPr>
        <w:t>final report with</w:t>
      </w:r>
      <w:r w:rsidRPr="00D2337F">
        <w:rPr>
          <w:rFonts w:ascii="Times New Roman" w:hAnsi="Times New Roman" w:cs="Times New Roman"/>
        </w:rPr>
        <w:t xml:space="preserve"> recommendations for future improvement and deployment.</w:t>
      </w:r>
    </w:p>
    <w:p w14:paraId="2EF75583" w14:textId="77777777" w:rsidR="00C177C5" w:rsidRPr="00D2337F" w:rsidRDefault="00000000" w:rsidP="00876B70">
      <w:pPr>
        <w:pStyle w:val="Heading1"/>
        <w:spacing w:before="120" w:after="120" w:line="276" w:lineRule="auto"/>
        <w:rPr>
          <w:rFonts w:ascii="Times New Roman" w:hAnsi="Times New Roman" w:cs="Times New Roman"/>
          <w:sz w:val="22"/>
          <w:szCs w:val="22"/>
        </w:rPr>
      </w:pPr>
      <w:r w:rsidRPr="00D2337F">
        <w:rPr>
          <w:rFonts w:ascii="Times New Roman" w:hAnsi="Times New Roman" w:cs="Times New Roman"/>
          <w:sz w:val="22"/>
          <w:szCs w:val="22"/>
        </w:rPr>
        <w:t>6. Deliverables</w:t>
      </w:r>
    </w:p>
    <w:p w14:paraId="61985396" w14:textId="3418C30E" w:rsidR="00C177C5" w:rsidRPr="00D2337F" w:rsidRDefault="00000000" w:rsidP="00876B70">
      <w:pPr>
        <w:spacing w:before="120" w:after="120" w:line="276" w:lineRule="auto"/>
        <w:jc w:val="both"/>
        <w:rPr>
          <w:rFonts w:ascii="Times New Roman" w:hAnsi="Times New Roman" w:cs="Times New Roman"/>
        </w:rPr>
      </w:pPr>
      <w:r w:rsidRPr="00D2337F">
        <w:rPr>
          <w:rFonts w:ascii="Times New Roman" w:hAnsi="Times New Roman" w:cs="Times New Roman"/>
        </w:rPr>
        <w:t xml:space="preserve">The project will deliver a working Python tool with a simple interface; a database of appliance performance, fuel prices, calorific values, and efficiencies; monthly cost comparisons across charcoal, LPG, kerosene, ethanol, and electricity; a payback calculator; a user guide and technical documentation; a </w:t>
      </w:r>
      <w:r w:rsidR="00A70633" w:rsidRPr="00D2337F">
        <w:rPr>
          <w:rFonts w:ascii="Times New Roman" w:hAnsi="Times New Roman" w:cs="Times New Roman"/>
        </w:rPr>
        <w:t xml:space="preserve">final </w:t>
      </w:r>
      <w:r w:rsidRPr="00D2337F">
        <w:rPr>
          <w:rFonts w:ascii="Times New Roman" w:hAnsi="Times New Roman" w:cs="Times New Roman"/>
        </w:rPr>
        <w:t>report; and recommendations for scaling affordable electric cooking in Kenya.</w:t>
      </w:r>
    </w:p>
    <w:p w14:paraId="2BCB88E5" w14:textId="77777777" w:rsidR="00C177C5" w:rsidRPr="00D2337F" w:rsidRDefault="00000000" w:rsidP="00876B70">
      <w:pPr>
        <w:pStyle w:val="Heading1"/>
        <w:spacing w:before="120" w:after="120" w:line="276" w:lineRule="auto"/>
        <w:rPr>
          <w:rFonts w:ascii="Times New Roman" w:hAnsi="Times New Roman" w:cs="Times New Roman"/>
          <w:sz w:val="22"/>
          <w:szCs w:val="22"/>
        </w:rPr>
      </w:pPr>
      <w:r w:rsidRPr="00D2337F">
        <w:rPr>
          <w:rFonts w:ascii="Times New Roman" w:hAnsi="Times New Roman" w:cs="Times New Roman"/>
          <w:sz w:val="22"/>
          <w:szCs w:val="22"/>
        </w:rPr>
        <w:t>7. Expected Impact</w:t>
      </w:r>
    </w:p>
    <w:p w14:paraId="3A4F8625" w14:textId="71FBBC7F" w:rsidR="00C177C5" w:rsidRPr="00D2337F" w:rsidRDefault="00000000" w:rsidP="00876B70">
      <w:pPr>
        <w:spacing w:before="120" w:after="120" w:line="276" w:lineRule="auto"/>
        <w:jc w:val="both"/>
        <w:rPr>
          <w:rFonts w:ascii="Times New Roman" w:hAnsi="Times New Roman" w:cs="Times New Roman"/>
        </w:rPr>
      </w:pPr>
      <w:r w:rsidRPr="00D2337F">
        <w:rPr>
          <w:rFonts w:ascii="Times New Roman" w:hAnsi="Times New Roman" w:cs="Times New Roman"/>
        </w:rPr>
        <w:t>By showing the clean cooking transition in the terms households care about</w:t>
      </w:r>
      <w:r w:rsidR="00A70633" w:rsidRPr="00D2337F">
        <w:rPr>
          <w:rFonts w:ascii="Times New Roman" w:hAnsi="Times New Roman" w:cs="Times New Roman"/>
        </w:rPr>
        <w:t>,</w:t>
      </w:r>
      <w:r w:rsidRPr="00D2337F">
        <w:rPr>
          <w:rFonts w:ascii="Times New Roman" w:hAnsi="Times New Roman" w:cs="Times New Roman"/>
        </w:rPr>
        <w:t xml:space="preserve"> shillings, savings, and payback</w:t>
      </w:r>
      <w:r w:rsidR="00A70633" w:rsidRPr="00D2337F">
        <w:rPr>
          <w:rFonts w:ascii="Times New Roman" w:hAnsi="Times New Roman" w:cs="Times New Roman"/>
        </w:rPr>
        <w:t xml:space="preserve">, </w:t>
      </w:r>
      <w:r w:rsidRPr="00D2337F">
        <w:rPr>
          <w:rFonts w:ascii="Times New Roman" w:hAnsi="Times New Roman" w:cs="Times New Roman"/>
        </w:rPr>
        <w:t xml:space="preserve">the tool strengthens the case for electric cooking and gives </w:t>
      </w:r>
      <w:r w:rsidR="00D2337F">
        <w:rPr>
          <w:rFonts w:ascii="Times New Roman" w:hAnsi="Times New Roman" w:cs="Times New Roman"/>
        </w:rPr>
        <w:t>electric cooking</w:t>
      </w:r>
      <w:r w:rsidRPr="00D2337F">
        <w:rPr>
          <w:rFonts w:ascii="Times New Roman" w:hAnsi="Times New Roman" w:cs="Times New Roman"/>
        </w:rPr>
        <w:t xml:space="preserve"> champions a practical, evidence-based aid. It supports the Kenya National </w:t>
      </w:r>
      <w:proofErr w:type="spellStart"/>
      <w:r w:rsidRPr="00D2337F">
        <w:rPr>
          <w:rFonts w:ascii="Times New Roman" w:hAnsi="Times New Roman" w:cs="Times New Roman"/>
        </w:rPr>
        <w:t>eCooking</w:t>
      </w:r>
      <w:proofErr w:type="spellEnd"/>
      <w:r w:rsidRPr="00D2337F">
        <w:rPr>
          <w:rFonts w:ascii="Times New Roman" w:hAnsi="Times New Roman" w:cs="Times New Roman"/>
        </w:rPr>
        <w:t xml:space="preserve"> Strategy (</w:t>
      </w:r>
      <w:proofErr w:type="spellStart"/>
      <w:r w:rsidRPr="00D2337F">
        <w:rPr>
          <w:rFonts w:ascii="Times New Roman" w:hAnsi="Times New Roman" w:cs="Times New Roman"/>
        </w:rPr>
        <w:t>MoEP</w:t>
      </w:r>
      <w:proofErr w:type="spellEnd"/>
      <w:r w:rsidRPr="00D2337F">
        <w:rPr>
          <w:rFonts w:ascii="Times New Roman" w:hAnsi="Times New Roman" w:cs="Times New Roman"/>
        </w:rPr>
        <w:t>, 2024b) and Sustainable Development Goal 7 on affordable and clean energy (United Nations, 2015).</w:t>
      </w:r>
    </w:p>
    <w:p w14:paraId="17DA01D3" w14:textId="4E6474C6" w:rsidR="00C177C5" w:rsidRPr="00D2337F" w:rsidRDefault="00000000" w:rsidP="00876B70">
      <w:pPr>
        <w:pStyle w:val="Heading1"/>
        <w:pageBreakBefore/>
        <w:spacing w:before="120" w:after="120" w:line="276" w:lineRule="auto"/>
        <w:rPr>
          <w:rFonts w:ascii="Times New Roman" w:hAnsi="Times New Roman" w:cs="Times New Roman"/>
          <w:sz w:val="22"/>
          <w:szCs w:val="22"/>
        </w:rPr>
      </w:pPr>
      <w:r w:rsidRPr="00D2337F">
        <w:rPr>
          <w:rFonts w:ascii="Times New Roman" w:hAnsi="Times New Roman" w:cs="Times New Roman"/>
          <w:sz w:val="22"/>
          <w:szCs w:val="22"/>
        </w:rPr>
        <w:lastRenderedPageBreak/>
        <w:t xml:space="preserve">8. Implementation Plan </w:t>
      </w:r>
    </w:p>
    <w:p w14:paraId="2184C0F7" w14:textId="2FCACCE4" w:rsidR="00C177C5" w:rsidRPr="00D2337F" w:rsidRDefault="00000000" w:rsidP="00876B70">
      <w:pPr>
        <w:spacing w:before="120" w:after="120" w:line="276" w:lineRule="auto"/>
        <w:jc w:val="both"/>
        <w:rPr>
          <w:rFonts w:ascii="Times New Roman" w:hAnsi="Times New Roman" w:cs="Times New Roman"/>
        </w:rPr>
      </w:pPr>
      <w:r w:rsidRPr="00D2337F">
        <w:rPr>
          <w:rFonts w:ascii="Times New Roman" w:hAnsi="Times New Roman" w:cs="Times New Roman"/>
        </w:rPr>
        <w:t xml:space="preserve">The project </w:t>
      </w:r>
      <w:r w:rsidR="004E0C55">
        <w:rPr>
          <w:rFonts w:ascii="Times New Roman" w:hAnsi="Times New Roman" w:cs="Times New Roman"/>
        </w:rPr>
        <w:t xml:space="preserve">will run </w:t>
      </w:r>
      <w:r w:rsidRPr="00D2337F">
        <w:rPr>
          <w:rFonts w:ascii="Times New Roman" w:hAnsi="Times New Roman" w:cs="Times New Roman"/>
        </w:rPr>
        <w:t>over nine weeks</w:t>
      </w:r>
      <w:r w:rsidR="004E0C55">
        <w:rPr>
          <w:rFonts w:ascii="Times New Roman" w:hAnsi="Times New Roman" w:cs="Times New Roman"/>
        </w:rPr>
        <w:t xml:space="preserve"> as follows: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26"/>
        <w:gridCol w:w="2000"/>
        <w:gridCol w:w="1300"/>
      </w:tblGrid>
      <w:tr w:rsidR="00C177C5" w:rsidRPr="00D2337F" w14:paraId="7C97D00C"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50" w:type="dxa"/>
              <w:left w:w="100" w:type="dxa"/>
              <w:bottom w:w="50" w:type="dxa"/>
              <w:right w:w="100" w:type="dxa"/>
            </w:tcMar>
            <w:vAlign w:val="center"/>
          </w:tcPr>
          <w:p w14:paraId="7CEB77E1"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b/>
                <w:bCs/>
                <w:color w:val="FFFFFF"/>
              </w:rPr>
              <w:t>Phase &amp; Milestone</w:t>
            </w:r>
          </w:p>
        </w:tc>
        <w:tc>
          <w:tcPr>
            <w:tcW w:w="3526" w:type="dxa"/>
            <w:tcBorders>
              <w:top w:val="single" w:sz="1" w:space="0" w:color="BFBFBF"/>
              <w:left w:val="single" w:sz="1" w:space="0" w:color="BFBFBF"/>
              <w:bottom w:val="single" w:sz="1" w:space="0" w:color="BFBFBF"/>
              <w:right w:val="single" w:sz="1" w:space="0" w:color="BFBFBF"/>
            </w:tcBorders>
            <w:shd w:val="clear" w:color="auto" w:fill="1F4E79"/>
            <w:tcMar>
              <w:top w:w="50" w:type="dxa"/>
              <w:left w:w="100" w:type="dxa"/>
              <w:bottom w:w="50" w:type="dxa"/>
              <w:right w:w="100" w:type="dxa"/>
            </w:tcMar>
            <w:vAlign w:val="center"/>
          </w:tcPr>
          <w:p w14:paraId="7062DCC2"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b/>
                <w:bCs/>
                <w:color w:val="FFFFFF"/>
              </w:rPr>
              <w:t>Key Activities</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50" w:type="dxa"/>
              <w:left w:w="100" w:type="dxa"/>
              <w:bottom w:w="50" w:type="dxa"/>
              <w:right w:w="100" w:type="dxa"/>
            </w:tcMar>
            <w:vAlign w:val="center"/>
          </w:tcPr>
          <w:p w14:paraId="1BBBFF95"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b/>
                <w:bCs/>
                <w:color w:val="FFFFFF"/>
              </w:rPr>
              <w:t>Deliverable(s)</w:t>
            </w:r>
          </w:p>
        </w:tc>
        <w:tc>
          <w:tcPr>
            <w:tcW w:w="1300" w:type="dxa"/>
            <w:tcBorders>
              <w:top w:val="single" w:sz="1" w:space="0" w:color="BFBFBF"/>
              <w:left w:val="single" w:sz="1" w:space="0" w:color="BFBFBF"/>
              <w:bottom w:val="single" w:sz="1" w:space="0" w:color="BFBFBF"/>
              <w:right w:val="single" w:sz="1" w:space="0" w:color="BFBFBF"/>
            </w:tcBorders>
            <w:shd w:val="clear" w:color="auto" w:fill="1F4E79"/>
            <w:tcMar>
              <w:top w:w="50" w:type="dxa"/>
              <w:left w:w="100" w:type="dxa"/>
              <w:bottom w:w="50" w:type="dxa"/>
              <w:right w:w="100" w:type="dxa"/>
            </w:tcMar>
            <w:vAlign w:val="center"/>
          </w:tcPr>
          <w:p w14:paraId="1648A969"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b/>
                <w:bCs/>
                <w:color w:val="FFFFFF"/>
              </w:rPr>
              <w:t>Timeline (2026)</w:t>
            </w:r>
          </w:p>
        </w:tc>
      </w:tr>
      <w:tr w:rsidR="00C177C5" w:rsidRPr="00D2337F" w14:paraId="5C10EF1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67155152"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1. Inception &amp; Literature Review</w:t>
            </w:r>
          </w:p>
        </w:tc>
        <w:tc>
          <w:tcPr>
            <w:tcW w:w="3526"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37DDA575"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 xml:space="preserve">Review recent literature on cooking energy, appliance efficiency, and </w:t>
            </w:r>
            <w:proofErr w:type="spellStart"/>
            <w:r w:rsidRPr="00D2337F">
              <w:rPr>
                <w:rFonts w:ascii="Times New Roman" w:hAnsi="Times New Roman" w:cs="Times New Roman"/>
                <w:color w:val="000000"/>
              </w:rPr>
              <w:t>eCooking</w:t>
            </w:r>
            <w:proofErr w:type="spellEnd"/>
            <w:r w:rsidRPr="00D2337F">
              <w:rPr>
                <w:rFonts w:ascii="Times New Roman" w:hAnsi="Times New Roman" w:cs="Times New Roman"/>
                <w:color w:val="000000"/>
              </w:rPr>
              <w:t xml:space="preserve"> economics; confirm scope and data needs.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4D215E35"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Literature review summary; data requirements defined.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1427F5E4" w14:textId="37E992D8" w:rsidR="00C177C5" w:rsidRPr="00D2337F" w:rsidRDefault="00A70633"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22</w:t>
            </w:r>
            <w:r w:rsidR="00000000" w:rsidRPr="00D2337F">
              <w:rPr>
                <w:rFonts w:ascii="Times New Roman" w:hAnsi="Times New Roman" w:cs="Times New Roman"/>
                <w:color w:val="000000"/>
              </w:rPr>
              <w:t>–2</w:t>
            </w:r>
            <w:r w:rsidRPr="00D2337F">
              <w:rPr>
                <w:rFonts w:ascii="Times New Roman" w:hAnsi="Times New Roman" w:cs="Times New Roman"/>
                <w:color w:val="000000"/>
              </w:rPr>
              <w:t>7th</w:t>
            </w:r>
            <w:r w:rsidR="00000000" w:rsidRPr="00D2337F">
              <w:rPr>
                <w:rFonts w:ascii="Times New Roman" w:hAnsi="Times New Roman" w:cs="Times New Roman"/>
                <w:color w:val="000000"/>
              </w:rPr>
              <w:t xml:space="preserve"> Jun</w:t>
            </w:r>
          </w:p>
        </w:tc>
      </w:tr>
      <w:tr w:rsidR="00C177C5" w:rsidRPr="00D2337F" w14:paraId="3E451D7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10B209B9"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2. Data Collection (Controlled Cooking Tests &amp; secondary data)</w:t>
            </w:r>
          </w:p>
        </w:tc>
        <w:tc>
          <w:tcPr>
            <w:tcW w:w="3526"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192BBE0C" w14:textId="6AB7200E" w:rsidR="00C177C5" w:rsidRPr="00D2337F" w:rsidRDefault="004932A2" w:rsidP="00876B70">
            <w:pPr>
              <w:spacing w:before="120" w:after="120" w:line="276" w:lineRule="auto"/>
              <w:rPr>
                <w:rFonts w:ascii="Times New Roman" w:hAnsi="Times New Roman" w:cs="Times New Roman"/>
              </w:rPr>
            </w:pPr>
            <w:r>
              <w:rPr>
                <w:rFonts w:ascii="Times New Roman" w:hAnsi="Times New Roman" w:cs="Times New Roman"/>
                <w:color w:val="000000"/>
              </w:rPr>
              <w:t>C</w:t>
            </w:r>
            <w:r w:rsidR="00000000" w:rsidRPr="00D2337F">
              <w:rPr>
                <w:rFonts w:ascii="Times New Roman" w:hAnsi="Times New Roman" w:cs="Times New Roman"/>
                <w:color w:val="000000"/>
              </w:rPr>
              <w:t>ontrolled Cooking Tests to measure energy, time, and cost for the selected appliances and dishes; gather EPRA fuel prices, KPLC tariffs, and calorific values; build the database.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3E26A2E8"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Primary CCT dataset; structured database; editable parameter file.</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6B44823C" w14:textId="4D61AAFE"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2</w:t>
            </w:r>
            <w:r w:rsidR="00A70633" w:rsidRPr="00D2337F">
              <w:rPr>
                <w:rFonts w:ascii="Times New Roman" w:hAnsi="Times New Roman" w:cs="Times New Roman"/>
                <w:color w:val="000000"/>
              </w:rPr>
              <w:t>9th</w:t>
            </w:r>
            <w:r w:rsidRPr="00D2337F">
              <w:rPr>
                <w:rFonts w:ascii="Times New Roman" w:hAnsi="Times New Roman" w:cs="Times New Roman"/>
                <w:color w:val="000000"/>
              </w:rPr>
              <w:t xml:space="preserve"> Jun–8</w:t>
            </w:r>
            <w:r w:rsidR="00A37EF8">
              <w:rPr>
                <w:rFonts w:ascii="Times New Roman" w:hAnsi="Times New Roman" w:cs="Times New Roman"/>
                <w:color w:val="000000"/>
              </w:rPr>
              <w:t>th</w:t>
            </w:r>
            <w:r w:rsidRPr="00D2337F">
              <w:rPr>
                <w:rFonts w:ascii="Times New Roman" w:hAnsi="Times New Roman" w:cs="Times New Roman"/>
                <w:color w:val="000000"/>
              </w:rPr>
              <w:t xml:space="preserve"> Jul</w:t>
            </w:r>
          </w:p>
        </w:tc>
      </w:tr>
      <w:tr w:rsidR="00C177C5" w:rsidRPr="00D2337F" w14:paraId="51C91F7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7C889786"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3. Tool Design</w:t>
            </w:r>
          </w:p>
        </w:tc>
        <w:tc>
          <w:tcPr>
            <w:tcW w:w="3526"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1F29F774"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Define user inputs, outputs, and the data and parameter file structure.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2806D5B7"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System architecture and model specification.</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29418647" w14:textId="0827B5A5"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9</w:t>
            </w:r>
            <w:r w:rsidR="00A37EF8">
              <w:rPr>
                <w:rFonts w:ascii="Times New Roman" w:hAnsi="Times New Roman" w:cs="Times New Roman"/>
                <w:color w:val="000000"/>
              </w:rPr>
              <w:t>th</w:t>
            </w:r>
            <w:r w:rsidRPr="00D2337F">
              <w:rPr>
                <w:rFonts w:ascii="Times New Roman" w:hAnsi="Times New Roman" w:cs="Times New Roman"/>
                <w:color w:val="000000"/>
              </w:rPr>
              <w:t>–14</w:t>
            </w:r>
            <w:r w:rsidR="00A37EF8">
              <w:rPr>
                <w:rFonts w:ascii="Times New Roman" w:hAnsi="Times New Roman" w:cs="Times New Roman"/>
                <w:color w:val="000000"/>
              </w:rPr>
              <w:t>th</w:t>
            </w:r>
            <w:r w:rsidRPr="00D2337F">
              <w:rPr>
                <w:rFonts w:ascii="Times New Roman" w:hAnsi="Times New Roman" w:cs="Times New Roman"/>
                <w:color w:val="000000"/>
              </w:rPr>
              <w:t xml:space="preserve"> Jul</w:t>
            </w:r>
          </w:p>
        </w:tc>
      </w:tr>
      <w:tr w:rsidR="00C177C5" w:rsidRPr="00D2337F" w14:paraId="4A0A06A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2BCA0C7A"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4. Development of Calculation Engine</w:t>
            </w:r>
          </w:p>
        </w:tc>
        <w:tc>
          <w:tcPr>
            <w:tcW w:w="3526"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014D66C9"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Build Python algorithms for energy, fuel conversion, banded monthly cost, savings, and payback; version control and unit tests.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116CE4EB"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Functional prototype and tested engine.</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1996D22F" w14:textId="461DA46A"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15</w:t>
            </w:r>
            <w:r w:rsidR="00A37EF8">
              <w:rPr>
                <w:rFonts w:ascii="Times New Roman" w:hAnsi="Times New Roman" w:cs="Times New Roman"/>
                <w:color w:val="000000"/>
              </w:rPr>
              <w:t>th</w:t>
            </w:r>
            <w:r w:rsidRPr="00D2337F">
              <w:rPr>
                <w:rFonts w:ascii="Times New Roman" w:hAnsi="Times New Roman" w:cs="Times New Roman"/>
                <w:color w:val="000000"/>
              </w:rPr>
              <w:t>–25</w:t>
            </w:r>
            <w:r w:rsidR="00A37EF8">
              <w:rPr>
                <w:rFonts w:ascii="Times New Roman" w:hAnsi="Times New Roman" w:cs="Times New Roman"/>
                <w:color w:val="000000"/>
              </w:rPr>
              <w:t xml:space="preserve">th </w:t>
            </w:r>
            <w:r w:rsidRPr="00D2337F">
              <w:rPr>
                <w:rFonts w:ascii="Times New Roman" w:hAnsi="Times New Roman" w:cs="Times New Roman"/>
                <w:color w:val="000000"/>
              </w:rPr>
              <w:t>Jul</w:t>
            </w:r>
            <w:r w:rsidR="00A37EF8">
              <w:rPr>
                <w:rFonts w:ascii="Times New Roman" w:hAnsi="Times New Roman" w:cs="Times New Roman"/>
                <w:color w:val="000000"/>
              </w:rPr>
              <w:t>y</w:t>
            </w:r>
          </w:p>
        </w:tc>
      </w:tr>
      <w:tr w:rsidR="00C177C5" w:rsidRPr="00D2337F" w14:paraId="6F39E98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7DAD8E30"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5. Testing, Validation &amp; Review</w:t>
            </w:r>
          </w:p>
        </w:tc>
        <w:tc>
          <w:tcPr>
            <w:tcW w:w="3526"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0634D069"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Check outputs against the collected data; benchmark against published studies; run price sensitivity analysis; hold one supervisor/stakeholder review.</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332C011F"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Validation report; refined model.</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3A33C5D9" w14:textId="111057DA"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26 Jul</w:t>
            </w:r>
            <w:r w:rsidR="00A37EF8">
              <w:rPr>
                <w:rFonts w:ascii="Times New Roman" w:hAnsi="Times New Roman" w:cs="Times New Roman"/>
                <w:color w:val="000000"/>
              </w:rPr>
              <w:t>y</w:t>
            </w:r>
            <w:r w:rsidRPr="00D2337F">
              <w:rPr>
                <w:rFonts w:ascii="Times New Roman" w:hAnsi="Times New Roman" w:cs="Times New Roman"/>
                <w:color w:val="000000"/>
              </w:rPr>
              <w:t>–3</w:t>
            </w:r>
            <w:r w:rsidR="00A37EF8">
              <w:rPr>
                <w:rFonts w:ascii="Times New Roman" w:hAnsi="Times New Roman" w:cs="Times New Roman"/>
                <w:color w:val="000000"/>
              </w:rPr>
              <w:t>rd</w:t>
            </w:r>
            <w:r w:rsidRPr="00D2337F">
              <w:rPr>
                <w:rFonts w:ascii="Times New Roman" w:hAnsi="Times New Roman" w:cs="Times New Roman"/>
                <w:color w:val="000000"/>
              </w:rPr>
              <w:t xml:space="preserve"> Aug</w:t>
            </w:r>
          </w:p>
        </w:tc>
      </w:tr>
      <w:tr w:rsidR="00C177C5" w:rsidRPr="00D2337F" w14:paraId="4427B8E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1BC0B5C3"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6. Contingency &amp; Refinement</w:t>
            </w:r>
          </w:p>
        </w:tc>
        <w:tc>
          <w:tcPr>
            <w:tcW w:w="3526"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4B09CBE3"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Buffer to absorb revisions from data collection, validation, and review.</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51DF9955"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Stabilised, validated tool.</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0A0A31DE" w14:textId="16D89F52"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4–8</w:t>
            </w:r>
            <w:r w:rsidR="00A37EF8">
              <w:rPr>
                <w:rFonts w:ascii="Times New Roman" w:hAnsi="Times New Roman" w:cs="Times New Roman"/>
                <w:color w:val="000000"/>
              </w:rPr>
              <w:t>th</w:t>
            </w:r>
            <w:r w:rsidRPr="00D2337F">
              <w:rPr>
                <w:rFonts w:ascii="Times New Roman" w:hAnsi="Times New Roman" w:cs="Times New Roman"/>
                <w:color w:val="000000"/>
              </w:rPr>
              <w:t xml:space="preserve"> Aug</w:t>
            </w:r>
          </w:p>
        </w:tc>
      </w:tr>
      <w:tr w:rsidR="00C177C5" w:rsidRPr="00D2337F" w14:paraId="2D9459E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42EDA361"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7. Documentation &amp; Final Reporting</w:t>
            </w:r>
          </w:p>
        </w:tc>
        <w:tc>
          <w:tcPr>
            <w:tcW w:w="3526"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31A186D2"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Prepare technical documentation, user guide, and recommendations; compile the final report.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1CBE042D" w14:textId="77777777"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User guide, documentation, final report.</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vAlign w:val="center"/>
          </w:tcPr>
          <w:p w14:paraId="40B2FCAD" w14:textId="2A0801A8" w:rsidR="00C177C5" w:rsidRPr="00D2337F" w:rsidRDefault="00000000" w:rsidP="00876B70">
            <w:pPr>
              <w:spacing w:before="120" w:after="120" w:line="276" w:lineRule="auto"/>
              <w:rPr>
                <w:rFonts w:ascii="Times New Roman" w:hAnsi="Times New Roman" w:cs="Times New Roman"/>
              </w:rPr>
            </w:pPr>
            <w:r w:rsidRPr="00D2337F">
              <w:rPr>
                <w:rFonts w:ascii="Times New Roman" w:hAnsi="Times New Roman" w:cs="Times New Roman"/>
                <w:color w:val="000000"/>
              </w:rPr>
              <w:t>9–15</w:t>
            </w:r>
            <w:r w:rsidR="00A37EF8">
              <w:rPr>
                <w:rFonts w:ascii="Times New Roman" w:hAnsi="Times New Roman" w:cs="Times New Roman"/>
                <w:color w:val="000000"/>
              </w:rPr>
              <w:t>th</w:t>
            </w:r>
            <w:r w:rsidRPr="00D2337F">
              <w:rPr>
                <w:rFonts w:ascii="Times New Roman" w:hAnsi="Times New Roman" w:cs="Times New Roman"/>
                <w:color w:val="000000"/>
              </w:rPr>
              <w:t xml:space="preserve"> Aug</w:t>
            </w:r>
          </w:p>
        </w:tc>
      </w:tr>
    </w:tbl>
    <w:p w14:paraId="2F48EF32" w14:textId="77777777" w:rsidR="00C177C5" w:rsidRPr="00D2337F" w:rsidRDefault="00000000" w:rsidP="00876B70">
      <w:pPr>
        <w:pStyle w:val="Heading1"/>
        <w:pageBreakBefore/>
        <w:spacing w:before="120" w:after="120" w:line="276" w:lineRule="auto"/>
        <w:jc w:val="center"/>
        <w:rPr>
          <w:rFonts w:ascii="Times New Roman" w:hAnsi="Times New Roman" w:cs="Times New Roman"/>
          <w:sz w:val="22"/>
          <w:szCs w:val="22"/>
        </w:rPr>
      </w:pPr>
      <w:r w:rsidRPr="00D2337F">
        <w:rPr>
          <w:rFonts w:ascii="Times New Roman" w:hAnsi="Times New Roman" w:cs="Times New Roman"/>
          <w:sz w:val="22"/>
          <w:szCs w:val="22"/>
        </w:rPr>
        <w:lastRenderedPageBreak/>
        <w:t>References</w:t>
      </w:r>
    </w:p>
    <w:p w14:paraId="1C0D1E91" w14:textId="77777777" w:rsidR="00C177C5" w:rsidRPr="00D2337F" w:rsidRDefault="00000000" w:rsidP="00876B70">
      <w:pPr>
        <w:spacing w:before="120" w:after="120" w:line="276" w:lineRule="auto"/>
        <w:ind w:left="720" w:hanging="720"/>
        <w:rPr>
          <w:rFonts w:ascii="Times New Roman" w:hAnsi="Times New Roman" w:cs="Times New Roman"/>
        </w:rPr>
      </w:pPr>
      <w:proofErr w:type="spellStart"/>
      <w:r w:rsidRPr="00D2337F">
        <w:rPr>
          <w:rFonts w:ascii="Times New Roman" w:hAnsi="Times New Roman" w:cs="Times New Roman"/>
        </w:rPr>
        <w:t>Berkouwer</w:t>
      </w:r>
      <w:proofErr w:type="spellEnd"/>
      <w:r w:rsidRPr="00D2337F">
        <w:rPr>
          <w:rFonts w:ascii="Times New Roman" w:hAnsi="Times New Roman" w:cs="Times New Roman"/>
        </w:rPr>
        <w:t>, S. B., &amp; Dean, J. T. (2022). Credit, attention, and externalities in the adoption of energy-efficient technologies by low-income households. American Economic Review, 112(10), 3291–3330. https://doi.org/10.1257/aer.20210766</w:t>
      </w:r>
    </w:p>
    <w:p w14:paraId="3E5A6C81" w14:textId="77777777" w:rsidR="00C177C5" w:rsidRPr="00D2337F" w:rsidRDefault="00000000" w:rsidP="00876B70">
      <w:pPr>
        <w:spacing w:before="120" w:after="120" w:line="276" w:lineRule="auto"/>
        <w:ind w:left="720" w:hanging="720"/>
        <w:rPr>
          <w:rFonts w:ascii="Times New Roman" w:hAnsi="Times New Roman" w:cs="Times New Roman"/>
        </w:rPr>
      </w:pPr>
      <w:r w:rsidRPr="00D2337F">
        <w:rPr>
          <w:rFonts w:ascii="Times New Roman" w:hAnsi="Times New Roman" w:cs="Times New Roman"/>
        </w:rPr>
        <w:t>Energy and Petroleum Regulatory Authority (EPRA). (2023). Retail electricity tariff review for the 2022/23–2025/26 fourth tariff control period. EPRA, Nairobi.</w:t>
      </w:r>
    </w:p>
    <w:p w14:paraId="2E0163CF" w14:textId="77777777" w:rsidR="00C177C5" w:rsidRPr="00D2337F" w:rsidRDefault="00000000" w:rsidP="00876B70">
      <w:pPr>
        <w:spacing w:before="120" w:after="120" w:line="276" w:lineRule="auto"/>
        <w:ind w:left="720" w:hanging="720"/>
        <w:rPr>
          <w:rFonts w:ascii="Times New Roman" w:hAnsi="Times New Roman" w:cs="Times New Roman"/>
        </w:rPr>
      </w:pPr>
      <w:r w:rsidRPr="00D2337F">
        <w:rPr>
          <w:rFonts w:ascii="Times New Roman" w:hAnsi="Times New Roman" w:cs="Times New Roman"/>
        </w:rPr>
        <w:t>International Energy Agency (IEA). (2025). Universal access to clean cooking in Africa: Progress update and roadmap to implementation. IEA, Paris. https://www.iea.org/reports/universal-access-to-clean-cooking-in-africa</w:t>
      </w:r>
    </w:p>
    <w:p w14:paraId="065ED8F7" w14:textId="77777777" w:rsidR="00C177C5" w:rsidRPr="00D2337F" w:rsidRDefault="00000000" w:rsidP="00876B70">
      <w:pPr>
        <w:spacing w:before="120" w:after="120" w:line="276" w:lineRule="auto"/>
        <w:ind w:left="720" w:hanging="720"/>
        <w:rPr>
          <w:rFonts w:ascii="Times New Roman" w:hAnsi="Times New Roman" w:cs="Times New Roman"/>
        </w:rPr>
      </w:pPr>
      <w:r w:rsidRPr="00D2337F">
        <w:rPr>
          <w:rFonts w:ascii="Times New Roman" w:hAnsi="Times New Roman" w:cs="Times New Roman"/>
        </w:rPr>
        <w:t>Leary, J. (2023). MECS controlled cooking test (CCT) protocol. Modern Energy Cooking Services.</w:t>
      </w:r>
    </w:p>
    <w:p w14:paraId="7FB62A42" w14:textId="77777777" w:rsidR="00C177C5" w:rsidRPr="00D2337F" w:rsidRDefault="00000000" w:rsidP="00876B70">
      <w:pPr>
        <w:spacing w:before="120" w:after="120" w:line="276" w:lineRule="auto"/>
        <w:ind w:left="720" w:hanging="720"/>
        <w:rPr>
          <w:rFonts w:ascii="Times New Roman" w:hAnsi="Times New Roman" w:cs="Times New Roman"/>
        </w:rPr>
      </w:pPr>
      <w:r w:rsidRPr="00D2337F">
        <w:rPr>
          <w:rFonts w:ascii="Times New Roman" w:hAnsi="Times New Roman" w:cs="Times New Roman"/>
        </w:rPr>
        <w:t>Ministry of Energy and Petroleum (</w:t>
      </w:r>
      <w:proofErr w:type="spellStart"/>
      <w:r w:rsidRPr="00D2337F">
        <w:rPr>
          <w:rFonts w:ascii="Times New Roman" w:hAnsi="Times New Roman" w:cs="Times New Roman"/>
        </w:rPr>
        <w:t>MoEP</w:t>
      </w:r>
      <w:proofErr w:type="spellEnd"/>
      <w:r w:rsidRPr="00D2337F">
        <w:rPr>
          <w:rFonts w:ascii="Times New Roman" w:hAnsi="Times New Roman" w:cs="Times New Roman"/>
        </w:rPr>
        <w:t>). (2024a). Kenya national cooking transition strategy (KNCTS) 2024–2028. Government of Kenya, Nairobi.</w:t>
      </w:r>
    </w:p>
    <w:p w14:paraId="0A801E77" w14:textId="77777777" w:rsidR="00C177C5" w:rsidRPr="00D2337F" w:rsidRDefault="00000000" w:rsidP="00876B70">
      <w:pPr>
        <w:spacing w:before="120" w:after="120" w:line="276" w:lineRule="auto"/>
        <w:ind w:left="720" w:hanging="720"/>
        <w:rPr>
          <w:rFonts w:ascii="Times New Roman" w:hAnsi="Times New Roman" w:cs="Times New Roman"/>
        </w:rPr>
      </w:pPr>
      <w:r w:rsidRPr="00D2337F">
        <w:rPr>
          <w:rFonts w:ascii="Times New Roman" w:hAnsi="Times New Roman" w:cs="Times New Roman"/>
        </w:rPr>
        <w:t>Ministry of Energy and Petroleum (</w:t>
      </w:r>
      <w:proofErr w:type="spellStart"/>
      <w:r w:rsidRPr="00D2337F">
        <w:rPr>
          <w:rFonts w:ascii="Times New Roman" w:hAnsi="Times New Roman" w:cs="Times New Roman"/>
        </w:rPr>
        <w:t>MoEP</w:t>
      </w:r>
      <w:proofErr w:type="spellEnd"/>
      <w:r w:rsidRPr="00D2337F">
        <w:rPr>
          <w:rFonts w:ascii="Times New Roman" w:hAnsi="Times New Roman" w:cs="Times New Roman"/>
        </w:rPr>
        <w:t xml:space="preserve">). (2024b). Kenya national </w:t>
      </w:r>
      <w:proofErr w:type="spellStart"/>
      <w:r w:rsidRPr="00D2337F">
        <w:rPr>
          <w:rFonts w:ascii="Times New Roman" w:hAnsi="Times New Roman" w:cs="Times New Roman"/>
        </w:rPr>
        <w:t>eCooking</w:t>
      </w:r>
      <w:proofErr w:type="spellEnd"/>
      <w:r w:rsidRPr="00D2337F">
        <w:rPr>
          <w:rFonts w:ascii="Times New Roman" w:hAnsi="Times New Roman" w:cs="Times New Roman"/>
        </w:rPr>
        <w:t xml:space="preserve"> strategy (</w:t>
      </w:r>
      <w:proofErr w:type="spellStart"/>
      <w:r w:rsidRPr="00D2337F">
        <w:rPr>
          <w:rFonts w:ascii="Times New Roman" w:hAnsi="Times New Roman" w:cs="Times New Roman"/>
        </w:rPr>
        <w:t>KNeCS</w:t>
      </w:r>
      <w:proofErr w:type="spellEnd"/>
      <w:r w:rsidRPr="00D2337F">
        <w:rPr>
          <w:rFonts w:ascii="Times New Roman" w:hAnsi="Times New Roman" w:cs="Times New Roman"/>
        </w:rPr>
        <w:t>) 2024–2028. Government of Kenya, Nairobi.</w:t>
      </w:r>
    </w:p>
    <w:p w14:paraId="701D71B3" w14:textId="77777777" w:rsidR="00C177C5" w:rsidRPr="00D2337F" w:rsidRDefault="00000000" w:rsidP="00876B70">
      <w:pPr>
        <w:spacing w:before="120" w:after="120" w:line="276" w:lineRule="auto"/>
        <w:ind w:left="720" w:hanging="720"/>
        <w:rPr>
          <w:rFonts w:ascii="Times New Roman" w:hAnsi="Times New Roman" w:cs="Times New Roman"/>
        </w:rPr>
      </w:pPr>
      <w:r w:rsidRPr="00D2337F">
        <w:rPr>
          <w:rFonts w:ascii="Times New Roman" w:hAnsi="Times New Roman" w:cs="Times New Roman"/>
        </w:rPr>
        <w:t xml:space="preserve">Perros, T., O’Keefe, M., </w:t>
      </w:r>
      <w:proofErr w:type="spellStart"/>
      <w:r w:rsidRPr="00D2337F">
        <w:rPr>
          <w:rFonts w:ascii="Times New Roman" w:hAnsi="Times New Roman" w:cs="Times New Roman"/>
        </w:rPr>
        <w:t>Mwitari</w:t>
      </w:r>
      <w:proofErr w:type="spellEnd"/>
      <w:r w:rsidRPr="00D2337F">
        <w:rPr>
          <w:rFonts w:ascii="Times New Roman" w:hAnsi="Times New Roman" w:cs="Times New Roman"/>
        </w:rPr>
        <w:t xml:space="preserve">, J., </w:t>
      </w:r>
      <w:proofErr w:type="spellStart"/>
      <w:r w:rsidRPr="00D2337F">
        <w:rPr>
          <w:rFonts w:ascii="Times New Roman" w:hAnsi="Times New Roman" w:cs="Times New Roman"/>
        </w:rPr>
        <w:t>Gichane</w:t>
      </w:r>
      <w:proofErr w:type="spellEnd"/>
      <w:r w:rsidRPr="00D2337F">
        <w:rPr>
          <w:rFonts w:ascii="Times New Roman" w:hAnsi="Times New Roman" w:cs="Times New Roman"/>
        </w:rPr>
        <w:t xml:space="preserve">, L., </w:t>
      </w:r>
      <w:proofErr w:type="spellStart"/>
      <w:r w:rsidRPr="00D2337F">
        <w:rPr>
          <w:rFonts w:ascii="Times New Roman" w:hAnsi="Times New Roman" w:cs="Times New Roman"/>
        </w:rPr>
        <w:t>Puzzolo</w:t>
      </w:r>
      <w:proofErr w:type="spellEnd"/>
      <w:r w:rsidRPr="00D2337F">
        <w:rPr>
          <w:rFonts w:ascii="Times New Roman" w:hAnsi="Times New Roman" w:cs="Times New Roman"/>
        </w:rPr>
        <w:t>, E., &amp; Pope, D. (2025). Comparing the financial, energy and time costs of different food and stove combinations in Nairobi using controlled cooking tests and longitudinal fuel price data. UCL Open: Environment. https://doi.org/10.14324/111.444/ucloe.3034</w:t>
      </w:r>
    </w:p>
    <w:p w14:paraId="349FE241" w14:textId="77777777" w:rsidR="00C177C5" w:rsidRPr="00D2337F" w:rsidRDefault="00000000" w:rsidP="00876B70">
      <w:pPr>
        <w:spacing w:before="120" w:after="120" w:line="276" w:lineRule="auto"/>
        <w:ind w:left="720" w:hanging="720"/>
        <w:rPr>
          <w:rFonts w:ascii="Times New Roman" w:hAnsi="Times New Roman" w:cs="Times New Roman"/>
        </w:rPr>
      </w:pPr>
      <w:r w:rsidRPr="00D2337F">
        <w:rPr>
          <w:rFonts w:ascii="Times New Roman" w:hAnsi="Times New Roman" w:cs="Times New Roman"/>
        </w:rPr>
        <w:t>United Nations. (2015). Transforming our world: The 2030 agenda for sustainable development. United Nations.</w:t>
      </w:r>
    </w:p>
    <w:p w14:paraId="74B7A5C3" w14:textId="77777777" w:rsidR="00C177C5" w:rsidRPr="00D2337F" w:rsidRDefault="00000000" w:rsidP="00876B70">
      <w:pPr>
        <w:spacing w:before="120" w:after="120" w:line="276" w:lineRule="auto"/>
        <w:ind w:left="720" w:hanging="720"/>
        <w:rPr>
          <w:rFonts w:ascii="Times New Roman" w:hAnsi="Times New Roman" w:cs="Times New Roman"/>
        </w:rPr>
      </w:pPr>
      <w:r w:rsidRPr="00D2337F">
        <w:rPr>
          <w:rFonts w:ascii="Times New Roman" w:hAnsi="Times New Roman" w:cs="Times New Roman"/>
        </w:rPr>
        <w:t>World Health Organization (WHO). (2023). Household air pollution and health. WHO, Geneva.</w:t>
      </w:r>
    </w:p>
    <w:sectPr w:rsidR="00C177C5" w:rsidRPr="00D2337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77188" w14:textId="77777777" w:rsidR="0053652C" w:rsidRDefault="0053652C">
      <w:r>
        <w:separator/>
      </w:r>
    </w:p>
  </w:endnote>
  <w:endnote w:type="continuationSeparator" w:id="0">
    <w:p w14:paraId="118A01D7" w14:textId="77777777" w:rsidR="0053652C" w:rsidRDefault="00536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91D6" w14:textId="4CFF0C76" w:rsidR="00C177C5" w:rsidRDefault="00C177C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1F586" w14:textId="77777777" w:rsidR="0053652C" w:rsidRDefault="0053652C">
      <w:r>
        <w:separator/>
      </w:r>
    </w:p>
  </w:footnote>
  <w:footnote w:type="continuationSeparator" w:id="0">
    <w:p w14:paraId="6E02A476" w14:textId="77777777" w:rsidR="0053652C" w:rsidRDefault="005365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C5F46"/>
    <w:multiLevelType w:val="hybridMultilevel"/>
    <w:tmpl w:val="B8B0C9DA"/>
    <w:lvl w:ilvl="0" w:tplc="5AEA6018">
      <w:start w:val="1"/>
      <w:numFmt w:val="bullet"/>
      <w:lvlText w:val="●"/>
      <w:lvlJc w:val="left"/>
      <w:pPr>
        <w:ind w:left="720" w:hanging="360"/>
      </w:pPr>
    </w:lvl>
    <w:lvl w:ilvl="1" w:tplc="0DE09F7C">
      <w:start w:val="1"/>
      <w:numFmt w:val="bullet"/>
      <w:lvlText w:val="○"/>
      <w:lvlJc w:val="left"/>
      <w:pPr>
        <w:ind w:left="1440" w:hanging="360"/>
      </w:pPr>
    </w:lvl>
    <w:lvl w:ilvl="2" w:tplc="F61C3D16">
      <w:start w:val="1"/>
      <w:numFmt w:val="bullet"/>
      <w:lvlText w:val="■"/>
      <w:lvlJc w:val="left"/>
      <w:pPr>
        <w:ind w:left="2160" w:hanging="360"/>
      </w:pPr>
    </w:lvl>
    <w:lvl w:ilvl="3" w:tplc="D1182132">
      <w:start w:val="1"/>
      <w:numFmt w:val="bullet"/>
      <w:lvlText w:val="●"/>
      <w:lvlJc w:val="left"/>
      <w:pPr>
        <w:ind w:left="2880" w:hanging="360"/>
      </w:pPr>
    </w:lvl>
    <w:lvl w:ilvl="4" w:tplc="04F8149C">
      <w:start w:val="1"/>
      <w:numFmt w:val="bullet"/>
      <w:lvlText w:val="○"/>
      <w:lvlJc w:val="left"/>
      <w:pPr>
        <w:ind w:left="3600" w:hanging="360"/>
      </w:pPr>
    </w:lvl>
    <w:lvl w:ilvl="5" w:tplc="08CE0638">
      <w:start w:val="1"/>
      <w:numFmt w:val="bullet"/>
      <w:lvlText w:val="■"/>
      <w:lvlJc w:val="left"/>
      <w:pPr>
        <w:ind w:left="4320" w:hanging="360"/>
      </w:pPr>
    </w:lvl>
    <w:lvl w:ilvl="6" w:tplc="E9621342">
      <w:start w:val="1"/>
      <w:numFmt w:val="bullet"/>
      <w:lvlText w:val="●"/>
      <w:lvlJc w:val="left"/>
      <w:pPr>
        <w:ind w:left="5040" w:hanging="360"/>
      </w:pPr>
    </w:lvl>
    <w:lvl w:ilvl="7" w:tplc="369C888E">
      <w:start w:val="1"/>
      <w:numFmt w:val="bullet"/>
      <w:lvlText w:val="●"/>
      <w:lvlJc w:val="left"/>
      <w:pPr>
        <w:ind w:left="5760" w:hanging="360"/>
      </w:pPr>
    </w:lvl>
    <w:lvl w:ilvl="8" w:tplc="2F32019A">
      <w:start w:val="1"/>
      <w:numFmt w:val="bullet"/>
      <w:lvlText w:val="●"/>
      <w:lvlJc w:val="left"/>
      <w:pPr>
        <w:ind w:left="6480" w:hanging="360"/>
      </w:pPr>
    </w:lvl>
  </w:abstractNum>
  <w:num w:numId="1" w16cid:durableId="2119331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7C5"/>
    <w:rsid w:val="004932A2"/>
    <w:rsid w:val="004E0C55"/>
    <w:rsid w:val="00512AFA"/>
    <w:rsid w:val="0053652C"/>
    <w:rsid w:val="00876B70"/>
    <w:rsid w:val="008839AF"/>
    <w:rsid w:val="00A37EF8"/>
    <w:rsid w:val="00A70633"/>
    <w:rsid w:val="00C177C5"/>
    <w:rsid w:val="00D2337F"/>
    <w:rsid w:val="00D7031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7EEA3"/>
  <w15:docId w15:val="{1DB95F61-3EEA-47BA-82DC-2D87BFE77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0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337F"/>
    <w:pPr>
      <w:tabs>
        <w:tab w:val="center" w:pos="4513"/>
        <w:tab w:val="right" w:pos="9026"/>
      </w:tabs>
    </w:pPr>
  </w:style>
  <w:style w:type="character" w:customStyle="1" w:styleId="HeaderChar">
    <w:name w:val="Header Char"/>
    <w:basedOn w:val="DefaultParagraphFont"/>
    <w:link w:val="Header"/>
    <w:uiPriority w:val="99"/>
    <w:rsid w:val="00D2337F"/>
  </w:style>
  <w:style w:type="paragraph" w:styleId="Footer">
    <w:name w:val="footer"/>
    <w:basedOn w:val="Normal"/>
    <w:link w:val="FooterChar"/>
    <w:uiPriority w:val="99"/>
    <w:unhideWhenUsed/>
    <w:rsid w:val="00D2337F"/>
    <w:pPr>
      <w:tabs>
        <w:tab w:val="center" w:pos="4513"/>
        <w:tab w:val="right" w:pos="9026"/>
      </w:tabs>
    </w:pPr>
  </w:style>
  <w:style w:type="character" w:customStyle="1" w:styleId="FooterChar">
    <w:name w:val="Footer Char"/>
    <w:basedOn w:val="DefaultParagraphFont"/>
    <w:link w:val="Footer"/>
    <w:uiPriority w:val="99"/>
    <w:rsid w:val="00D23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Capstone</dc:creator>
  <cp:lastModifiedBy>Neema Oribo</cp:lastModifiedBy>
  <cp:revision>2</cp:revision>
  <dcterms:created xsi:type="dcterms:W3CDTF">2026-06-19T16:56:00Z</dcterms:created>
  <dcterms:modified xsi:type="dcterms:W3CDTF">2026-06-19T16:56:00Z</dcterms:modified>
</cp:coreProperties>
</file>