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CEB6" w14:textId="2E2E59BE" w:rsidR="00C77CB1" w:rsidRPr="00123430" w:rsidRDefault="000D32FD">
      <w:pPr>
        <w:rPr>
          <w:b/>
          <w:bCs/>
        </w:rPr>
      </w:pPr>
      <w:r w:rsidRPr="00123430">
        <w:rPr>
          <w:b/>
          <w:bCs/>
        </w:rPr>
        <w:t>Capstone Assumptions</w:t>
      </w:r>
    </w:p>
    <w:p w14:paraId="0FA9795F" w14:textId="77777777" w:rsidR="000D32FD" w:rsidRPr="00123430" w:rsidRDefault="000D32FD" w:rsidP="00123430">
      <w:pPr>
        <w:pStyle w:val="ListParagraph"/>
        <w:numPr>
          <w:ilvl w:val="0"/>
          <w:numId w:val="1"/>
        </w:numPr>
        <w:rPr>
          <w:lang w:val="en-KE"/>
        </w:rPr>
      </w:pPr>
      <w:r w:rsidRPr="00123430">
        <w:rPr>
          <w:i/>
          <w:iCs/>
          <w:lang w:val="en-KE"/>
        </w:rPr>
        <w:t>Design rules: prices live only in the parameter file; untested combinations are refused; the interface performs no arithmetic; every output traces to a measured CCT value or a dated price.</w:t>
      </w:r>
    </w:p>
    <w:p w14:paraId="7B5BE7A1" w14:textId="7964C1F9" w:rsidR="000D32FD" w:rsidRDefault="000D32FD" w:rsidP="00123430">
      <w:pPr>
        <w:pStyle w:val="ListParagraph"/>
        <w:numPr>
          <w:ilvl w:val="0"/>
          <w:numId w:val="1"/>
        </w:numPr>
      </w:pPr>
      <w:r>
        <w:t>Portion scaling</w:t>
      </w:r>
    </w:p>
    <w:p w14:paraId="22118A52" w14:textId="44B75BCE" w:rsidR="000D32FD" w:rsidRDefault="000D32FD" w:rsidP="00123430">
      <w:pPr>
        <w:pStyle w:val="ListParagraph"/>
        <w:numPr>
          <w:ilvl w:val="0"/>
          <w:numId w:val="1"/>
        </w:numPr>
      </w:pPr>
      <w:r>
        <w:t>Tarrif</w:t>
      </w:r>
      <w:r w:rsidR="00123430">
        <w:t>f</w:t>
      </w:r>
      <w:r>
        <w:t xml:space="preserve"> band interaction</w:t>
      </w:r>
    </w:p>
    <w:p w14:paraId="011F48A6" w14:textId="2204FA32" w:rsidR="00FA2649" w:rsidRDefault="00FA2649" w:rsidP="00FA2649">
      <w:r>
        <w:t>Data files</w:t>
      </w:r>
    </w:p>
    <w:p w14:paraId="70203797" w14:textId="77777777" w:rsidR="00FA2649" w:rsidRPr="00FA2649" w:rsidRDefault="00FA2649" w:rsidP="00FA2649">
      <w:pPr>
        <w:rPr>
          <w:lang w:val="en-KE"/>
        </w:rPr>
      </w:pPr>
      <w:r w:rsidRPr="00FA2649">
        <w:rPr>
          <w:b/>
          <w:bCs/>
          <w:lang w:val="en-KE"/>
        </w:rPr>
        <w:t>cct_lookup.csv</w:t>
      </w:r>
      <w:r w:rsidRPr="00FA2649">
        <w:rPr>
          <w:lang w:val="en-KE"/>
        </w:rPr>
        <w:t xml:space="preserve"> — 46 appliance–dish records, each with fuel type, food weight, fuel mass (non-electric), energy in kWh, cooking time in minutes, number of tests, ease-of-use and taste scores, and a notes column recording every correction applied to that row.</w:t>
      </w:r>
    </w:p>
    <w:p w14:paraId="1F01838F" w14:textId="77777777" w:rsidR="00FA2649" w:rsidRPr="00FA2649" w:rsidRDefault="00FA2649" w:rsidP="00FA2649">
      <w:pPr>
        <w:rPr>
          <w:lang w:val="en-KE"/>
        </w:rPr>
      </w:pPr>
      <w:r w:rsidRPr="00FA2649">
        <w:rPr>
          <w:b/>
          <w:bCs/>
          <w:lang w:val="en-KE"/>
        </w:rPr>
        <w:t>clean_cct_data.py</w:t>
      </w:r>
      <w:r w:rsidRPr="00FA2649">
        <w:rPr>
          <w:lang w:val="en-KE"/>
        </w:rPr>
        <w:t xml:space="preserve"> — the cleaning script, which is also your provenance record. Key decisions it encodes: all kWh-equivalents for fuel appliances are recomputed from raw fuel mass × calorific value (the stored column had errors up to 14×); all times are recomputed from start/end timestamps, resolving the contradictory time columns; the ethanol–chips 1015 g outlier is excluded per the study's own &gt;15% divergence protocol; and rows where energy tests still diverge &gt;15% carry a caution flag.</w:t>
      </w:r>
    </w:p>
    <w:p w14:paraId="1820C76A" w14:textId="77777777" w:rsidR="00FA2649" w:rsidRPr="00FA2649" w:rsidRDefault="00FA2649" w:rsidP="00FA2649">
      <w:pPr>
        <w:rPr>
          <w:lang w:val="en-KE"/>
        </w:rPr>
      </w:pPr>
      <w:r w:rsidRPr="00FA2649">
        <w:rPr>
          <w:lang w:val="en-KE"/>
        </w:rPr>
        <w:t>Spot-checks against the report: beans (EPC 0.32, induction 0.82, charcoal 3.94), rice–ethanol now 0.43 instead of 6.117, beef–ICS now 2.09 instead of 13.28, induction–chapati 0.025 matching the report's 0.03.</w:t>
      </w:r>
    </w:p>
    <w:p w14:paraId="3C8EE568" w14:textId="77777777" w:rsidR="00FA2649" w:rsidRDefault="00FA2649" w:rsidP="00FA2649">
      <w:pPr>
        <w:rPr>
          <w:lang w:val="en-KE"/>
        </w:rPr>
      </w:pPr>
      <w:r w:rsidRPr="00FA2649">
        <w:rPr>
          <w:lang w:val="en-KE"/>
        </w:rPr>
        <w:t xml:space="preserve">One item needs your judgment before the engine uses it: </w:t>
      </w:r>
      <w:r w:rsidRPr="00FA2649">
        <w:rPr>
          <w:b/>
          <w:bCs/>
          <w:lang w:val="en-KE"/>
        </w:rPr>
        <w:t>chapati–LPG is flagged REVIEW</w:t>
      </w:r>
      <w:r w:rsidRPr="00FA2649">
        <w:rPr>
          <w:lang w:val="en-KE"/>
        </w:rPr>
        <w:t xml:space="preserve"> — 161 g of gas recorded where every other fuel used 20–30 g. It's in the raw data and reproduced in the </w:t>
      </w:r>
      <w:proofErr w:type="spellStart"/>
      <w:r w:rsidRPr="00FA2649">
        <w:rPr>
          <w:lang w:val="en-KE"/>
        </w:rPr>
        <w:t>eCAP</w:t>
      </w:r>
      <w:proofErr w:type="spellEnd"/>
      <w:r w:rsidRPr="00FA2649">
        <w:rPr>
          <w:lang w:val="en-KE"/>
        </w:rPr>
        <w:t xml:space="preserve"> report, but it's almost certainly a transcription error (possibly cylinder weight difference </w:t>
      </w:r>
      <w:proofErr w:type="spellStart"/>
      <w:r w:rsidRPr="00FA2649">
        <w:rPr>
          <w:lang w:val="en-KE"/>
        </w:rPr>
        <w:t>misrecorded</w:t>
      </w:r>
      <w:proofErr w:type="spellEnd"/>
      <w:r w:rsidRPr="00FA2649">
        <w:rPr>
          <w:lang w:val="en-KE"/>
        </w:rPr>
        <w:t>). I kept it as recorded rather than guessing a correction; if you can check the original field sheets, fix it at the source and rerun the script.</w:t>
      </w:r>
    </w:p>
    <w:p w14:paraId="2D7D975C" w14:textId="77777777" w:rsidR="00FA2649" w:rsidRDefault="00FA2649" w:rsidP="00FA2649">
      <w:pPr>
        <w:rPr>
          <w:lang w:val="en-KE"/>
        </w:rPr>
      </w:pPr>
    </w:p>
    <w:p w14:paraId="0050442A" w14:textId="77777777" w:rsidR="00FA2649" w:rsidRPr="00FA2649" w:rsidRDefault="00FA2649" w:rsidP="00FA2649">
      <w:pPr>
        <w:rPr>
          <w:lang w:val="en-KE"/>
        </w:rPr>
      </w:pPr>
      <w:r w:rsidRPr="00FA2649">
        <w:rPr>
          <w:b/>
          <w:bCs/>
          <w:lang w:val="en-KE"/>
        </w:rPr>
        <w:t>parameters.csv</w:t>
      </w:r>
      <w:r w:rsidRPr="00FA2649">
        <w:rPr>
          <w:lang w:val="en-KE"/>
        </w:rPr>
        <w:t xml:space="preserve"> — every value carries source, as-of date, and a status flag: verified (checked against current EPRA/KPLC publications), </w:t>
      </w:r>
      <w:proofErr w:type="spellStart"/>
      <w:r w:rsidRPr="00FA2649">
        <w:rPr>
          <w:lang w:val="en-KE"/>
        </w:rPr>
        <w:t>monthly_update</w:t>
      </w:r>
      <w:proofErr w:type="spellEnd"/>
      <w:r w:rsidRPr="00FA2649">
        <w:rPr>
          <w:lang w:val="en-KE"/>
        </w:rPr>
        <w:t xml:space="preserve"> (the pass-through charges EPRA gazettes each month), </w:t>
      </w:r>
      <w:proofErr w:type="spellStart"/>
      <w:r w:rsidRPr="00FA2649">
        <w:rPr>
          <w:lang w:val="en-KE"/>
        </w:rPr>
        <w:t>update_locally</w:t>
      </w:r>
      <w:proofErr w:type="spellEnd"/>
      <w:r w:rsidRPr="00FA2649">
        <w:rPr>
          <w:lang w:val="en-KE"/>
        </w:rPr>
        <w:t xml:space="preserve"> (retail prices you or a field agent must survey), and fixed (physical constants). Key current values: base tariffs are still the 2023 schedule — lifeline 12.23, ordinary 16.45, high 19.08 </w:t>
      </w:r>
      <w:proofErr w:type="spellStart"/>
      <w:r w:rsidRPr="00FA2649">
        <w:rPr>
          <w:lang w:val="en-KE"/>
        </w:rPr>
        <w:t>KSh</w:t>
      </w:r>
      <w:proofErr w:type="spellEnd"/>
      <w:r w:rsidRPr="00FA2649">
        <w:rPr>
          <w:lang w:val="en-KE"/>
        </w:rPr>
        <w:t>/kWh — because KPLC withdrew its proposed 2026–2029 tariff hike in June, and the government froze the base rates. June 2026 pass-throughs: FECC 3.14, forex 0.7154, WRMA 0.0142.</w:t>
      </w:r>
    </w:p>
    <w:p w14:paraId="22539DAE" w14:textId="77777777" w:rsidR="00FA2649" w:rsidRDefault="00FA2649" w:rsidP="00FA2649">
      <w:pPr>
        <w:rPr>
          <w:lang w:val="en-KE"/>
        </w:rPr>
      </w:pPr>
      <w:r w:rsidRPr="00FA2649">
        <w:rPr>
          <w:b/>
          <w:bCs/>
          <w:lang w:val="en-KE"/>
        </w:rPr>
        <w:t>tariff.py</w:t>
      </w:r>
      <w:r w:rsidRPr="00FA2649">
        <w:rPr>
          <w:lang w:val="en-KE"/>
        </w:rPr>
        <w:t xml:space="preserve"> — computes the effective all-in cost per kWh (base + pass-throughs, VAT, REP and regulatory levies). With June 2026 charges: lifeline ≈ 19.31, ordinary ≈ 24.42, high ≈ 27.60 </w:t>
      </w:r>
      <w:proofErr w:type="spellStart"/>
      <w:r w:rsidRPr="00FA2649">
        <w:rPr>
          <w:lang w:val="en-KE"/>
        </w:rPr>
        <w:t>KSh</w:t>
      </w:r>
      <w:proofErr w:type="spellEnd"/>
      <w:r w:rsidRPr="00FA2649">
        <w:rPr>
          <w:lang w:val="en-KE"/>
        </w:rPr>
        <w:t xml:space="preserve">/kWh. Note these are well below the 22.84/27.78 the </w:t>
      </w:r>
      <w:proofErr w:type="spellStart"/>
      <w:r w:rsidRPr="00FA2649">
        <w:rPr>
          <w:lang w:val="en-KE"/>
        </w:rPr>
        <w:t>eCAP</w:t>
      </w:r>
      <w:proofErr w:type="spellEnd"/>
      <w:r w:rsidRPr="00FA2649">
        <w:rPr>
          <w:lang w:val="en-KE"/>
        </w:rPr>
        <w:t xml:space="preserve"> report used in </w:t>
      </w:r>
      <w:r w:rsidRPr="00FA2649">
        <w:rPr>
          <w:lang w:val="en-KE"/>
        </w:rPr>
        <w:lastRenderedPageBreak/>
        <w:t xml:space="preserve">October 2023 — electricity has gotten cheaper relative to that baseline, which strengthens the </w:t>
      </w:r>
      <w:proofErr w:type="spellStart"/>
      <w:r w:rsidRPr="00FA2649">
        <w:rPr>
          <w:lang w:val="en-KE"/>
        </w:rPr>
        <w:t>eCooking</w:t>
      </w:r>
      <w:proofErr w:type="spellEnd"/>
      <w:r w:rsidRPr="00FA2649">
        <w:rPr>
          <w:lang w:val="en-KE"/>
        </w:rPr>
        <w:t xml:space="preserve"> savings case and is worth a sentence in your report.</w:t>
      </w:r>
    </w:p>
    <w:p w14:paraId="2A8961BA" w14:textId="77777777" w:rsidR="00FA2649" w:rsidRPr="00FA2649" w:rsidRDefault="00FA2649" w:rsidP="00FA2649">
      <w:pPr>
        <w:rPr>
          <w:lang w:val="en-KE"/>
        </w:rPr>
      </w:pPr>
      <w:r w:rsidRPr="00FA2649">
        <w:rPr>
          <w:b/>
          <w:bCs/>
          <w:lang w:val="en-KE"/>
        </w:rPr>
        <w:t>The structural finding:</w:t>
      </w:r>
      <w:r w:rsidRPr="00FA2649">
        <w:rPr>
          <w:lang w:val="en-KE"/>
        </w:rPr>
        <w:t xml:space="preserve"> there's now a </w:t>
      </w:r>
      <w:r w:rsidRPr="00FA2649">
        <w:rPr>
          <w:i/>
          <w:iCs/>
          <w:lang w:val="en-KE"/>
        </w:rPr>
        <w:t>third</w:t>
      </w:r>
      <w:r w:rsidRPr="00FA2649">
        <w:rPr>
          <w:lang w:val="en-KE"/>
        </w:rPr>
        <w:t xml:space="preserve"> domestic band (&gt;100 kWh at 19.08 base) that didn't feature in the </w:t>
      </w:r>
      <w:proofErr w:type="spellStart"/>
      <w:r w:rsidRPr="00FA2649">
        <w:rPr>
          <w:lang w:val="en-KE"/>
        </w:rPr>
        <w:t>eCAP</w:t>
      </w:r>
      <w:proofErr w:type="spellEnd"/>
      <w:r w:rsidRPr="00FA2649">
        <w:rPr>
          <w:lang w:val="en-KE"/>
        </w:rPr>
        <w:t xml:space="preserve"> analysis, and bands are assigned on 3-month average consumption — the whole bill repriced, not tiered. tariff.py therefore computes the band from total projected consumption rather than accepting the user's current band, which handles the case </w:t>
      </w:r>
      <w:proofErr w:type="gramStart"/>
      <w:r w:rsidRPr="00FA2649">
        <w:rPr>
          <w:lang w:val="en-KE"/>
        </w:rPr>
        <w:t>where</w:t>
      </w:r>
      <w:proofErr w:type="gramEnd"/>
      <w:r w:rsidRPr="00FA2649">
        <w:rPr>
          <w:lang w:val="en-KE"/>
        </w:rPr>
        <w:t xml:space="preserve"> adding </w:t>
      </w:r>
      <w:proofErr w:type="spellStart"/>
      <w:r w:rsidRPr="00FA2649">
        <w:rPr>
          <w:lang w:val="en-KE"/>
        </w:rPr>
        <w:t>eCooking</w:t>
      </w:r>
      <w:proofErr w:type="spellEnd"/>
      <w:r w:rsidRPr="00FA2649">
        <w:rPr>
          <w:lang w:val="en-KE"/>
        </w:rPr>
        <w:t xml:space="preserve"> pushes a household across a threshold. That's the Step 4 tariff-interaction logic, already done.</w:t>
      </w:r>
    </w:p>
    <w:p w14:paraId="7376E818" w14:textId="77777777" w:rsidR="00FA2649" w:rsidRPr="00FA2649" w:rsidRDefault="00FA2649" w:rsidP="00FA2649">
      <w:pPr>
        <w:rPr>
          <w:lang w:val="en-KE"/>
        </w:rPr>
      </w:pPr>
      <w:r w:rsidRPr="00FA2649">
        <w:rPr>
          <w:lang w:val="en-KE"/>
        </w:rPr>
        <w:t xml:space="preserve">Three things to update before validation: charcoal and ethanol prices are still 2023 values (flagged STALE — no current verified source; survey locally or check </w:t>
      </w:r>
      <w:proofErr w:type="spellStart"/>
      <w:r w:rsidRPr="00FA2649">
        <w:rPr>
          <w:lang w:val="en-KE"/>
        </w:rPr>
        <w:t>KOKO's</w:t>
      </w:r>
      <w:proofErr w:type="spellEnd"/>
      <w:r w:rsidRPr="00FA2649">
        <w:rPr>
          <w:lang w:val="en-KE"/>
        </w:rPr>
        <w:t xml:space="preserve"> current point price), the LPG figure is a Nairobi mid-range with a huge dealer spread (2,700–3,510 per 13 kg refill), and </w:t>
      </w:r>
      <w:proofErr w:type="spellStart"/>
      <w:r w:rsidRPr="00FA2649">
        <w:rPr>
          <w:lang w:val="en-KE"/>
        </w:rPr>
        <w:t>EPRA's</w:t>
      </w:r>
      <w:proofErr w:type="spellEnd"/>
      <w:r w:rsidRPr="00FA2649">
        <w:rPr>
          <w:lang w:val="en-KE"/>
        </w:rPr>
        <w:t xml:space="preserve"> July pump price review lands 14 July, which will move kerosene.</w:t>
      </w:r>
    </w:p>
    <w:p w14:paraId="673A18A0" w14:textId="77777777" w:rsidR="00FA2649" w:rsidRPr="00FA2649" w:rsidRDefault="00FA2649" w:rsidP="00FA2649">
      <w:pPr>
        <w:rPr>
          <w:lang w:val="en-KE"/>
        </w:rPr>
      </w:pPr>
    </w:p>
    <w:p w14:paraId="015D1E65" w14:textId="77777777" w:rsidR="00FA2649" w:rsidRPr="00FA2649" w:rsidRDefault="00FA2649" w:rsidP="00FA2649">
      <w:pPr>
        <w:rPr>
          <w:lang w:val="en-KE"/>
        </w:rPr>
      </w:pPr>
    </w:p>
    <w:p w14:paraId="5DC7A7DF" w14:textId="77777777" w:rsidR="00FA2649" w:rsidRDefault="00FA2649" w:rsidP="00FA2649"/>
    <w:sectPr w:rsidR="00FA2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41815"/>
    <w:multiLevelType w:val="hybridMultilevel"/>
    <w:tmpl w:val="311668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6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FD"/>
    <w:rsid w:val="000D32FD"/>
    <w:rsid w:val="00123430"/>
    <w:rsid w:val="00281F54"/>
    <w:rsid w:val="00756CC9"/>
    <w:rsid w:val="009F6662"/>
    <w:rsid w:val="00C77CB1"/>
    <w:rsid w:val="00D72760"/>
    <w:rsid w:val="00FA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CBD9"/>
  <w15:chartTrackingRefBased/>
  <w15:docId w15:val="{F9DF2CC6-2CBD-4954-B6A6-FE1B127C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2</Pages>
  <Words>524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Neema Oribo</dc:creator>
  <cp:keywords/>
  <dc:description/>
  <cp:lastModifiedBy>Neema Oribo</cp:lastModifiedBy>
  <cp:revision>2</cp:revision>
  <dcterms:created xsi:type="dcterms:W3CDTF">2026-07-15T14:31:00Z</dcterms:created>
  <dcterms:modified xsi:type="dcterms:W3CDTF">2026-07-16T15:33:00Z</dcterms:modified>
</cp:coreProperties>
</file>