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5A95" w14:textId="5D6A06A4" w:rsidR="00810697" w:rsidRPr="0071447B" w:rsidRDefault="00F53D93">
      <w:pPr>
        <w:rPr>
          <w:rFonts w:ascii="Times New Roman" w:hAnsi="Times New Roman" w:cs="Times New Roman"/>
          <w:b/>
          <w:bCs/>
        </w:rPr>
      </w:pPr>
      <w:r w:rsidRPr="0071447B">
        <w:rPr>
          <w:rFonts w:ascii="Times New Roman" w:hAnsi="Times New Roman" w:cs="Times New Roman"/>
          <w:b/>
          <w:bCs/>
        </w:rPr>
        <w:t>Subalpine fir – Engelmann spruce mortality</w:t>
      </w:r>
      <w:r w:rsidR="00A948E4">
        <w:rPr>
          <w:rFonts w:ascii="Times New Roman" w:hAnsi="Times New Roman" w:cs="Times New Roman"/>
          <w:b/>
          <w:bCs/>
        </w:rPr>
        <w:t>/regeneration</w:t>
      </w:r>
      <w:r w:rsidRPr="0071447B">
        <w:rPr>
          <w:rFonts w:ascii="Times New Roman" w:hAnsi="Times New Roman" w:cs="Times New Roman"/>
          <w:b/>
          <w:bCs/>
        </w:rPr>
        <w:t xml:space="preserve"> analysis</w:t>
      </w:r>
    </w:p>
    <w:p w14:paraId="4674B2D6" w14:textId="24C3A4DF" w:rsidR="00F53D93" w:rsidRPr="0071447B" w:rsidRDefault="00F53D93">
      <w:pPr>
        <w:rPr>
          <w:rFonts w:ascii="Times New Roman" w:hAnsi="Times New Roman" w:cs="Times New Roman"/>
          <w:i/>
          <w:iCs/>
        </w:rPr>
      </w:pPr>
      <w:r w:rsidRPr="0071447B">
        <w:rPr>
          <w:rFonts w:ascii="Times New Roman" w:hAnsi="Times New Roman" w:cs="Times New Roman"/>
          <w:i/>
          <w:iCs/>
        </w:rPr>
        <w:t>Interactions between climate change and forest disturbance drive disassembly of subalpine forest communities</w:t>
      </w:r>
    </w:p>
    <w:p w14:paraId="0DEC9EE4" w14:textId="222F5779" w:rsidR="00F53D93" w:rsidRPr="0071447B" w:rsidRDefault="00A948E4" w:rsidP="0071447B">
      <w:pPr>
        <w:rPr>
          <w:rFonts w:ascii="Times New Roman" w:hAnsi="Times New Roman" w:cs="Times New Roman"/>
          <w:i/>
          <w:iCs/>
        </w:rPr>
      </w:pPr>
      <w:r>
        <w:rPr>
          <w:rFonts w:ascii="Times New Roman" w:hAnsi="Times New Roman" w:cs="Times New Roman"/>
          <w:i/>
          <w:iCs/>
        </w:rPr>
        <w:t>Demographic mechanisms of coexistence are vulnerable to climate-disturbance interactions</w:t>
      </w:r>
    </w:p>
    <w:p w14:paraId="64EEB698" w14:textId="77777777" w:rsidR="00F53D93" w:rsidRDefault="00F53D93">
      <w:pPr>
        <w:rPr>
          <w:rFonts w:ascii="Times New Roman" w:hAnsi="Times New Roman" w:cs="Times New Roman"/>
          <w:i/>
          <w:iCs/>
        </w:rPr>
      </w:pPr>
    </w:p>
    <w:p w14:paraId="2582F376" w14:textId="4AA3837C" w:rsidR="00A154A6" w:rsidRPr="00A154A6" w:rsidRDefault="00A154A6">
      <w:pPr>
        <w:rPr>
          <w:rFonts w:ascii="Times New Roman" w:hAnsi="Times New Roman" w:cs="Times New Roman"/>
        </w:rPr>
      </w:pPr>
      <w:r>
        <w:rPr>
          <w:rFonts w:ascii="Times New Roman" w:hAnsi="Times New Roman" w:cs="Times New Roman"/>
        </w:rPr>
        <w:t>Daniel L. Perret, David M. Bell, Andrew N. Gray, Harold S. J. Zald (+ others?)</w:t>
      </w:r>
    </w:p>
    <w:p w14:paraId="5BD9973D" w14:textId="16BB1A42" w:rsidR="00A154A6" w:rsidRPr="00A154A6" w:rsidRDefault="00DA06FD">
      <w:pPr>
        <w:rPr>
          <w:rFonts w:ascii="Times New Roman" w:hAnsi="Times New Roman" w:cs="Times New Roman"/>
        </w:rPr>
      </w:pPr>
      <w:r>
        <w:rPr>
          <w:rFonts w:ascii="Times New Roman" w:hAnsi="Times New Roman" w:cs="Times New Roman"/>
        </w:rPr>
        <w:t>TESTING GIT SET</w:t>
      </w:r>
    </w:p>
    <w:p w14:paraId="7AC9300B" w14:textId="4AACB737" w:rsidR="0071447B" w:rsidRPr="0071447B" w:rsidRDefault="00F53D93">
      <w:pPr>
        <w:rPr>
          <w:rFonts w:ascii="Times New Roman" w:hAnsi="Times New Roman" w:cs="Times New Roman"/>
          <w:b/>
          <w:bCs/>
        </w:rPr>
      </w:pPr>
      <w:r w:rsidRPr="0071447B">
        <w:rPr>
          <w:rFonts w:ascii="Times New Roman" w:hAnsi="Times New Roman" w:cs="Times New Roman"/>
          <w:b/>
          <w:bCs/>
        </w:rPr>
        <w:t>Context</w:t>
      </w:r>
    </w:p>
    <w:p w14:paraId="5F11A9C5" w14:textId="7637505C" w:rsidR="00B84003" w:rsidRDefault="0071447B" w:rsidP="00B84003">
      <w:pPr>
        <w:ind w:firstLine="720"/>
        <w:rPr>
          <w:rFonts w:ascii="Times New Roman" w:hAnsi="Times New Roman" w:cs="Times New Roman"/>
        </w:rPr>
      </w:pPr>
      <w:r w:rsidRPr="0071447B">
        <w:rPr>
          <w:rFonts w:ascii="Times New Roman" w:hAnsi="Times New Roman" w:cs="Times New Roman"/>
        </w:rPr>
        <w:t>Our subalpine fir status and trends paper suggested that the future trajectories of subalpine forest communities may depend on interspecific variation in responses to climate change, nondiscriminant forest disturbances (</w:t>
      </w:r>
      <w:r w:rsidRPr="0071447B">
        <w:rPr>
          <w:rFonts w:ascii="Times New Roman" w:hAnsi="Times New Roman" w:cs="Times New Roman"/>
          <w:i/>
          <w:iCs/>
        </w:rPr>
        <w:t>e.g.,</w:t>
      </w:r>
      <w:r w:rsidRPr="0071447B">
        <w:rPr>
          <w:rFonts w:ascii="Times New Roman" w:hAnsi="Times New Roman" w:cs="Times New Roman"/>
        </w:rPr>
        <w:t>fire), and host-specific forest disturbances (</w:t>
      </w:r>
      <w:r w:rsidRPr="0071447B">
        <w:rPr>
          <w:rFonts w:ascii="Times New Roman" w:hAnsi="Times New Roman" w:cs="Times New Roman"/>
          <w:i/>
          <w:iCs/>
        </w:rPr>
        <w:t>e.g.,</w:t>
      </w:r>
      <w:r w:rsidRPr="0071447B">
        <w:rPr>
          <w:rFonts w:ascii="Times New Roman" w:hAnsi="Times New Roman" w:cs="Times New Roman"/>
        </w:rPr>
        <w:t xml:space="preserve"> biological disturbance agents, BDAs</w:t>
      </w:r>
      <w:r w:rsidR="00A948E4">
        <w:rPr>
          <w:rFonts w:ascii="Times New Roman" w:hAnsi="Times New Roman" w:cs="Times New Roman"/>
        </w:rPr>
        <w:fldChar w:fldCharType="begin" w:fldLock="1"/>
      </w:r>
      <w:r w:rsidR="00A948E4">
        <w:rPr>
          <w:rFonts w:ascii="Times New Roman" w:hAnsi="Times New Roman" w:cs="Times New Roman"/>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00A948E4">
        <w:rPr>
          <w:rFonts w:ascii="Times New Roman" w:hAnsi="Times New Roman" w:cs="Times New Roman"/>
        </w:rPr>
        <w:fldChar w:fldCharType="separate"/>
      </w:r>
      <w:r w:rsidR="00A948E4">
        <w:rPr>
          <w:rFonts w:ascii="Times New Roman" w:hAnsi="Times New Roman" w:cs="Times New Roman"/>
          <w:noProof/>
        </w:rPr>
        <w:t xml:space="preserve">; </w:t>
      </w:r>
      <w:r w:rsidR="00A948E4" w:rsidRPr="00A948E4">
        <w:rPr>
          <w:rFonts w:ascii="Times New Roman" w:hAnsi="Times New Roman" w:cs="Times New Roman"/>
          <w:noProof/>
        </w:rPr>
        <w:t>Perret et al., 2023)</w:t>
      </w:r>
      <w:r w:rsidR="00A948E4">
        <w:rPr>
          <w:rFonts w:ascii="Times New Roman" w:hAnsi="Times New Roman" w:cs="Times New Roman"/>
        </w:rPr>
        <w:fldChar w:fldCharType="end"/>
      </w:r>
      <w:r w:rsidRPr="0071447B">
        <w:rPr>
          <w:rFonts w:ascii="Times New Roman" w:hAnsi="Times New Roman" w:cs="Times New Roman"/>
        </w:rPr>
        <w:t xml:space="preserve">. </w:t>
      </w:r>
      <w:r>
        <w:rPr>
          <w:rFonts w:ascii="Times New Roman" w:hAnsi="Times New Roman" w:cs="Times New Roman"/>
        </w:rPr>
        <w:t>This was supported in part by differences we found in the importance of major sources of mortality between regions where subalpine fir was in decline compared to other co-occurring species. The analyses described here</w:t>
      </w:r>
      <w:r w:rsidR="00B84003">
        <w:rPr>
          <w:rFonts w:ascii="Times New Roman" w:hAnsi="Times New Roman" w:cs="Times New Roman"/>
        </w:rPr>
        <w:t xml:space="preserve"> dig into this suggestion by focusing on subalpine fir and Engelmann spruce, which co-occur across most of both species’ distributions and form a classic species association for western North American subalpine forests.</w:t>
      </w:r>
    </w:p>
    <w:p w14:paraId="554FC139" w14:textId="2B172010" w:rsidR="00A948E4" w:rsidRDefault="00B8400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Prior work suggests that </w:t>
      </w:r>
      <w:r w:rsidR="00101E53">
        <w:rPr>
          <w:rFonts w:ascii="Times New Roman" w:hAnsi="Times New Roman" w:cs="Times New Roman"/>
        </w:rPr>
        <w:t xml:space="preserve">coexistence of subalpine fir and Engelmann spruce is maintained by </w:t>
      </w:r>
      <w:r w:rsidR="00A948E4">
        <w:rPr>
          <w:rFonts w:ascii="Times New Roman" w:hAnsi="Times New Roman" w:cs="Times New Roman"/>
        </w:rPr>
        <w:t>interspecific differences</w:t>
      </w:r>
      <w:r w:rsidR="00101E53">
        <w:rPr>
          <w:rFonts w:ascii="Times New Roman" w:hAnsi="Times New Roman" w:cs="Times New Roman"/>
        </w:rPr>
        <w:t xml:space="preserve">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w:t>
      </w:r>
      <w:r w:rsidR="00D320E7">
        <w:rPr>
          <w:rFonts w:ascii="Times New Roman" w:hAnsi="Times New Roman" w:cs="Times New Roman"/>
        </w:rPr>
        <w:t xml:space="preserve">hanging climate and disturbance regimes may “break” these demographic pathways that maintain spruce-fir forest systems, </w:t>
      </w:r>
      <w:r w:rsidR="00A948E4">
        <w:rPr>
          <w:rFonts w:ascii="Times New Roman" w:hAnsi="Times New Roman" w:cs="Times New Roman"/>
        </w:rPr>
        <w:t>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2A190EBD" w14:textId="77777777" w:rsidR="00A948E4" w:rsidRDefault="00A948E4">
      <w:pPr>
        <w:rPr>
          <w:rFonts w:ascii="Times New Roman" w:hAnsi="Times New Roman" w:cs="Times New Roman"/>
        </w:rPr>
      </w:pPr>
    </w:p>
    <w:p w14:paraId="51DCC557" w14:textId="77777777" w:rsidR="00A948E4" w:rsidRDefault="00A948E4">
      <w:pPr>
        <w:rPr>
          <w:rFonts w:ascii="Times New Roman" w:hAnsi="Times New Roman" w:cs="Times New Roman"/>
        </w:rPr>
      </w:pPr>
      <w:r>
        <w:rPr>
          <w:rFonts w:ascii="Times New Roman" w:hAnsi="Times New Roman" w:cs="Times New Roman"/>
          <w:b/>
          <w:bCs/>
        </w:rPr>
        <w:t>Analyses</w:t>
      </w:r>
    </w:p>
    <w:p w14:paraId="09DE2281" w14:textId="6D9A1660" w:rsidR="00A948E4" w:rsidRDefault="00A948E4">
      <w:pPr>
        <w:rPr>
          <w:rFonts w:ascii="Times New Roman" w:hAnsi="Times New Roman" w:cs="Times New Roman"/>
        </w:rPr>
      </w:pPr>
      <w:r>
        <w:rPr>
          <w:rFonts w:ascii="Times New Roman" w:hAnsi="Times New Roman" w:cs="Times New Roman"/>
        </w:rPr>
        <w:tab/>
        <w:t>I’m approaching this issue in two ways. The first is using FIA plot remeasurements to estimate the population trajectories of each species in ecoregion subsections across their shared distribution</w:t>
      </w:r>
      <w:r w:rsidR="00E729E2">
        <w:rPr>
          <w:rFonts w:ascii="Times New Roman" w:hAnsi="Times New Roman" w:cs="Times New Roman"/>
        </w:rPr>
        <w:t>, using standard FIA estimation procedures</w:t>
      </w:r>
      <w:r>
        <w:rPr>
          <w:rFonts w:ascii="Times New Roman" w:hAnsi="Times New Roman" w:cs="Times New Roman"/>
        </w:rPr>
        <w:t xml:space="preserve">. In our subalpine fir paper, we </w:t>
      </w:r>
      <w:r w:rsidR="000F49FC">
        <w:rPr>
          <w:rFonts w:ascii="Times New Roman" w:hAnsi="Times New Roman" w:cs="Times New Roman"/>
        </w:rPr>
        <w:t>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w:t>
      </w:r>
      <w:r w:rsidR="00F36CB0">
        <w:rPr>
          <w:rFonts w:ascii="Times New Roman" w:hAnsi="Times New Roman" w:cs="Times New Roman"/>
        </w:rPr>
        <w:t xml:space="preserve"> (Figure 1)</w:t>
      </w:r>
      <w:r w:rsidR="000F49FC">
        <w:rPr>
          <w:rFonts w:ascii="Times New Roman" w:hAnsi="Times New Roman" w:cs="Times New Roman"/>
        </w:rPr>
        <w:t>. Next, I’ve been building generalized linear mixed models</w:t>
      </w:r>
      <w:r w:rsidR="00B66D9B">
        <w:rPr>
          <w:rFonts w:ascii="Times New Roman" w:hAnsi="Times New Roman" w:cs="Times New Roman"/>
        </w:rPr>
        <w:t xml:space="preserve"> (GLMMs)</w:t>
      </w:r>
      <w:r w:rsidR="000F49FC">
        <w:rPr>
          <w:rFonts w:ascii="Times New Roman" w:hAnsi="Times New Roman" w:cs="Times New Roman"/>
        </w:rPr>
        <w:t xml:space="preserve">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w:t>
      </w:r>
      <w:r w:rsidR="000F49FC">
        <w:rPr>
          <w:rFonts w:ascii="Times New Roman" w:hAnsi="Times New Roman" w:cs="Times New Roman"/>
        </w:rPr>
        <w:lastRenderedPageBreak/>
        <w:t>Engelmann spruce systems will be pushed into demographic states that do not correspond with likely future coexistence under a range of future climate and disturbance scenarios.</w:t>
      </w:r>
    </w:p>
    <w:p w14:paraId="6F5F58F4" w14:textId="77777777" w:rsidR="00A154A6" w:rsidRDefault="00A154A6">
      <w:pPr>
        <w:rPr>
          <w:rFonts w:ascii="Times New Roman" w:hAnsi="Times New Roman" w:cs="Times New Roman"/>
        </w:rPr>
      </w:pPr>
    </w:p>
    <w:p w14:paraId="55553F6C" w14:textId="0C9C9DD3" w:rsidR="00A948E4" w:rsidRPr="00A154A6" w:rsidRDefault="00F36CB0">
      <w:pPr>
        <w:rPr>
          <w:rFonts w:ascii="Times New Roman" w:hAnsi="Times New Roman" w:cs="Times New Roman"/>
        </w:rPr>
      </w:pPr>
      <w:r>
        <w:rPr>
          <w:rFonts w:ascii="Times New Roman" w:hAnsi="Times New Roman" w:cs="Times New Roman"/>
          <w:b/>
          <w:bCs/>
        </w:rPr>
        <w:t>Preliminary results</w:t>
      </w:r>
    </w:p>
    <w:p w14:paraId="6F3F46FA" w14:textId="2AAEB0BC" w:rsidR="001D62A7" w:rsidRPr="001D62A7" w:rsidRDefault="001D62A7">
      <w:pPr>
        <w:rPr>
          <w:rFonts w:ascii="Times New Roman" w:hAnsi="Times New Roman" w:cs="Times New Roman"/>
          <w:i/>
          <w:iCs/>
        </w:rPr>
      </w:pPr>
      <w:r>
        <w:rPr>
          <w:rFonts w:ascii="Times New Roman" w:hAnsi="Times New Roman" w:cs="Times New Roman"/>
          <w:i/>
          <w:iCs/>
        </w:rPr>
        <w:t xml:space="preserve">Population estimation and </w:t>
      </w:r>
      <w:r w:rsidR="00FD4823">
        <w:rPr>
          <w:rFonts w:ascii="Times New Roman" w:hAnsi="Times New Roman" w:cs="Times New Roman"/>
          <w:i/>
          <w:iCs/>
        </w:rPr>
        <w:t>categorization</w:t>
      </w:r>
    </w:p>
    <w:p w14:paraId="3B76529E" w14:textId="4E9CF3F6" w:rsidR="00E729E2" w:rsidRPr="00090D92" w:rsidRDefault="00F36CB0" w:rsidP="00101E53">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sidR="00090D92">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sidR="00090D92">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sidR="00090D92">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w:t>
      </w:r>
      <w:r w:rsidR="00090D92">
        <w:rPr>
          <w:rFonts w:ascii="Times New Roman" w:hAnsi="Times New Roman" w:cs="Times New Roman"/>
          <w:i/>
          <w:iCs/>
        </w:rPr>
        <w:t>replacement</w:t>
      </w:r>
      <w:r>
        <w:rPr>
          <w:rFonts w:ascii="Times New Roman" w:hAnsi="Times New Roman" w:cs="Times New Roman"/>
        </w:rPr>
        <w:t xml:space="preserve"> – indicating that both species are in decline or experiencing significant turnover. </w:t>
      </w:r>
      <w:r w:rsidR="00090D92" w:rsidRPr="00090D92">
        <w:rPr>
          <w:rFonts w:ascii="Times New Roman" w:hAnsi="Times New Roman" w:cs="Times New Roman"/>
          <w:highlight w:val="yellow"/>
        </w:rPr>
        <w:t>Note that ecoregion subsections for which either basal area or stem density trends were statistically indistinguishable from zero (</w:t>
      </w:r>
      <w:r w:rsidR="00090D92" w:rsidRPr="00090D92">
        <w:rPr>
          <w:rFonts w:ascii="Times New Roman" w:hAnsi="Times New Roman" w:cs="Times New Roman"/>
          <w:i/>
          <w:iCs/>
          <w:highlight w:val="yellow"/>
        </w:rPr>
        <w:t>i.e.,</w:t>
      </w:r>
      <w:r w:rsidR="00090D92"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129A228F" w14:textId="675D92DE" w:rsidR="00BD1467" w:rsidRPr="00BD1467" w:rsidRDefault="00E729E2" w:rsidP="00101E53">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w:t>
      </w:r>
      <w:r w:rsidR="00BD1467">
        <w:rPr>
          <w:rFonts w:ascii="Times New Roman" w:hAnsi="Times New Roman" w:cs="Times New Roman"/>
        </w:rPr>
        <w:t>38.4</w:t>
      </w:r>
      <w:r>
        <w:rPr>
          <w:rFonts w:ascii="Times New Roman" w:hAnsi="Times New Roman" w:cs="Times New Roman"/>
        </w:rPr>
        <w:t xml:space="preserve">% of the species’ shared distribution falls in the </w:t>
      </w:r>
      <w:r w:rsidR="00090D92">
        <w:rPr>
          <w:rFonts w:ascii="Times New Roman" w:hAnsi="Times New Roman" w:cs="Times New Roman"/>
          <w:i/>
          <w:iCs/>
        </w:rPr>
        <w:t>persistence/resilience</w:t>
      </w:r>
      <w:r>
        <w:rPr>
          <w:rFonts w:ascii="Times New Roman" w:hAnsi="Times New Roman" w:cs="Times New Roman"/>
        </w:rPr>
        <w:t xml:space="preserve"> category, </w:t>
      </w:r>
      <w:r w:rsidR="00BD1467">
        <w:rPr>
          <w:rFonts w:ascii="Times New Roman" w:hAnsi="Times New Roman" w:cs="Times New Roman"/>
        </w:rPr>
        <w:t>13.0</w:t>
      </w:r>
      <w:r>
        <w:rPr>
          <w:rFonts w:ascii="Times New Roman" w:hAnsi="Times New Roman" w:cs="Times New Roman"/>
        </w:rPr>
        <w:t xml:space="preserve">% in the </w:t>
      </w:r>
      <w:r w:rsidR="00090D92">
        <w:rPr>
          <w:rFonts w:ascii="Times New Roman" w:hAnsi="Times New Roman" w:cs="Times New Roman"/>
          <w:i/>
          <w:iCs/>
        </w:rPr>
        <w:t>structural change</w:t>
      </w:r>
      <w:r>
        <w:rPr>
          <w:rFonts w:ascii="Times New Roman" w:hAnsi="Times New Roman" w:cs="Times New Roman"/>
        </w:rPr>
        <w:t xml:space="preserve"> category, </w:t>
      </w:r>
      <w:r w:rsidR="00BD1467">
        <w:rPr>
          <w:rFonts w:ascii="Times New Roman" w:hAnsi="Times New Roman" w:cs="Times New Roman"/>
        </w:rPr>
        <w:t>38.6</w:t>
      </w:r>
      <w:r>
        <w:rPr>
          <w:rFonts w:ascii="Times New Roman" w:hAnsi="Times New Roman" w:cs="Times New Roman"/>
        </w:rPr>
        <w:t xml:space="preserve">% in </w:t>
      </w:r>
      <w:r w:rsidR="00090D92">
        <w:rPr>
          <w:rFonts w:ascii="Times New Roman" w:hAnsi="Times New Roman" w:cs="Times New Roman"/>
          <w:i/>
          <w:iCs/>
        </w:rPr>
        <w:t>compositional change</w:t>
      </w:r>
      <w:r>
        <w:rPr>
          <w:rFonts w:ascii="Times New Roman" w:hAnsi="Times New Roman" w:cs="Times New Roman"/>
          <w:i/>
          <w:iCs/>
        </w:rPr>
        <w:t xml:space="preserve">, </w:t>
      </w:r>
      <w:r>
        <w:rPr>
          <w:rFonts w:ascii="Times New Roman" w:hAnsi="Times New Roman" w:cs="Times New Roman"/>
        </w:rPr>
        <w:t xml:space="preserve">and </w:t>
      </w:r>
      <w:r w:rsidR="00BD1467">
        <w:rPr>
          <w:rFonts w:ascii="Times New Roman" w:hAnsi="Times New Roman" w:cs="Times New Roman"/>
        </w:rPr>
        <w:t>10.1</w:t>
      </w:r>
      <w:r>
        <w:rPr>
          <w:rFonts w:ascii="Times New Roman" w:hAnsi="Times New Roman" w:cs="Times New Roman"/>
        </w:rPr>
        <w:t>% in</w:t>
      </w:r>
      <w:r w:rsidR="00090D92">
        <w:rPr>
          <w:rFonts w:ascii="Times New Roman" w:hAnsi="Times New Roman" w:cs="Times New Roman"/>
        </w:rPr>
        <w:t xml:space="preserve"> </w:t>
      </w:r>
      <w:r w:rsidR="00090D92">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w:t>
      </w:r>
      <w:r w:rsidR="001E2B91">
        <w:rPr>
          <w:rFonts w:ascii="Times New Roman" w:hAnsi="Times New Roman" w:cs="Times New Roman"/>
        </w:rPr>
        <w:t>~</w:t>
      </w:r>
      <w:r w:rsidR="00BD1467">
        <w:rPr>
          <w:rFonts w:ascii="Times New Roman" w:hAnsi="Times New Roman" w:cs="Times New Roman"/>
        </w:rPr>
        <w:t>50</w:t>
      </w:r>
      <w:r>
        <w:rPr>
          <w:rFonts w:ascii="Times New Roman" w:hAnsi="Times New Roman" w:cs="Times New Roman"/>
        </w:rPr>
        <w:t xml:space="preserve">% of their current distribution. </w:t>
      </w:r>
      <w:r w:rsidR="003A5AA1">
        <w:rPr>
          <w:rFonts w:ascii="Times New Roman" w:hAnsi="Times New Roman" w:cs="Times New Roman"/>
        </w:rPr>
        <w:t xml:space="preserve">The major sources of mortality for each species differ between </w:t>
      </w:r>
      <w:r w:rsidR="008403DD">
        <w:rPr>
          <w:rFonts w:ascii="Times New Roman" w:hAnsi="Times New Roman" w:cs="Times New Roman"/>
        </w:rPr>
        <w:t xml:space="preserve">categories, shown in Figure 2b. Notably, insect mortality dominates across all categories except </w:t>
      </w:r>
      <w:r w:rsidR="00D15C1D">
        <w:rPr>
          <w:rFonts w:ascii="Times New Roman" w:hAnsi="Times New Roman" w:cs="Times New Roman"/>
          <w:i/>
          <w:iCs/>
        </w:rPr>
        <w:t>persistence/resilience</w:t>
      </w:r>
      <w:r w:rsidR="008403DD">
        <w:rPr>
          <w:rFonts w:ascii="Times New Roman" w:hAnsi="Times New Roman" w:cs="Times New Roman"/>
        </w:rPr>
        <w:t xml:space="preserve"> for Engelmann spruce, probably reflecting severe spruce beetle outbreaks in parts of the species’ range. </w:t>
      </w:r>
      <w:r w:rsidR="00BD1467">
        <w:rPr>
          <w:rFonts w:ascii="Times New Roman" w:hAnsi="Times New Roman" w:cs="Times New Roman"/>
        </w:rPr>
        <w:t xml:space="preserve">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sidR="00BD1467">
        <w:rPr>
          <w:rFonts w:ascii="Times New Roman" w:hAnsi="Times New Roman" w:cs="Times New Roman"/>
          <w:i/>
          <w:iCs/>
        </w:rPr>
        <w:t xml:space="preserve">compositional change </w:t>
      </w:r>
      <w:r w:rsidR="00BD1467">
        <w:rPr>
          <w:rFonts w:ascii="Times New Roman" w:hAnsi="Times New Roman" w:cs="Times New Roman"/>
        </w:rPr>
        <w:t>and</w:t>
      </w:r>
      <w:r w:rsidR="00BD1467">
        <w:rPr>
          <w:rFonts w:ascii="Times New Roman" w:hAnsi="Times New Roman" w:cs="Times New Roman"/>
          <w:i/>
          <w:iCs/>
        </w:rPr>
        <w:t xml:space="preserve"> replacement</w:t>
      </w:r>
      <w:r w:rsidR="00BD1467">
        <w:rPr>
          <w:rFonts w:ascii="Times New Roman" w:hAnsi="Times New Roman" w:cs="Times New Roman"/>
        </w:rPr>
        <w:t xml:space="preserve"> categories. </w:t>
      </w:r>
    </w:p>
    <w:p w14:paraId="4EC0D127" w14:textId="77777777" w:rsidR="00BD1467" w:rsidRDefault="00BD1467" w:rsidP="00101E53">
      <w:pPr>
        <w:rPr>
          <w:rFonts w:ascii="Times New Roman" w:hAnsi="Times New Roman" w:cs="Times New Roman"/>
        </w:rPr>
      </w:pPr>
    </w:p>
    <w:p w14:paraId="61CD155A" w14:textId="56DDB6EC" w:rsidR="00E729E2" w:rsidRDefault="008403DD" w:rsidP="00101E53">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sidR="00D15C1D">
        <w:rPr>
          <w:rFonts w:ascii="Times New Roman" w:hAnsi="Times New Roman" w:cs="Times New Roman"/>
          <w:i/>
        </w:rPr>
        <w:t>replacement</w:t>
      </w:r>
      <w:r>
        <w:rPr>
          <w:rFonts w:ascii="Times New Roman" w:hAnsi="Times New Roman" w:cs="Times New Roman"/>
          <w:i/>
        </w:rPr>
        <w:t xml:space="preserve">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38293B79" w14:textId="77777777" w:rsidR="00FD4823" w:rsidRDefault="00FD4823" w:rsidP="00101E53">
      <w:pPr>
        <w:rPr>
          <w:rFonts w:ascii="Times New Roman" w:hAnsi="Times New Roman" w:cs="Times New Roman"/>
          <w:i/>
        </w:rPr>
      </w:pPr>
    </w:p>
    <w:p w14:paraId="560A6708" w14:textId="5DAC5AEE" w:rsidR="00FD4823" w:rsidRPr="00FD4823" w:rsidRDefault="00FD4823" w:rsidP="00101E53">
      <w:pPr>
        <w:rPr>
          <w:rFonts w:ascii="Times New Roman" w:hAnsi="Times New Roman" w:cs="Times New Roman"/>
          <w:i/>
        </w:rPr>
      </w:pPr>
      <w:r>
        <w:rPr>
          <w:rFonts w:ascii="Times New Roman" w:hAnsi="Times New Roman" w:cs="Times New Roman"/>
          <w:i/>
        </w:rPr>
        <w:t>Mortality models</w:t>
      </w:r>
    </w:p>
    <w:p w14:paraId="6FB624B5" w14:textId="5D1B7DEC" w:rsidR="008403DD" w:rsidRDefault="001E2B91" w:rsidP="00101E53">
      <w:pPr>
        <w:rPr>
          <w:rFonts w:ascii="Times New Roman" w:hAnsi="Times New Roman" w:cs="Times New Roman"/>
          <w:iCs/>
        </w:rPr>
      </w:pPr>
      <w:r>
        <w:rPr>
          <w:rFonts w:ascii="Times New Roman" w:hAnsi="Times New Roman" w:cs="Times New Roman"/>
          <w:iCs/>
        </w:rPr>
        <w:tab/>
        <w:t>Mortality and regeneration models are still in development</w:t>
      </w:r>
      <w:r w:rsidR="001A1E6C">
        <w:rPr>
          <w:rFonts w:ascii="Times New Roman" w:hAnsi="Times New Roman" w:cs="Times New Roman"/>
          <w:iCs/>
        </w:rPr>
        <w:t>. Mortality models are binomial GLMMs with the response variable being tree status (</w:t>
      </w:r>
      <w:r w:rsidR="001A1E6C">
        <w:rPr>
          <w:rFonts w:ascii="Times New Roman" w:hAnsi="Times New Roman" w:cs="Times New Roman"/>
          <w:i/>
        </w:rPr>
        <w:t xml:space="preserve">i.e., </w:t>
      </w:r>
      <w:r w:rsidR="001A1E6C">
        <w:rPr>
          <w:rFonts w:ascii="Times New Roman" w:hAnsi="Times New Roman" w:cs="Times New Roman"/>
          <w:iCs/>
        </w:rPr>
        <w:t>alive or dead) at the second plot visit for trees that were alive during the initial inventory (</w:t>
      </w:r>
      <w:r w:rsidR="001A1E6C">
        <w:rPr>
          <w:rFonts w:ascii="Times New Roman" w:hAnsi="Times New Roman" w:cs="Times New Roman"/>
          <w:i/>
        </w:rPr>
        <w:t>i.e.,</w:t>
      </w:r>
      <w:r w:rsidR="001A1E6C">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w:t>
      </w:r>
      <w:r w:rsidR="001A1E6C">
        <w:rPr>
          <w:rFonts w:ascii="Times New Roman" w:hAnsi="Times New Roman" w:cs="Times New Roman"/>
          <w:iCs/>
        </w:rPr>
        <w:lastRenderedPageBreak/>
        <w:t>as cross-scale interactions (</w:t>
      </w:r>
      <w:r w:rsidR="001A1E6C">
        <w:rPr>
          <w:rFonts w:ascii="Times New Roman" w:hAnsi="Times New Roman" w:cs="Times New Roman"/>
          <w:i/>
        </w:rPr>
        <w:t>e.g.,</w:t>
      </w:r>
      <w:r w:rsidR="001A1E6C">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w:t>
      </w:r>
      <w:r w:rsidR="00B66D9B">
        <w:rPr>
          <w:rFonts w:ascii="Times New Roman" w:hAnsi="Times New Roman" w:cs="Times New Roman"/>
          <w:iCs/>
        </w:rPr>
        <w:t xml:space="preserve"> are easier to interpret. I’ve been evaluating model performance in a variety of ways – in short, the models evaluate well at larger scales of organization (</w:t>
      </w:r>
      <w:r w:rsidR="00B66D9B">
        <w:rPr>
          <w:rFonts w:ascii="Times New Roman" w:hAnsi="Times New Roman" w:cs="Times New Roman"/>
          <w:i/>
        </w:rPr>
        <w:t>e.g.,</w:t>
      </w:r>
      <w:r w:rsidR="00B66D9B">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18B492CA" w14:textId="77777777" w:rsidR="00FD4823" w:rsidRDefault="00B66D9B" w:rsidP="00101E53">
      <w:pPr>
        <w:rPr>
          <w:rFonts w:ascii="Times New Roman" w:hAnsi="Times New Roman" w:cs="Times New Roman"/>
          <w:iCs/>
        </w:rPr>
      </w:pPr>
      <w:r>
        <w:rPr>
          <w:rFonts w:ascii="Times New Roman" w:hAnsi="Times New Roman" w:cs="Times New Roman"/>
          <w:iCs/>
        </w:rPr>
        <w:tab/>
      </w:r>
    </w:p>
    <w:p w14:paraId="004CAB07" w14:textId="347EB23F" w:rsidR="00FD4823" w:rsidRPr="00FD4823" w:rsidRDefault="00FD4823" w:rsidP="00101E53">
      <w:pPr>
        <w:rPr>
          <w:rFonts w:ascii="Times New Roman" w:hAnsi="Times New Roman" w:cs="Times New Roman"/>
          <w:i/>
        </w:rPr>
      </w:pPr>
      <w:r>
        <w:rPr>
          <w:rFonts w:ascii="Times New Roman" w:hAnsi="Times New Roman" w:cs="Times New Roman"/>
          <w:i/>
        </w:rPr>
        <w:t>Regeneration models</w:t>
      </w:r>
    </w:p>
    <w:p w14:paraId="4ED6E03E" w14:textId="62701118" w:rsidR="00B66D9B" w:rsidRDefault="00B66D9B" w:rsidP="00FD4823">
      <w:pPr>
        <w:ind w:firstLine="720"/>
        <w:rPr>
          <w:rFonts w:ascii="Times New Roman" w:hAnsi="Times New Roman" w:cs="Times New Roman"/>
          <w:iCs/>
        </w:rPr>
      </w:pPr>
      <w:r>
        <w:rPr>
          <w:rFonts w:ascii="Times New Roman" w:hAnsi="Times New Roman" w:cs="Times New Roman"/>
          <w:iCs/>
        </w:rPr>
        <w:t>I chose to model regeneration as the probability of seedling presence at the plot level during the most recent inventory period, again using a binomial GLMM.</w:t>
      </w:r>
      <w:r w:rsidR="009109AB">
        <w:rPr>
          <w:rFonts w:ascii="Times New Roman" w:hAnsi="Times New Roman" w:cs="Times New Roman"/>
          <w:iCs/>
        </w:rPr>
        <w:t xml:space="preserve"> These models are newer and I haven’t yet done as much work evaluating their performance or exploring the estimated effects.</w:t>
      </w:r>
      <w:r w:rsidR="001D62A7">
        <w:rPr>
          <w:rFonts w:ascii="Times New Roman" w:hAnsi="Times New Roman" w:cs="Times New Roman"/>
          <w:iCs/>
        </w:rPr>
        <w:t xml:space="preserve">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3A7CAB3C" w14:textId="77777777" w:rsidR="00D93939" w:rsidRDefault="00D93939" w:rsidP="00D93939">
      <w:pPr>
        <w:rPr>
          <w:rFonts w:ascii="Times New Roman" w:hAnsi="Times New Roman" w:cs="Times New Roman"/>
          <w:iCs/>
        </w:rPr>
      </w:pPr>
    </w:p>
    <w:p w14:paraId="3061E668" w14:textId="22A2AAC5" w:rsidR="00D93939" w:rsidRDefault="00D93939" w:rsidP="00D93939">
      <w:pPr>
        <w:rPr>
          <w:rFonts w:ascii="Times New Roman" w:hAnsi="Times New Roman" w:cs="Times New Roman"/>
          <w:iCs/>
        </w:rPr>
      </w:pPr>
      <w:r>
        <w:rPr>
          <w:rFonts w:ascii="Times New Roman" w:hAnsi="Times New Roman" w:cs="Times New Roman"/>
          <w:b/>
          <w:bCs/>
          <w:iCs/>
        </w:rPr>
        <w:t>Moving forward</w:t>
      </w:r>
    </w:p>
    <w:p w14:paraId="5E1A3AE6" w14:textId="55F4443F" w:rsidR="00D93939" w:rsidRDefault="00D93939" w:rsidP="00D93939">
      <w:pPr>
        <w:rPr>
          <w:rFonts w:ascii="Times New Roman" w:hAnsi="Times New Roman" w:cs="Times New Roman"/>
          <w:iCs/>
        </w:rPr>
      </w:pPr>
      <w:r>
        <w:rPr>
          <w:rFonts w:ascii="Times New Roman" w:hAnsi="Times New Roman" w:cs="Times New Roman"/>
          <w:iCs/>
        </w:rPr>
        <w:tab/>
        <w:t>I’m currently working on refining the mortality and regeneration models, as well as tightening the link between those models and the population trajectory categories. Ideally, modeled or observed vital rates could be used to</w:t>
      </w:r>
      <w:r w:rsidR="00E81C8A">
        <w:rPr>
          <w:rFonts w:ascii="Times New Roman" w:hAnsi="Times New Roman" w:cs="Times New Roman"/>
          <w:iCs/>
        </w:rPr>
        <w:t xml:space="preserve"> discern trajectories from one another. An example of how this might work is shown in Figure 3, where trajectory categories have differing mortality and regeneration distributions. It is rather messy at the moment though, and it would be worth exploring other approaches to making this link.</w:t>
      </w:r>
    </w:p>
    <w:p w14:paraId="09ABFB63" w14:textId="76BDE394" w:rsidR="00E81C8A" w:rsidRDefault="00E81C8A" w:rsidP="00D93939">
      <w:pPr>
        <w:rPr>
          <w:rFonts w:ascii="Times New Roman" w:hAnsi="Times New Roman" w:cs="Times New Roman"/>
          <w:iCs/>
        </w:rPr>
      </w:pPr>
      <w:r>
        <w:rPr>
          <w:rFonts w:ascii="Times New Roman" w:hAnsi="Times New Roman" w:cs="Times New Roman"/>
          <w:iCs/>
        </w:rPr>
        <w:tab/>
        <w:t>If that link can be established in a tenable way, my plan is to project how mortality and regeneration of each species may change under future climate and disturbance scenarios, and assess whether those changes push parts of the species</w:t>
      </w:r>
      <w:r w:rsidR="00862174">
        <w:rPr>
          <w:rFonts w:ascii="Times New Roman" w:hAnsi="Times New Roman" w:cs="Times New Roman"/>
          <w:iCs/>
        </w:rPr>
        <w:t>’</w:t>
      </w:r>
      <w:r>
        <w:rPr>
          <w:rFonts w:ascii="Times New Roman" w:hAnsi="Times New Roman" w:cs="Times New Roman"/>
          <w:iCs/>
        </w:rPr>
        <w:t xml:space="preserve"> range into different population trajectory categories. This would involve using future climate projections, paired with several coarse disturbance scenarios (</w:t>
      </w:r>
      <w:r>
        <w:rPr>
          <w:rFonts w:ascii="Times New Roman" w:hAnsi="Times New Roman" w:cs="Times New Roman"/>
          <w:i/>
        </w:rPr>
        <w:t>i.e.,</w:t>
      </w:r>
      <w:r>
        <w:rPr>
          <w:rFonts w:ascii="Times New Roman" w:hAnsi="Times New Roman" w:cs="Times New Roman"/>
          <w:iCs/>
        </w:rPr>
        <w:t xml:space="preserve"> altering the proportion area disturbed, the goal being to avoid getting into directly modeling disturbance itself). An example of what this might look like is shown in Figure 4, which shows the predicted change in mortality from current rates for each species in 2041-2060 under a SSP3-7.0 climate scenario, given current observed disturbance levels. </w:t>
      </w:r>
    </w:p>
    <w:p w14:paraId="5478DECF" w14:textId="0FB8995A" w:rsidR="00E81C8A" w:rsidRDefault="00E81C8A" w:rsidP="00D93939">
      <w:pPr>
        <w:rPr>
          <w:rFonts w:ascii="Times New Roman" w:hAnsi="Times New Roman" w:cs="Times New Roman"/>
          <w:iCs/>
        </w:rPr>
      </w:pPr>
    </w:p>
    <w:p w14:paraId="2CED6D6E" w14:textId="2B06FE45" w:rsidR="00E81C8A" w:rsidRPr="00E81C8A" w:rsidRDefault="00E81C8A" w:rsidP="00D93939">
      <w:pPr>
        <w:rPr>
          <w:rFonts w:ascii="Times New Roman" w:hAnsi="Times New Roman" w:cs="Times New Roman"/>
          <w:iCs/>
        </w:rPr>
      </w:pPr>
    </w:p>
    <w:p w14:paraId="3B369BDA" w14:textId="77777777" w:rsidR="00D93939" w:rsidRPr="001A1E6C" w:rsidRDefault="00D93939" w:rsidP="00D93939">
      <w:pPr>
        <w:rPr>
          <w:rFonts w:ascii="Times New Roman" w:hAnsi="Times New Roman" w:cs="Times New Roman"/>
          <w:iCs/>
        </w:rPr>
      </w:pPr>
    </w:p>
    <w:p w14:paraId="5BD1D57F" w14:textId="77777777" w:rsidR="00F36CB0" w:rsidRDefault="00F36CB0" w:rsidP="00101E53">
      <w:pPr>
        <w:rPr>
          <w:rFonts w:ascii="Times New Roman" w:hAnsi="Times New Roman" w:cs="Times New Roman"/>
        </w:rPr>
      </w:pPr>
    </w:p>
    <w:p w14:paraId="1EAF9CAD" w14:textId="77777777" w:rsidR="00F36CB0" w:rsidRDefault="00F36CB0" w:rsidP="00101E53">
      <w:pPr>
        <w:rPr>
          <w:rFonts w:ascii="Times New Roman" w:hAnsi="Times New Roman" w:cs="Times New Roman"/>
        </w:rPr>
      </w:pPr>
    </w:p>
    <w:p w14:paraId="56D1F39B" w14:textId="77777777" w:rsidR="00F36CB0" w:rsidRDefault="00F36CB0" w:rsidP="00101E53">
      <w:pPr>
        <w:rPr>
          <w:rFonts w:ascii="Times New Roman" w:hAnsi="Times New Roman" w:cs="Times New Roman"/>
        </w:rPr>
      </w:pPr>
    </w:p>
    <w:p w14:paraId="4D47513D" w14:textId="77777777" w:rsidR="00F36CB0" w:rsidRDefault="00F36CB0" w:rsidP="00101E53">
      <w:pPr>
        <w:rPr>
          <w:rFonts w:ascii="Times New Roman" w:hAnsi="Times New Roman" w:cs="Times New Roman"/>
        </w:rPr>
      </w:pPr>
    </w:p>
    <w:p w14:paraId="7ABA3773" w14:textId="77777777" w:rsidR="00F36CB0" w:rsidRDefault="00F36CB0" w:rsidP="00101E53">
      <w:pPr>
        <w:rPr>
          <w:rFonts w:ascii="Times New Roman" w:hAnsi="Times New Roman" w:cs="Times New Roman"/>
        </w:rPr>
      </w:pPr>
    </w:p>
    <w:p w14:paraId="51FC6A24" w14:textId="77777777" w:rsidR="00F36CB0" w:rsidRDefault="00F36CB0" w:rsidP="00101E53">
      <w:pPr>
        <w:rPr>
          <w:rFonts w:ascii="Times New Roman" w:hAnsi="Times New Roman" w:cs="Times New Roman"/>
        </w:rPr>
      </w:pPr>
    </w:p>
    <w:p w14:paraId="2E7B0DDC" w14:textId="77777777" w:rsidR="00065763" w:rsidRDefault="00065763">
      <w:pPr>
        <w:rPr>
          <w:rFonts w:ascii="Times New Roman" w:hAnsi="Times New Roman" w:cs="Times New Roman"/>
          <w:b/>
          <w:bCs/>
        </w:rPr>
      </w:pPr>
    </w:p>
    <w:p w14:paraId="43CB0501" w14:textId="6740A479" w:rsidR="00987204" w:rsidRPr="0071447B" w:rsidRDefault="00065763">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6192" behindDoc="0" locked="0" layoutInCell="1" allowOverlap="1" wp14:anchorId="54595BA7" wp14:editId="2E88E77B">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12F9E614" w14:textId="50C9C377" w:rsidR="00987204" w:rsidRPr="0071447B" w:rsidRDefault="00987204">
      <w:pPr>
        <w:rPr>
          <w:rFonts w:ascii="Times New Roman" w:hAnsi="Times New Roman" w:cs="Times New Roman"/>
          <w:b/>
          <w:bCs/>
        </w:rPr>
      </w:pPr>
    </w:p>
    <w:p w14:paraId="21B54088" w14:textId="5125AFA2" w:rsidR="00987204" w:rsidRPr="00065763" w:rsidRDefault="00065763">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sidR="00E67498">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sidR="00E67498">
        <w:rPr>
          <w:rFonts w:ascii="Times New Roman" w:hAnsi="Times New Roman" w:cs="Times New Roman"/>
          <w:i/>
          <w:iCs/>
        </w:rPr>
        <w:t>structural change</w:t>
      </w:r>
      <w:r>
        <w:rPr>
          <w:rFonts w:ascii="Times New Roman" w:hAnsi="Times New Roman" w:cs="Times New Roman"/>
          <w:i/>
          <w:iCs/>
        </w:rPr>
        <w:t>,</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sidR="00E67498">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sidR="00E67498">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72465D36" w14:textId="1072E71E" w:rsidR="00065763" w:rsidRDefault="00065763">
      <w:pPr>
        <w:rPr>
          <w:rFonts w:ascii="Times New Roman" w:hAnsi="Times New Roman" w:cs="Times New Roman"/>
        </w:rPr>
      </w:pPr>
      <w:r>
        <w:rPr>
          <w:rFonts w:ascii="Times New Roman" w:hAnsi="Times New Roman" w:cs="Times New Roman"/>
        </w:rPr>
        <w:br w:type="page"/>
      </w:r>
    </w:p>
    <w:p w14:paraId="23191F2D" w14:textId="77777777" w:rsidR="00065763" w:rsidRPr="00065763" w:rsidRDefault="00065763">
      <w:pPr>
        <w:rPr>
          <w:rFonts w:ascii="Times New Roman" w:hAnsi="Times New Roman" w:cs="Times New Roman"/>
        </w:rPr>
      </w:pPr>
    </w:p>
    <w:p w14:paraId="5A38FFCD" w14:textId="44C67D3A" w:rsidR="00F53D93" w:rsidRDefault="001D62A7">
      <w:pPr>
        <w:rPr>
          <w:rFonts w:ascii="Times New Roman" w:hAnsi="Times New Roman" w:cs="Times New Roman"/>
          <w:b/>
          <w:bCs/>
        </w:rPr>
      </w:pPr>
      <w:r>
        <w:rPr>
          <w:rFonts w:ascii="Times New Roman" w:hAnsi="Times New Roman" w:cs="Times New Roman"/>
          <w:b/>
          <w:bCs/>
          <w:noProof/>
        </w:rPr>
        <w:drawing>
          <wp:inline distT="0" distB="0" distL="0" distR="0" wp14:anchorId="79E498F6" wp14:editId="6A592567">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51C6DD9B" w14:textId="12A998F3" w:rsidR="00733070" w:rsidRPr="00065763" w:rsidRDefault="00065763" w:rsidP="00065763">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w:t>
      </w:r>
      <w:r w:rsidR="00361C79">
        <w:rPr>
          <w:rFonts w:ascii="Times New Roman" w:hAnsi="Times New Roman" w:cs="Times New Roman"/>
        </w:rPr>
        <w:t xml:space="preserve">Colors correspond with the categories in Figure 1. </w:t>
      </w:r>
    </w:p>
    <w:p w14:paraId="3F43A082" w14:textId="08D95197" w:rsidR="00D93939" w:rsidRDefault="00D93939">
      <w:pPr>
        <w:rPr>
          <w:rFonts w:ascii="Times New Roman" w:hAnsi="Times New Roman" w:cs="Times New Roman"/>
          <w:b/>
          <w:bCs/>
        </w:rPr>
      </w:pPr>
    </w:p>
    <w:p w14:paraId="25B120EF" w14:textId="77777777" w:rsidR="00D93939" w:rsidRDefault="00D93939">
      <w:pPr>
        <w:rPr>
          <w:rFonts w:ascii="Times New Roman" w:hAnsi="Times New Roman" w:cs="Times New Roman"/>
          <w:b/>
          <w:bCs/>
        </w:rPr>
      </w:pPr>
      <w:r>
        <w:rPr>
          <w:rFonts w:ascii="Times New Roman" w:hAnsi="Times New Roman" w:cs="Times New Roman"/>
          <w:b/>
          <w:bCs/>
        </w:rPr>
        <w:br w:type="page"/>
      </w:r>
    </w:p>
    <w:p w14:paraId="6CA7B592" w14:textId="13527330" w:rsidR="00361C79" w:rsidRDefault="00361C79">
      <w:pPr>
        <w:rPr>
          <w:rFonts w:ascii="Times New Roman" w:hAnsi="Times New Roman" w:cs="Times New Roman"/>
          <w:b/>
          <w:bCs/>
        </w:rPr>
      </w:pPr>
    </w:p>
    <w:p w14:paraId="4F7E95F5" w14:textId="5D19A4CB" w:rsidR="00361C79" w:rsidRPr="00361C79" w:rsidRDefault="000D7CC8">
      <w:pPr>
        <w:rPr>
          <w:rFonts w:ascii="Times New Roman" w:hAnsi="Times New Roman" w:cs="Times New Roman"/>
        </w:rPr>
      </w:pPr>
      <w:r w:rsidRPr="00733070">
        <w:rPr>
          <w:noProof/>
        </w:rPr>
        <w:drawing>
          <wp:anchor distT="0" distB="0" distL="114300" distR="114300" simplePos="0" relativeHeight="251661312" behindDoc="0" locked="0" layoutInCell="1" allowOverlap="1" wp14:anchorId="333137E3" wp14:editId="4FA7BC56">
            <wp:simplePos x="0" y="0"/>
            <wp:positionH relativeFrom="column">
              <wp:posOffset>0</wp:posOffset>
            </wp:positionH>
            <wp:positionV relativeFrom="paragraph">
              <wp:posOffset>125095</wp:posOffset>
            </wp:positionV>
            <wp:extent cx="3559175" cy="5931535"/>
            <wp:effectExtent l="0" t="0" r="0" b="0"/>
            <wp:wrapSquare wrapText="bothSides"/>
            <wp:docPr id="14232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559175" cy="5931535"/>
                    </a:xfrm>
                    <a:prstGeom prst="rect">
                      <a:avLst/>
                    </a:prstGeom>
                  </pic:spPr>
                </pic:pic>
              </a:graphicData>
            </a:graphic>
            <wp14:sizeRelH relativeFrom="margin">
              <wp14:pctWidth>0</wp14:pctWidth>
            </wp14:sizeRelH>
            <wp14:sizeRelV relativeFrom="margin">
              <wp14:pctHeight>0</wp14:pctHeight>
            </wp14:sizeRelV>
          </wp:anchor>
        </w:drawing>
      </w:r>
      <w:r w:rsidR="00361C79">
        <w:rPr>
          <w:rFonts w:ascii="Times New Roman" w:hAnsi="Times New Roman" w:cs="Times New Roman"/>
          <w:b/>
          <w:bCs/>
        </w:rPr>
        <w:t>Figure 3.</w:t>
      </w:r>
      <w:r w:rsidR="00361C79">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61207B12" w14:textId="5E3EA24D" w:rsidR="00361C79" w:rsidRDefault="00361C79">
      <w:pPr>
        <w:rPr>
          <w:rFonts w:ascii="Times New Roman" w:hAnsi="Times New Roman" w:cs="Times New Roman"/>
          <w:b/>
          <w:bCs/>
        </w:rPr>
      </w:pPr>
    </w:p>
    <w:p w14:paraId="42657810" w14:textId="565AEB9F" w:rsidR="00361C79" w:rsidRDefault="00361C79">
      <w:pPr>
        <w:rPr>
          <w:rFonts w:ascii="Times New Roman" w:hAnsi="Times New Roman" w:cs="Times New Roman"/>
          <w:b/>
          <w:bCs/>
        </w:rPr>
      </w:pPr>
    </w:p>
    <w:p w14:paraId="473E687A" w14:textId="77850629" w:rsidR="00361C79" w:rsidRDefault="00361C79">
      <w:pPr>
        <w:rPr>
          <w:rFonts w:ascii="Times New Roman" w:hAnsi="Times New Roman" w:cs="Times New Roman"/>
          <w:b/>
          <w:bCs/>
        </w:rPr>
      </w:pPr>
    </w:p>
    <w:p w14:paraId="2F023AE5" w14:textId="41EFC36D" w:rsidR="00361C79" w:rsidRDefault="00361C79">
      <w:pPr>
        <w:rPr>
          <w:rFonts w:ascii="Times New Roman" w:hAnsi="Times New Roman" w:cs="Times New Roman"/>
          <w:b/>
          <w:bCs/>
        </w:rPr>
      </w:pPr>
    </w:p>
    <w:p w14:paraId="4EB132C0" w14:textId="77777777" w:rsidR="00361C79" w:rsidRDefault="00361C79">
      <w:pPr>
        <w:rPr>
          <w:rFonts w:ascii="Times New Roman" w:hAnsi="Times New Roman" w:cs="Times New Roman"/>
          <w:b/>
          <w:bCs/>
        </w:rPr>
      </w:pPr>
    </w:p>
    <w:p w14:paraId="118A24A6" w14:textId="77777777" w:rsidR="00361C79" w:rsidRDefault="00361C79">
      <w:pPr>
        <w:rPr>
          <w:rFonts w:ascii="Times New Roman" w:hAnsi="Times New Roman" w:cs="Times New Roman"/>
          <w:b/>
          <w:bCs/>
        </w:rPr>
      </w:pPr>
    </w:p>
    <w:p w14:paraId="2B6DE128" w14:textId="77777777" w:rsidR="00361C79" w:rsidRDefault="00361C79">
      <w:pPr>
        <w:rPr>
          <w:rFonts w:ascii="Times New Roman" w:hAnsi="Times New Roman" w:cs="Times New Roman"/>
          <w:b/>
          <w:bCs/>
        </w:rPr>
      </w:pPr>
    </w:p>
    <w:p w14:paraId="4FFF61E1" w14:textId="77777777" w:rsidR="00361C79" w:rsidRDefault="00361C79">
      <w:pPr>
        <w:rPr>
          <w:rFonts w:ascii="Times New Roman" w:hAnsi="Times New Roman" w:cs="Times New Roman"/>
          <w:b/>
          <w:bCs/>
        </w:rPr>
      </w:pPr>
    </w:p>
    <w:p w14:paraId="1E438EF9" w14:textId="77777777" w:rsidR="00361C79" w:rsidRDefault="00361C79">
      <w:pPr>
        <w:rPr>
          <w:rFonts w:ascii="Times New Roman" w:hAnsi="Times New Roman" w:cs="Times New Roman"/>
          <w:b/>
          <w:bCs/>
        </w:rPr>
      </w:pPr>
    </w:p>
    <w:p w14:paraId="013A8EA2" w14:textId="77777777" w:rsidR="00361C79" w:rsidRDefault="00361C79">
      <w:pPr>
        <w:rPr>
          <w:rFonts w:ascii="Times New Roman" w:hAnsi="Times New Roman" w:cs="Times New Roman"/>
          <w:b/>
          <w:bCs/>
        </w:rPr>
      </w:pPr>
    </w:p>
    <w:p w14:paraId="18B2F559" w14:textId="77777777" w:rsidR="00361C79" w:rsidRDefault="00361C79">
      <w:pPr>
        <w:rPr>
          <w:rFonts w:ascii="Times New Roman" w:hAnsi="Times New Roman" w:cs="Times New Roman"/>
          <w:b/>
          <w:bCs/>
        </w:rPr>
      </w:pPr>
    </w:p>
    <w:p w14:paraId="1EEA5DEB" w14:textId="77777777" w:rsidR="00361C79" w:rsidRDefault="00361C79">
      <w:pPr>
        <w:rPr>
          <w:rFonts w:ascii="Times New Roman" w:hAnsi="Times New Roman" w:cs="Times New Roman"/>
          <w:b/>
          <w:bCs/>
        </w:rPr>
      </w:pPr>
    </w:p>
    <w:p w14:paraId="4902F1BC" w14:textId="77777777" w:rsidR="00361C79" w:rsidRDefault="00361C79">
      <w:pPr>
        <w:rPr>
          <w:rFonts w:ascii="Times New Roman" w:hAnsi="Times New Roman" w:cs="Times New Roman"/>
          <w:b/>
          <w:bCs/>
        </w:rPr>
      </w:pPr>
    </w:p>
    <w:p w14:paraId="5F52C94A" w14:textId="77777777" w:rsidR="00361C79" w:rsidRDefault="00361C79">
      <w:pPr>
        <w:rPr>
          <w:rFonts w:ascii="Times New Roman" w:hAnsi="Times New Roman" w:cs="Times New Roman"/>
          <w:b/>
          <w:bCs/>
        </w:rPr>
      </w:pPr>
    </w:p>
    <w:p w14:paraId="6F7A9962" w14:textId="77777777" w:rsidR="00361C79" w:rsidRDefault="00361C79">
      <w:pPr>
        <w:rPr>
          <w:rFonts w:ascii="Times New Roman" w:hAnsi="Times New Roman" w:cs="Times New Roman"/>
          <w:b/>
          <w:bCs/>
        </w:rPr>
      </w:pPr>
    </w:p>
    <w:p w14:paraId="3F465D36" w14:textId="77777777" w:rsidR="00361C79" w:rsidRDefault="00361C79">
      <w:pPr>
        <w:rPr>
          <w:rFonts w:ascii="Times New Roman" w:hAnsi="Times New Roman" w:cs="Times New Roman"/>
          <w:b/>
          <w:bCs/>
        </w:rPr>
      </w:pPr>
    </w:p>
    <w:p w14:paraId="0E90ACE6" w14:textId="77777777" w:rsidR="00361C79" w:rsidRDefault="00361C79">
      <w:pPr>
        <w:rPr>
          <w:rFonts w:ascii="Times New Roman" w:hAnsi="Times New Roman" w:cs="Times New Roman"/>
          <w:b/>
          <w:bCs/>
        </w:rPr>
      </w:pPr>
    </w:p>
    <w:p w14:paraId="0F1A0497" w14:textId="77777777" w:rsidR="00361C79" w:rsidRDefault="00361C79">
      <w:pPr>
        <w:rPr>
          <w:rFonts w:ascii="Times New Roman" w:hAnsi="Times New Roman" w:cs="Times New Roman"/>
          <w:b/>
          <w:bCs/>
        </w:rPr>
      </w:pPr>
    </w:p>
    <w:p w14:paraId="40F65FFE" w14:textId="77777777" w:rsidR="00361C79" w:rsidRDefault="00361C79">
      <w:pPr>
        <w:rPr>
          <w:rFonts w:ascii="Times New Roman" w:hAnsi="Times New Roman" w:cs="Times New Roman"/>
          <w:b/>
          <w:bCs/>
        </w:rPr>
      </w:pPr>
    </w:p>
    <w:p w14:paraId="50E88E54" w14:textId="77777777" w:rsidR="00361C79" w:rsidRDefault="00361C79">
      <w:pPr>
        <w:rPr>
          <w:rFonts w:ascii="Times New Roman" w:hAnsi="Times New Roman" w:cs="Times New Roman"/>
          <w:b/>
          <w:bCs/>
        </w:rPr>
      </w:pPr>
    </w:p>
    <w:p w14:paraId="64B313BA" w14:textId="77777777" w:rsidR="00361C79" w:rsidRDefault="00361C79">
      <w:pPr>
        <w:rPr>
          <w:rFonts w:ascii="Times New Roman" w:hAnsi="Times New Roman" w:cs="Times New Roman"/>
          <w:b/>
          <w:bCs/>
        </w:rPr>
      </w:pPr>
    </w:p>
    <w:p w14:paraId="7A06CAE5" w14:textId="26AB254A" w:rsidR="00361C79" w:rsidRDefault="00361C79">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EC250F1" wp14:editId="013B1315">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9B1FC7A" w14:textId="06E90202" w:rsidR="00361C79" w:rsidRPr="00361C79" w:rsidRDefault="00361C79">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w:t>
      </w:r>
      <w:r w:rsidR="005F792B">
        <w:rPr>
          <w:rFonts w:ascii="Times New Roman" w:hAnsi="Times New Roman" w:cs="Times New Roman"/>
        </w:rPr>
        <w:t xml:space="preserve"> for 2041-2060 under the SSP3-7.0 climate scenario. Predictions assume current landscape levels of disturbance and observed tree sizes.</w:t>
      </w:r>
    </w:p>
    <w:p w14:paraId="16A76CB7" w14:textId="77777777" w:rsidR="00361C79" w:rsidRDefault="00361C79">
      <w:pPr>
        <w:rPr>
          <w:rFonts w:ascii="Times New Roman" w:hAnsi="Times New Roman" w:cs="Times New Roman"/>
          <w:b/>
          <w:bCs/>
        </w:rPr>
      </w:pPr>
    </w:p>
    <w:p w14:paraId="671B45D4" w14:textId="77777777" w:rsidR="00361C79" w:rsidRDefault="00361C79">
      <w:pPr>
        <w:rPr>
          <w:rFonts w:ascii="Times New Roman" w:hAnsi="Times New Roman" w:cs="Times New Roman"/>
          <w:b/>
          <w:bCs/>
        </w:rPr>
      </w:pPr>
    </w:p>
    <w:p w14:paraId="2C22AB5E" w14:textId="77777777" w:rsidR="00361C79" w:rsidRDefault="00361C79">
      <w:pPr>
        <w:rPr>
          <w:rFonts w:ascii="Times New Roman" w:hAnsi="Times New Roman" w:cs="Times New Roman"/>
          <w:b/>
          <w:bCs/>
        </w:rPr>
      </w:pPr>
    </w:p>
    <w:p w14:paraId="47B913E9" w14:textId="77777777" w:rsidR="00361C79" w:rsidRDefault="00361C79">
      <w:pPr>
        <w:rPr>
          <w:rFonts w:ascii="Times New Roman" w:hAnsi="Times New Roman" w:cs="Times New Roman"/>
          <w:b/>
          <w:bCs/>
        </w:rPr>
      </w:pPr>
    </w:p>
    <w:p w14:paraId="32758AE5" w14:textId="77777777" w:rsidR="00361C79" w:rsidRDefault="00361C79">
      <w:pPr>
        <w:rPr>
          <w:rFonts w:ascii="Times New Roman" w:hAnsi="Times New Roman" w:cs="Times New Roman"/>
          <w:b/>
          <w:bCs/>
        </w:rPr>
      </w:pPr>
    </w:p>
    <w:p w14:paraId="42E2BCCE" w14:textId="3AF55184" w:rsidR="00733070" w:rsidRPr="0071447B" w:rsidRDefault="00733070">
      <w:pPr>
        <w:rPr>
          <w:rFonts w:ascii="Times New Roman" w:hAnsi="Times New Roman" w:cs="Times New Roman"/>
          <w:b/>
          <w:bCs/>
        </w:rPr>
      </w:pPr>
    </w:p>
    <w:sectPr w:rsidR="00733070" w:rsidRPr="0071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D93"/>
    <w:rsid w:val="0001115D"/>
    <w:rsid w:val="00065763"/>
    <w:rsid w:val="00090D92"/>
    <w:rsid w:val="000D7CC8"/>
    <w:rsid w:val="000F49FC"/>
    <w:rsid w:val="00101E53"/>
    <w:rsid w:val="00174C32"/>
    <w:rsid w:val="001A1E6C"/>
    <w:rsid w:val="001D62A7"/>
    <w:rsid w:val="001E2B91"/>
    <w:rsid w:val="002D3EF4"/>
    <w:rsid w:val="00361C79"/>
    <w:rsid w:val="00377A42"/>
    <w:rsid w:val="003A5AA1"/>
    <w:rsid w:val="00400C1A"/>
    <w:rsid w:val="00521050"/>
    <w:rsid w:val="005F792B"/>
    <w:rsid w:val="006B282C"/>
    <w:rsid w:val="0071447B"/>
    <w:rsid w:val="00733070"/>
    <w:rsid w:val="00761581"/>
    <w:rsid w:val="00810697"/>
    <w:rsid w:val="008403DD"/>
    <w:rsid w:val="00862174"/>
    <w:rsid w:val="008B5124"/>
    <w:rsid w:val="009109AB"/>
    <w:rsid w:val="00987204"/>
    <w:rsid w:val="009B0D5B"/>
    <w:rsid w:val="009D5A36"/>
    <w:rsid w:val="009E461A"/>
    <w:rsid w:val="00A154A6"/>
    <w:rsid w:val="00A948E4"/>
    <w:rsid w:val="00B41B30"/>
    <w:rsid w:val="00B66D9B"/>
    <w:rsid w:val="00B84003"/>
    <w:rsid w:val="00BD1467"/>
    <w:rsid w:val="00C82EA0"/>
    <w:rsid w:val="00CB472C"/>
    <w:rsid w:val="00D15C1D"/>
    <w:rsid w:val="00D320E7"/>
    <w:rsid w:val="00D93939"/>
    <w:rsid w:val="00DA06FD"/>
    <w:rsid w:val="00E67498"/>
    <w:rsid w:val="00E729E2"/>
    <w:rsid w:val="00E81C8A"/>
    <w:rsid w:val="00F36CB0"/>
    <w:rsid w:val="00F53D93"/>
    <w:rsid w:val="00F91951"/>
    <w:rsid w:val="00FD4823"/>
    <w:rsid w:val="00FE0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B66C"/>
  <w15:docId w15:val="{260456C2-C077-4AC4-93D8-E3548935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7A42"/>
    <w:rPr>
      <w:sz w:val="16"/>
      <w:szCs w:val="16"/>
    </w:rPr>
  </w:style>
  <w:style w:type="paragraph" w:styleId="CommentText">
    <w:name w:val="annotation text"/>
    <w:basedOn w:val="Normal"/>
    <w:link w:val="CommentTextChar"/>
    <w:uiPriority w:val="99"/>
    <w:semiHidden/>
    <w:unhideWhenUsed/>
    <w:rsid w:val="00377A42"/>
    <w:pPr>
      <w:spacing w:line="240" w:lineRule="auto"/>
    </w:pPr>
    <w:rPr>
      <w:sz w:val="20"/>
      <w:szCs w:val="20"/>
    </w:rPr>
  </w:style>
  <w:style w:type="character" w:customStyle="1" w:styleId="CommentTextChar">
    <w:name w:val="Comment Text Char"/>
    <w:basedOn w:val="DefaultParagraphFont"/>
    <w:link w:val="CommentText"/>
    <w:uiPriority w:val="99"/>
    <w:semiHidden/>
    <w:rsid w:val="00377A42"/>
    <w:rPr>
      <w:sz w:val="20"/>
      <w:szCs w:val="20"/>
    </w:rPr>
  </w:style>
  <w:style w:type="paragraph" w:styleId="CommentSubject">
    <w:name w:val="annotation subject"/>
    <w:basedOn w:val="CommentText"/>
    <w:next w:val="CommentText"/>
    <w:link w:val="CommentSubjectChar"/>
    <w:uiPriority w:val="99"/>
    <w:semiHidden/>
    <w:unhideWhenUsed/>
    <w:rsid w:val="00377A42"/>
    <w:rPr>
      <w:b/>
      <w:bCs/>
    </w:rPr>
  </w:style>
  <w:style w:type="character" w:customStyle="1" w:styleId="CommentSubjectChar">
    <w:name w:val="Comment Subject Char"/>
    <w:basedOn w:val="CommentTextChar"/>
    <w:link w:val="CommentSubject"/>
    <w:uiPriority w:val="99"/>
    <w:semiHidden/>
    <w:rsid w:val="00377A42"/>
    <w:rPr>
      <w:b/>
      <w:bCs/>
      <w:sz w:val="20"/>
      <w:szCs w:val="20"/>
    </w:rPr>
  </w:style>
  <w:style w:type="paragraph" w:styleId="Revision">
    <w:name w:val="Revision"/>
    <w:hidden/>
    <w:uiPriority w:val="99"/>
    <w:semiHidden/>
    <w:rsid w:val="00761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62FB-B31F-44F4-972F-8CE0B7AB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4313</TotalTime>
  <Pages>7</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OR</dc:creator>
  <cp:keywords/>
  <dc:description/>
  <cp:lastModifiedBy>Perret, Daniel - FS, CORVALLIS, OR</cp:lastModifiedBy>
  <cp:revision>1</cp:revision>
  <dcterms:created xsi:type="dcterms:W3CDTF">2023-10-10T23:37:00Z</dcterms:created>
  <dcterms:modified xsi:type="dcterms:W3CDTF">2024-01-23T12:23:00Z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http://www.zotero.org/styles/forest-ecology-and-management</vt:lpwstr>
  </property>
  <property fmtid="{D5CDD505-2E9C-101B-9397-08002B2CF9AE}" pid="15" name="Mendeley Recent Style Name 6_1">
    <vt:lpwstr>Forest Ecology and Management</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242a7dd5-0b31-3d46-bcab-1bffd55d3789</vt:lpwstr>
  </property>
  <property fmtid="{D5CDD505-2E9C-101B-9397-08002B2CF9AE}" pid="24" name="Mendeley Citation Style_1">
    <vt:lpwstr>http://www.zotero.org/styles/forest-ecology-and-management</vt:lpwstr>
  </property>
</Properties>
</file>