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4288" w14:textId="0D7B7FF0" w:rsidR="00000000" w:rsidRPr="007277BE" w:rsidRDefault="007277BE" w:rsidP="007277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7C98B" wp14:editId="350DFF65">
                <wp:simplePos x="0" y="0"/>
                <wp:positionH relativeFrom="column">
                  <wp:posOffset>-245660</wp:posOffset>
                </wp:positionH>
                <wp:positionV relativeFrom="paragraph">
                  <wp:posOffset>-204716</wp:posOffset>
                </wp:positionV>
                <wp:extent cx="6537278" cy="8461612"/>
                <wp:effectExtent l="0" t="0" r="1651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278" cy="8461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F87AA" id="Rectangle 5" o:spid="_x0000_s1026" style="position:absolute;margin-left:-19.35pt;margin-top:-16.1pt;width:514.75pt;height:66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" filled="f" strokecolor="#09101d [484]" strokeweight="1pt"/>
            </w:pict>
          </mc:Fallback>
        </mc:AlternateContent>
      </w:r>
      <w:r w:rsidRPr="007277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214B6" wp14:editId="6A33EDE1">
                <wp:simplePos x="0" y="0"/>
                <wp:positionH relativeFrom="column">
                  <wp:posOffset>3438762</wp:posOffset>
                </wp:positionH>
                <wp:positionV relativeFrom="paragraph">
                  <wp:posOffset>1965022</wp:posOffset>
                </wp:positionV>
                <wp:extent cx="2401570" cy="6686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861E" w14:textId="4336290D" w:rsidR="007277BE" w:rsidRPr="007277BE" w:rsidRDefault="007277BE">
                            <w:r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proofErr w:type="spellStart"/>
                            <w:r w:rsidRPr="007277BE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Binary categorization scheme combining trends in abundance and basal area for a single species.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21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75pt;margin-top:154.75pt;width:189.1pt;height:5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" stroked="f">
                <v:textbox>
                  <w:txbxContent>
                    <w:p w14:paraId="0BE2861E" w14:textId="4336290D" w:rsidR="007277BE" w:rsidRPr="007277BE" w:rsidRDefault="007277BE">
                      <w:r>
                        <w:rPr>
                          <w:b/>
                          <w:bCs/>
                        </w:rPr>
                        <w:t xml:space="preserve">Figure </w:t>
                      </w:r>
                      <w:proofErr w:type="spellStart"/>
                      <w:r w:rsidRPr="007277BE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Binary categorization scheme combining trends in abundance and basal area for a single species.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77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1486FA6" wp14:editId="112DAD27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2742565" cy="2035175"/>
            <wp:effectExtent l="0" t="0" r="635" b="317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BE">
        <w:rPr>
          <w:rFonts w:ascii="Times New Roman" w:hAnsi="Times New Roman" w:cs="Times New Roman"/>
          <w:b/>
          <w:bCs/>
        </w:rPr>
        <w:t>Box 1</w:t>
      </w:r>
      <w:r w:rsidRPr="007277BE">
        <w:rPr>
          <w:rFonts w:ascii="Times New Roman" w:hAnsi="Times New Roman" w:cs="Times New Roman"/>
        </w:rPr>
        <w:t xml:space="preserve">. </w:t>
      </w:r>
      <w:r w:rsidRPr="007277BE">
        <w:rPr>
          <w:rFonts w:ascii="Times New Roman" w:hAnsi="Times New Roman" w:cs="Times New Roman"/>
          <w:i/>
          <w:iCs/>
        </w:rPr>
        <w:t>Conceptual framework for linking single-species population trends to community-level reorganization trajectories.</w:t>
      </w:r>
      <w:r w:rsidRPr="007277BE">
        <w:rPr>
          <w:rFonts w:ascii="Times New Roman" w:hAnsi="Times New Roman" w:cs="Times New Roman"/>
        </w:rPr>
        <w:t xml:space="preserve"> </w:t>
      </w:r>
      <w:r w:rsidRPr="007277BE">
        <w:rPr>
          <w:rFonts w:ascii="Times New Roman" w:hAnsi="Times New Roman" w:cs="Times New Roman"/>
          <w:sz w:val="24"/>
          <w:szCs w:val="24"/>
        </w:rPr>
        <w:t xml:space="preserve">Changes in either abundance or basal area can be caused by a variety of processes, including stand development, disturbance-related turnover, or mortality. To disentangle these processes, we combined abundance and basal area estimates for each species using a binary categorization scheme (Figure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7277BE">
        <w:rPr>
          <w:rFonts w:ascii="Times New Roman" w:hAnsi="Times New Roman" w:cs="Times New Roman"/>
          <w:sz w:val="24"/>
          <w:szCs w:val="24"/>
        </w:rPr>
        <w:t xml:space="preserve">; Perret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7277BE">
        <w:rPr>
          <w:rFonts w:ascii="Times New Roman" w:hAnsi="Times New Roman" w:cs="Times New Roman"/>
          <w:sz w:val="24"/>
          <w:szCs w:val="24"/>
        </w:rPr>
        <w:t xml:space="preserve"> 2023) with four population trajectory categories: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densification</w:t>
      </w:r>
      <w:r w:rsidRPr="007277BE">
        <w:rPr>
          <w:rFonts w:ascii="Times New Roman" w:hAnsi="Times New Roman" w:cs="Times New Roman"/>
          <w:sz w:val="24"/>
          <w:szCs w:val="24"/>
        </w:rPr>
        <w:t xml:space="preserve"> (increases in both basal area and abundance),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 w:rsidRPr="007277BE">
        <w:rPr>
          <w:rFonts w:ascii="Times New Roman" w:hAnsi="Times New Roman" w:cs="Times New Roman"/>
          <w:sz w:val="24"/>
          <w:szCs w:val="24"/>
        </w:rPr>
        <w:t xml:space="preserve"> (declining abundance but increasing basal area),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turnover</w:t>
      </w:r>
      <w:r w:rsidRPr="007277BE">
        <w:rPr>
          <w:rFonts w:ascii="Times New Roman" w:hAnsi="Times New Roman" w:cs="Times New Roman"/>
          <w:sz w:val="24"/>
          <w:szCs w:val="24"/>
        </w:rPr>
        <w:t xml:space="preserve"> (increasing abundance but declining basal area)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277BE">
        <w:rPr>
          <w:rFonts w:ascii="Times New Roman" w:hAnsi="Times New Roman" w:cs="Times New Roman"/>
          <w:sz w:val="24"/>
          <w:szCs w:val="24"/>
        </w:rPr>
        <w:t xml:space="preserve"> and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decline</w:t>
      </w:r>
      <w:r w:rsidRPr="007277BE">
        <w:rPr>
          <w:rFonts w:ascii="Times New Roman" w:hAnsi="Times New Roman" w:cs="Times New Roman"/>
          <w:sz w:val="24"/>
          <w:szCs w:val="24"/>
        </w:rPr>
        <w:t xml:space="preserve"> (decreases in both basal area and abundance).</w:t>
      </w:r>
    </w:p>
    <w:p w14:paraId="4688D8D5" w14:textId="6DB65E3B" w:rsidR="007277BE" w:rsidRPr="007277BE" w:rsidRDefault="007277BE" w:rsidP="007277B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t>In a simple community comprised of two species, continued coexistence requires positive population trajectories for both species</w:t>
      </w:r>
      <w:r w:rsidRPr="007277BE">
        <w:rPr>
          <w:rFonts w:ascii="Times New Roman" w:hAnsi="Times New Roman" w:cs="Times New Roman"/>
          <w:sz w:val="24"/>
          <w:szCs w:val="24"/>
        </w:rPr>
        <w:t xml:space="preserve"> (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i.e.,</w:t>
      </w:r>
      <w:r w:rsidRPr="007277BE">
        <w:rPr>
          <w:rFonts w:ascii="Times New Roman" w:hAnsi="Times New Roman" w:cs="Times New Roman"/>
          <w:sz w:val="24"/>
          <w:szCs w:val="24"/>
        </w:rPr>
        <w:t xml:space="preserve">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 xml:space="preserve">development </w:t>
      </w:r>
      <w:r w:rsidRPr="007277BE">
        <w:rPr>
          <w:rFonts w:ascii="Times New Roman" w:hAnsi="Times New Roman" w:cs="Times New Roman"/>
          <w:sz w:val="24"/>
          <w:szCs w:val="24"/>
        </w:rPr>
        <w:t>or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 xml:space="preserve"> densification</w:t>
      </w:r>
      <w:r w:rsidRPr="007277BE">
        <w:rPr>
          <w:rFonts w:ascii="Times New Roman" w:hAnsi="Times New Roman" w:cs="Times New Roman"/>
          <w:sz w:val="24"/>
          <w:szCs w:val="24"/>
        </w:rPr>
        <w:t xml:space="preserve">, described above). In contrast, if one species is experiencing turnover or decline, the spruce-fir system is vulnerable to a shift to single-species dominance or other compositional changes. We used the single-species population trajectories described above to categorize these possibilities (Figure </w:t>
      </w:r>
      <w:r>
        <w:rPr>
          <w:rFonts w:ascii="Times New Roman" w:hAnsi="Times New Roman" w:cs="Times New Roman"/>
          <w:i/>
          <w:iCs/>
          <w:sz w:val="24"/>
          <w:szCs w:val="24"/>
        </w:rPr>
        <w:t>ii</w:t>
      </w:r>
      <w:r w:rsidRPr="007277BE">
        <w:rPr>
          <w:rFonts w:ascii="Times New Roman" w:hAnsi="Times New Roman" w:cs="Times New Roman"/>
          <w:sz w:val="24"/>
          <w:szCs w:val="24"/>
        </w:rPr>
        <w:t>) after the post-disturbance reorganization schema presented by Seidl &amp; Turner (202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77BE">
        <w:rPr>
          <w:rFonts w:ascii="Times New Roman" w:hAnsi="Times New Roman" w:cs="Times New Roman"/>
          <w:sz w:val="24"/>
          <w:szCs w:val="24"/>
        </w:rPr>
        <w:t xml:space="preserve">). These possibilities include: (1)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persistence/resilience</w:t>
      </w:r>
      <w:r w:rsidRPr="007277BE">
        <w:rPr>
          <w:rFonts w:ascii="Times New Roman" w:hAnsi="Times New Roman" w:cs="Times New Roman"/>
          <w:sz w:val="24"/>
          <w:szCs w:val="24"/>
        </w:rPr>
        <w:t xml:space="preserve"> – both species are either undergoing changes corresponding with normal stand development or are actively increasing in density; (2)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>structural change</w:t>
      </w:r>
      <w:r w:rsidRPr="007277BE">
        <w:rPr>
          <w:rFonts w:ascii="Times New Roman" w:hAnsi="Times New Roman" w:cs="Times New Roman"/>
          <w:sz w:val="24"/>
          <w:szCs w:val="24"/>
        </w:rPr>
        <w:t xml:space="preserve"> – one or both species have experienced significant turnover of individuals, indicating that future trajectories may depend on post-disturbance recovery and survival of new recruits; (3) 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 xml:space="preserve">compositional change </w:t>
      </w:r>
      <w:r w:rsidRPr="007277BE">
        <w:rPr>
          <w:rFonts w:ascii="Times New Roman" w:hAnsi="Times New Roman" w:cs="Times New Roman"/>
          <w:sz w:val="24"/>
          <w:szCs w:val="24"/>
        </w:rPr>
        <w:t>– one species is in decline while the other is either undergoing normal stand development or increasing in density, suggesting that one species will become dominant over the other; and (4)</w:t>
      </w:r>
      <w:r w:rsidRPr="007277BE">
        <w:rPr>
          <w:rFonts w:ascii="Times New Roman" w:hAnsi="Times New Roman" w:cs="Times New Roman"/>
          <w:i/>
          <w:iCs/>
          <w:sz w:val="24"/>
          <w:szCs w:val="24"/>
        </w:rPr>
        <w:t xml:space="preserve"> replacement</w:t>
      </w:r>
      <w:r w:rsidRPr="007277BE">
        <w:rPr>
          <w:rFonts w:ascii="Times New Roman" w:hAnsi="Times New Roman" w:cs="Times New Roman"/>
          <w:sz w:val="24"/>
          <w:szCs w:val="24"/>
        </w:rPr>
        <w:t xml:space="preserve"> – indicating that both species are in decline, and the system may be replaced entirely. </w:t>
      </w:r>
    </w:p>
    <w:p w14:paraId="1CA2E957" w14:textId="0849E1B1" w:rsidR="007277BE" w:rsidRPr="007277BE" w:rsidRDefault="007277BE" w:rsidP="007277BE">
      <w:pPr>
        <w:spacing w:line="240" w:lineRule="auto"/>
        <w:rPr>
          <w:rFonts w:ascii="Times New Roman" w:hAnsi="Times New Roman" w:cs="Times New Roman"/>
          <w:noProof/>
        </w:rPr>
      </w:pPr>
      <w:r w:rsidRPr="007277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C1950D6" wp14:editId="3334F1D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226685" cy="19354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" b="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5BC9" w14:textId="608FAAD3" w:rsidR="007277BE" w:rsidRPr="007277BE" w:rsidRDefault="007277BE" w:rsidP="007277BE">
      <w:pPr>
        <w:spacing w:line="240" w:lineRule="auto"/>
        <w:rPr>
          <w:rFonts w:ascii="Times New Roman" w:hAnsi="Times New Roman" w:cs="Times New Roman"/>
        </w:rPr>
      </w:pPr>
      <w:r w:rsidRPr="007277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4A2280" wp14:editId="02994549">
                <wp:simplePos x="0" y="0"/>
                <wp:positionH relativeFrom="margin">
                  <wp:align>right</wp:align>
                </wp:positionH>
                <wp:positionV relativeFrom="paragraph">
                  <wp:posOffset>1780256</wp:posOffset>
                </wp:positionV>
                <wp:extent cx="5867740" cy="1404620"/>
                <wp:effectExtent l="0" t="0" r="0" b="82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E6FB" w14:textId="32D86E87" w:rsidR="007277BE" w:rsidRPr="007277BE" w:rsidRDefault="007277BE" w:rsidP="007277BE">
                            <w:r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7277BE">
                              <w:rPr>
                                <w:b/>
                                <w:bCs/>
                                <w:i/>
                                <w:iCs/>
                              </w:rPr>
                              <w:t>ii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t>The post-disturbance reorganization categories (a) described by Seidl &amp; Turner (2022) can be mapped onto a bivariate classification scheme comprised of the population trajectories of two co-occurring species (b).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A2280" id="_x0000_s1027" type="#_x0000_t202" style="position:absolute;margin-left:410.85pt;margin-top:140.2pt;width:462.0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" stroked="f">
                <v:textbox style="mso-fit-shape-to-text:t">
                  <w:txbxContent>
                    <w:p w14:paraId="7348E6FB" w14:textId="32D86E87" w:rsidR="007277BE" w:rsidRPr="007277BE" w:rsidRDefault="007277BE" w:rsidP="007277BE">
                      <w:r>
                        <w:rPr>
                          <w:b/>
                          <w:bCs/>
                        </w:rPr>
                        <w:t xml:space="preserve">Figure </w:t>
                      </w:r>
                      <w:r w:rsidRPr="007277BE">
                        <w:rPr>
                          <w:b/>
                          <w:bCs/>
                          <w:i/>
                          <w:iCs/>
                        </w:rPr>
                        <w:t>ii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</w:t>
                      </w:r>
                      <w:r>
                        <w:t>The post-disturbance reorganization categories (a) described by Seidl &amp; Turner (2022) can be mapped onto a bivariate classification scheme comprised of the population trajectories of two co-occurring species (b).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77BE" w:rsidRPr="0072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BE"/>
    <w:rsid w:val="00521050"/>
    <w:rsid w:val="007277BE"/>
    <w:rsid w:val="00B4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19CD"/>
  <w15:chartTrackingRefBased/>
  <w15:docId w15:val="{DC43A93A-0358-48AC-A55F-347E3696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7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77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77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Perret, Daniel - FS, OR</dc:creator>
  <cp:keywords/>
  <dc:description/>
  <cp:lastModifiedBy>Perret, Daniel - FS, OR</cp:lastModifiedBy>
  <cp:revision>2</cp:revision>
  <dcterms:created xsi:type="dcterms:W3CDTF">2024-05-14T21:50:00Z</dcterms:created>
  <dcterms:modified xsi:type="dcterms:W3CDTF">2024-05-15T15:34:00Z</dcterms:modified>
</cp:coreProperties>
</file>