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0CE2" w14:textId="77777777"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t>Introduction</w:t>
      </w:r>
    </w:p>
    <w:p w14:paraId="1E139D3D" w14:textId="579BB8B6"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Global change is reshuffling species assemblies globally, and predicting what that looks like is very difficult. Predicting community assembly is a longstanding problem in ecology, exacerbated by rapidly shifting environmental/disturbance conditions.</w:t>
      </w:r>
    </w:p>
    <w:p w14:paraId="342DC7D4" w14:textId="7C31C85B"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 xml:space="preserve">Coexistence theory may help in this respect; explicitly considering how environmental requirements intersect with competition and </w:t>
      </w:r>
      <w:proofErr w:type="gramStart"/>
      <w:r>
        <w:rPr>
          <w:rFonts w:ascii="Times New Roman" w:hAnsi="Times New Roman" w:cs="Times New Roman"/>
          <w:sz w:val="24"/>
          <w:szCs w:val="24"/>
        </w:rPr>
        <w:t>demography</w:t>
      </w:r>
      <w:proofErr w:type="gramEnd"/>
    </w:p>
    <w:p w14:paraId="6543A92F" w14:textId="5995E6E0"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For example, subalpine fir-spruce codominance in mountains of WNA maintained by very specific balance of demographic rates; those are a product of species-specific responses to environment and disturbance regimes.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Prior work suggests that coexistence of subalpine fir and Engelmann spruce is maintained by interspecific differences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w:t>
      </w:r>
    </w:p>
    <w:p w14:paraId="398E4541" w14:textId="77777777" w:rsidR="00145D25"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Evidence from past glacial-interglacial cycles suggests that no-analog communities formed when climates were different/differently distributed than they are now; we also know that this spruce-fir association looked very different. </w:t>
      </w:r>
      <w:r w:rsidR="00145D25">
        <w:rPr>
          <w:rFonts w:ascii="Times New Roman" w:hAnsi="Times New Roman" w:cs="Times New Roman"/>
          <w:sz w:val="24"/>
          <w:szCs w:val="24"/>
        </w:rPr>
        <w:t>Highlight a couple examples.</w:t>
      </w:r>
      <w:r w:rsidR="00145D25" w:rsidRPr="00A96A09">
        <w:rPr>
          <w:rFonts w:ascii="Times New Roman" w:hAnsi="Times New Roman" w:cs="Times New Roman"/>
          <w:sz w:val="24"/>
          <w:szCs w:val="24"/>
        </w:rPr>
        <w:t xml:space="preserve"> </w:t>
      </w:r>
      <w:r w:rsidR="00145D25" w:rsidRPr="00EA2985">
        <w:rPr>
          <w:rFonts w:ascii="Times New Roman" w:hAnsi="Times New Roman" w:cs="Times New Roman"/>
          <w:sz w:val="24"/>
          <w:szCs w:val="24"/>
        </w:rPr>
        <w:t>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w:t>
      </w:r>
    </w:p>
    <w:p w14:paraId="2C553A39" w14:textId="7D7708F2" w:rsidR="00A96A09"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Could current and future global change produce conditions under which current species associations are no longer viable? </w:t>
      </w:r>
      <w:r w:rsidR="00145D25" w:rsidRPr="00EA2985">
        <w:rPr>
          <w:rFonts w:ascii="Times New Roman" w:hAnsi="Times New Roman" w:cs="Times New Roman"/>
          <w:sz w:val="24"/>
          <w:szCs w:val="24"/>
        </w:rPr>
        <w:t>Changing climate and disturbance regimes may “break” these demographic pathways that maintain spruce-fir forest systems, insofar as species have different responses to climate, fire, and host-specific biological disturbance agents.</w:t>
      </w:r>
    </w:p>
    <w:p w14:paraId="4EE6F9A3" w14:textId="35A8C0FE" w:rsidR="00A96A09" w:rsidRDefault="00A96A09" w:rsidP="00A96A09">
      <w:pPr>
        <w:ind w:firstLine="720"/>
        <w:rPr>
          <w:rFonts w:ascii="Times New Roman" w:hAnsi="Times New Roman" w:cs="Times New Roman"/>
          <w:sz w:val="24"/>
          <w:szCs w:val="24"/>
        </w:rPr>
      </w:pPr>
      <w:r>
        <w:rPr>
          <w:rFonts w:ascii="Times New Roman" w:hAnsi="Times New Roman" w:cs="Times New Roman"/>
          <w:sz w:val="24"/>
          <w:szCs w:val="24"/>
        </w:rPr>
        <w:t xml:space="preserve">Evidence from prior ABLA paper suggesting that trajectories of subalpine forests </w:t>
      </w:r>
      <w:proofErr w:type="gramStart"/>
      <w:r>
        <w:rPr>
          <w:rFonts w:ascii="Times New Roman" w:hAnsi="Times New Roman" w:cs="Times New Roman"/>
          <w:sz w:val="24"/>
          <w:szCs w:val="24"/>
        </w:rPr>
        <w:t>depends</w:t>
      </w:r>
      <w:proofErr w:type="gramEnd"/>
      <w:r>
        <w:rPr>
          <w:rFonts w:ascii="Times New Roman" w:hAnsi="Times New Roman" w:cs="Times New Roman"/>
          <w:sz w:val="24"/>
          <w:szCs w:val="24"/>
        </w:rPr>
        <w:t xml:space="preserve"> on interspecific variation in climate </w:t>
      </w:r>
      <w:proofErr w:type="spellStart"/>
      <w:r>
        <w:rPr>
          <w:rFonts w:ascii="Times New Roman" w:hAnsi="Times New Roman" w:cs="Times New Roman"/>
          <w:sz w:val="24"/>
          <w:szCs w:val="24"/>
        </w:rPr>
        <w:t>resposnes</w:t>
      </w:r>
      <w:proofErr w:type="spellEnd"/>
      <w:r>
        <w:rPr>
          <w:rFonts w:ascii="Times New Roman" w:hAnsi="Times New Roman" w:cs="Times New Roman"/>
          <w:sz w:val="24"/>
          <w:szCs w:val="24"/>
        </w:rPr>
        <w:t xml:space="preserve"> responses.</w:t>
      </w:r>
      <w:r w:rsidRPr="00A96A09">
        <w:rPr>
          <w:rFonts w:ascii="Times New Roman" w:hAnsi="Times New Roman" w:cs="Times New Roman"/>
          <w:sz w:val="24"/>
          <w:szCs w:val="24"/>
        </w:rPr>
        <w:t xml:space="preserve"> </w:t>
      </w:r>
      <w:r w:rsidRPr="00EA2985">
        <w:rPr>
          <w:rFonts w:ascii="Times New Roman" w:hAnsi="Times New Roman" w:cs="Times New Roman"/>
          <w:sz w:val="24"/>
          <w:szCs w:val="24"/>
        </w:rPr>
        <w:t xml:space="preserve">Our subalpine fir status and trends paper suggested that the future trajectories of subalpine forest communities may depend on interspecific variation in responses to climate change, </w:t>
      </w:r>
      <w:proofErr w:type="spellStart"/>
      <w:r w:rsidRPr="00EA2985">
        <w:rPr>
          <w:rFonts w:ascii="Times New Roman" w:hAnsi="Times New Roman" w:cs="Times New Roman"/>
          <w:sz w:val="24"/>
          <w:szCs w:val="24"/>
        </w:rPr>
        <w:t>nondiscriminant</w:t>
      </w:r>
      <w:proofErr w:type="spellEnd"/>
      <w:r w:rsidRPr="00EA2985">
        <w:rPr>
          <w:rFonts w:ascii="Times New Roman" w:hAnsi="Times New Roman" w:cs="Times New Roman"/>
          <w:sz w:val="24"/>
          <w:szCs w:val="24"/>
        </w:rPr>
        <w:t xml:space="preserve"> forest disturbances (</w:t>
      </w:r>
      <w:proofErr w:type="spellStart"/>
      <w:r w:rsidRPr="00EA2985">
        <w:rPr>
          <w:rFonts w:ascii="Times New Roman" w:hAnsi="Times New Roman" w:cs="Times New Roman"/>
          <w:i/>
          <w:iCs/>
          <w:sz w:val="24"/>
          <w:szCs w:val="24"/>
        </w:rPr>
        <w:t>e.g.,</w:t>
      </w:r>
      <w:r w:rsidRPr="00EA2985">
        <w:rPr>
          <w:rFonts w:ascii="Times New Roman" w:hAnsi="Times New Roman" w:cs="Times New Roman"/>
          <w:sz w:val="24"/>
          <w:szCs w:val="24"/>
        </w:rPr>
        <w:t>fire</w:t>
      </w:r>
      <w:proofErr w:type="spellEnd"/>
      <w:r w:rsidRPr="00EA2985">
        <w:rPr>
          <w:rFonts w:ascii="Times New Roman" w:hAnsi="Times New Roman" w:cs="Times New Roman"/>
          <w:sz w:val="24"/>
          <w:szCs w:val="24"/>
        </w:rPr>
        <w:t>), and host-specific forest disturbances (</w:t>
      </w:r>
      <w:r w:rsidRPr="00EA2985">
        <w:rPr>
          <w:rFonts w:ascii="Times New Roman" w:hAnsi="Times New Roman" w:cs="Times New Roman"/>
          <w:i/>
          <w:iCs/>
          <w:sz w:val="24"/>
          <w:szCs w:val="24"/>
        </w:rPr>
        <w:t>e.g.,</w:t>
      </w:r>
      <w:r w:rsidRPr="00EA2985">
        <w:rPr>
          <w:rFonts w:ascii="Times New Roman" w:hAnsi="Times New Roman" w:cs="Times New Roman"/>
          <w:sz w:val="24"/>
          <w:szCs w:val="24"/>
        </w:rPr>
        <w:t xml:space="preserve"> biological disturbance agents, BDAs</w:t>
      </w:r>
      <w:r w:rsidRPr="00EA2985">
        <w:rPr>
          <w:rFonts w:ascii="Times New Roman" w:hAnsi="Times New Roman" w:cs="Times New Roman"/>
          <w:sz w:val="24"/>
          <w:szCs w:val="24"/>
        </w:rPr>
        <w:fldChar w:fldCharType="begin" w:fldLock="1"/>
      </w:r>
      <w:r w:rsidRPr="00EA2985">
        <w:rPr>
          <w:rFonts w:ascii="Times New Roman" w:hAnsi="Times New Roman" w:cs="Times New Roman"/>
          <w:sz w:val="24"/>
          <w:szCs w:val="24"/>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Pr="00EA2985">
        <w:rPr>
          <w:rFonts w:ascii="Times New Roman" w:hAnsi="Times New Roman" w:cs="Times New Roman"/>
          <w:sz w:val="24"/>
          <w:szCs w:val="24"/>
        </w:rPr>
        <w:fldChar w:fldCharType="separate"/>
      </w:r>
      <w:r w:rsidRPr="00EA2985">
        <w:rPr>
          <w:rFonts w:ascii="Times New Roman" w:hAnsi="Times New Roman" w:cs="Times New Roman"/>
          <w:noProof/>
          <w:sz w:val="24"/>
          <w:szCs w:val="24"/>
        </w:rPr>
        <w:t>; Perret et al., 2023)</w:t>
      </w:r>
      <w:r w:rsidRPr="00EA2985">
        <w:rPr>
          <w:rFonts w:ascii="Times New Roman" w:hAnsi="Times New Roman" w:cs="Times New Roman"/>
          <w:sz w:val="24"/>
          <w:szCs w:val="24"/>
        </w:rPr>
        <w:fldChar w:fldCharType="end"/>
      </w:r>
      <w:r w:rsidRPr="00EA2985">
        <w:rPr>
          <w:rFonts w:ascii="Times New Roman" w:hAnsi="Times New Roman" w:cs="Times New Roman"/>
          <w:sz w:val="24"/>
          <w:szCs w:val="24"/>
        </w:rPr>
        <w:t xml:space="preserve">. This was supported in part by differences we found in the importance of major sources of mortality between regions where subalpine fir was in decline compared to other co-occurring species. </w:t>
      </w:r>
    </w:p>
    <w:p w14:paraId="1DA677F9" w14:textId="52E2CA90" w:rsidR="00A96A09" w:rsidRDefault="00A96A09" w:rsidP="00EA2985">
      <w:pPr>
        <w:ind w:firstLine="720"/>
        <w:rPr>
          <w:rFonts w:ascii="Times New Roman" w:hAnsi="Times New Roman" w:cs="Times New Roman"/>
          <w:sz w:val="24"/>
          <w:szCs w:val="24"/>
        </w:rPr>
      </w:pPr>
      <w:r>
        <w:rPr>
          <w:rFonts w:ascii="Times New Roman" w:hAnsi="Times New Roman" w:cs="Times New Roman"/>
          <w:sz w:val="24"/>
          <w:szCs w:val="24"/>
        </w:rPr>
        <w:t xml:space="preserve">Here we leverage FIA data to investigate whether demographic mechanisms of coexistence for subalpine fir and Engelmann spruce across the two species’ joint distribution in western NA are vulnerable to changing climates and disturbances. We do this by first estimating population trends between 2000-2009 and 2010-2019 for both species where they </w:t>
      </w:r>
      <w:proofErr w:type="gramStart"/>
      <w:r>
        <w:rPr>
          <w:rFonts w:ascii="Times New Roman" w:hAnsi="Times New Roman" w:cs="Times New Roman"/>
          <w:sz w:val="24"/>
          <w:szCs w:val="24"/>
        </w:rPr>
        <w:t>co-occur, and</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using a new conceptual framework to categorize these trajectories. We then build a series of hierarchical Bayesian demographic models that estimate the effect of climate types, climate anomalies, and disturbance on individual mortality, regeneration, and recruitment. We use these models to assess whether projected future change scenarios make future coexistence more/less likely. </w:t>
      </w:r>
    </w:p>
    <w:p w14:paraId="66625E1E" w14:textId="77777777" w:rsidR="00A96A09" w:rsidRPr="00EA2985" w:rsidRDefault="00A96A09" w:rsidP="00EA2985">
      <w:pPr>
        <w:rPr>
          <w:rFonts w:ascii="Times New Roman" w:hAnsi="Times New Roman" w:cs="Times New Roman"/>
          <w:sz w:val="24"/>
          <w:szCs w:val="24"/>
        </w:rPr>
      </w:pPr>
    </w:p>
    <w:p w14:paraId="44D02CE8" w14:textId="1E8DEB1F" w:rsidR="00EA2985" w:rsidRPr="00EA2985" w:rsidRDefault="00EA2985">
      <w:pPr>
        <w:rPr>
          <w:rFonts w:ascii="Times New Roman" w:hAnsi="Times New Roman" w:cs="Times New Roman"/>
          <w:sz w:val="24"/>
          <w:szCs w:val="24"/>
        </w:rPr>
      </w:pPr>
      <w:r w:rsidRPr="00EA2985">
        <w:rPr>
          <w:rFonts w:ascii="Times New Roman" w:hAnsi="Times New Roman" w:cs="Times New Roman"/>
          <w:i/>
          <w:iCs/>
          <w:sz w:val="24"/>
          <w:szCs w:val="24"/>
        </w:rPr>
        <w:t xml:space="preserve">Conceptual framework </w:t>
      </w:r>
      <w:r w:rsidRPr="00EA2985">
        <w:rPr>
          <w:rFonts w:ascii="Times New Roman" w:hAnsi="Times New Roman" w:cs="Times New Roman"/>
          <w:sz w:val="24"/>
          <w:szCs w:val="24"/>
        </w:rPr>
        <w:t>(maybe a box?)</w:t>
      </w:r>
    </w:p>
    <w:p w14:paraId="74122298" w14:textId="77777777"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rPr>
        <w:t xml:space="preserve">Describe conceptual framework for comparing population trajectories of multiple coexisting species based on basal area and stem density trends, e.g., persistence, structural change, compositional change, replacement – grounded in Seidl &amp; Turner paper. Perhaps here is where conceptual diagram figure is referenced. </w:t>
      </w:r>
    </w:p>
    <w:p w14:paraId="1F527E3A" w14:textId="552C5DCF" w:rsidR="00EA2985" w:rsidRPr="00EA2985" w:rsidRDefault="00EA2985">
      <w:pPr>
        <w:rPr>
          <w:rFonts w:ascii="Times New Roman" w:hAnsi="Times New Roman" w:cs="Times New Roman"/>
          <w:sz w:val="24"/>
          <w:szCs w:val="24"/>
        </w:rPr>
      </w:pPr>
      <w:r w:rsidRPr="00EA2985">
        <w:rPr>
          <w:rFonts w:ascii="Times New Roman" w:hAnsi="Times New Roman" w:cs="Times New Roman"/>
          <w:sz w:val="24"/>
          <w:szCs w:val="24"/>
        </w:rPr>
        <w:t xml:space="preserve">conceptual framework for comparing population trajectories of multiple coexisting species, based on basal area and stem density trends. I’ve created four bins of possibilities with respect to the likelihood of future coexistence: (1) </w:t>
      </w:r>
      <w:r w:rsidRPr="00EA2985">
        <w:rPr>
          <w:rFonts w:ascii="Times New Roman" w:hAnsi="Times New Roman" w:cs="Times New Roman"/>
          <w:i/>
          <w:iCs/>
          <w:sz w:val="24"/>
          <w:szCs w:val="24"/>
        </w:rPr>
        <w:t>persistence/resilience</w:t>
      </w:r>
      <w:r w:rsidRPr="00EA2985">
        <w:rPr>
          <w:rFonts w:ascii="Times New Roman" w:hAnsi="Times New Roman" w:cs="Times New Roman"/>
          <w:sz w:val="24"/>
          <w:szCs w:val="24"/>
        </w:rPr>
        <w:t xml:space="preserve"> – both species are either undergoing changes corresponding with normal stand development or are actively increasing in density; (2) </w:t>
      </w:r>
      <w:r w:rsidRPr="00EA2985">
        <w:rPr>
          <w:rFonts w:ascii="Times New Roman" w:hAnsi="Times New Roman" w:cs="Times New Roman"/>
          <w:i/>
          <w:iCs/>
          <w:sz w:val="24"/>
          <w:szCs w:val="24"/>
        </w:rPr>
        <w:t>structural change</w:t>
      </w:r>
      <w:r w:rsidRPr="00EA2985">
        <w:rPr>
          <w:rFonts w:ascii="Times New Roman" w:hAnsi="Times New Roman" w:cs="Times New Roman"/>
          <w:sz w:val="24"/>
          <w:szCs w:val="24"/>
        </w:rPr>
        <w:t xml:space="preserve"> – one or both species have experienced significant turnover of individuals, indicating that future trajectories may depend on post-disturbance recovery and survival of new recruits; (3) </w:t>
      </w:r>
      <w:r w:rsidRPr="00EA2985">
        <w:rPr>
          <w:rFonts w:ascii="Times New Roman" w:hAnsi="Times New Roman" w:cs="Times New Roman"/>
          <w:i/>
          <w:iCs/>
          <w:sz w:val="24"/>
          <w:szCs w:val="24"/>
        </w:rPr>
        <w:t xml:space="preserve">compositional change </w:t>
      </w:r>
      <w:r w:rsidRPr="00EA2985">
        <w:rPr>
          <w:rFonts w:ascii="Times New Roman" w:hAnsi="Times New Roman" w:cs="Times New Roman"/>
          <w:sz w:val="24"/>
          <w:szCs w:val="24"/>
        </w:rPr>
        <w:t>– one species is in decline while the other is either undergoing normal stand development or increasing in density, suggesting that one species will become dominant over the other; and (4)</w:t>
      </w:r>
      <w:r w:rsidRPr="00EA2985">
        <w:rPr>
          <w:rFonts w:ascii="Times New Roman" w:hAnsi="Times New Roman" w:cs="Times New Roman"/>
          <w:i/>
          <w:iCs/>
          <w:sz w:val="24"/>
          <w:szCs w:val="24"/>
        </w:rPr>
        <w:t xml:space="preserve"> replacement</w:t>
      </w:r>
      <w:r w:rsidRPr="00EA2985">
        <w:rPr>
          <w:rFonts w:ascii="Times New Roman" w:hAnsi="Times New Roman" w:cs="Times New Roman"/>
          <w:sz w:val="24"/>
          <w:szCs w:val="24"/>
        </w:rPr>
        <w:t xml:space="preserve"> – indicating that both species are in decline or experiencing significant turnover. </w:t>
      </w:r>
    </w:p>
    <w:p w14:paraId="706EB5FB" w14:textId="61D1B316" w:rsidR="00EA2985" w:rsidRPr="00EA2985" w:rsidRDefault="00EA2985">
      <w:pPr>
        <w:rPr>
          <w:rFonts w:ascii="Times New Roman" w:hAnsi="Times New Roman" w:cs="Times New Roman"/>
          <w:b/>
          <w:bCs/>
          <w:sz w:val="24"/>
          <w:szCs w:val="24"/>
        </w:rPr>
      </w:pPr>
      <w:r w:rsidRPr="00EA2985">
        <w:rPr>
          <w:rFonts w:ascii="Times New Roman" w:hAnsi="Times New Roman" w:cs="Times New Roman"/>
          <w:b/>
          <w:bCs/>
          <w:sz w:val="24"/>
          <w:szCs w:val="24"/>
        </w:rPr>
        <w:br w:type="page"/>
      </w:r>
    </w:p>
    <w:p w14:paraId="5E263241" w14:textId="5E4DF9A2" w:rsidR="009F6CF1" w:rsidRPr="00EA2985" w:rsidRDefault="00E25466">
      <w:pPr>
        <w:rPr>
          <w:rFonts w:ascii="Times New Roman" w:hAnsi="Times New Roman" w:cs="Times New Roman"/>
          <w:sz w:val="24"/>
          <w:szCs w:val="24"/>
        </w:rPr>
      </w:pPr>
      <w:r w:rsidRPr="00EA2985">
        <w:rPr>
          <w:rFonts w:ascii="Times New Roman" w:hAnsi="Times New Roman" w:cs="Times New Roman"/>
          <w:b/>
          <w:bCs/>
          <w:sz w:val="24"/>
          <w:szCs w:val="24"/>
        </w:rPr>
        <w:lastRenderedPageBreak/>
        <w:t>Methods</w:t>
      </w:r>
    </w:p>
    <w:p w14:paraId="59697F0A" w14:textId="21B7C7FA" w:rsidR="00E25466" w:rsidRDefault="00E25466">
      <w:pPr>
        <w:rPr>
          <w:rFonts w:ascii="Times New Roman" w:hAnsi="Times New Roman" w:cs="Times New Roman"/>
          <w:sz w:val="24"/>
          <w:szCs w:val="24"/>
        </w:rPr>
      </w:pPr>
      <w:r w:rsidRPr="00EA2985">
        <w:rPr>
          <w:rFonts w:ascii="Times New Roman" w:hAnsi="Times New Roman" w:cs="Times New Roman"/>
          <w:i/>
          <w:iCs/>
          <w:sz w:val="24"/>
          <w:szCs w:val="24"/>
        </w:rPr>
        <w:t>Forest inventory data</w:t>
      </w:r>
    </w:p>
    <w:p w14:paraId="18A632C8" w14:textId="677266C5" w:rsidR="001C5867" w:rsidRDefault="001C5867">
      <w:pPr>
        <w:rPr>
          <w:rFonts w:ascii="Times New Roman" w:hAnsi="Times New Roman" w:cs="Times New Roman"/>
          <w:sz w:val="24"/>
          <w:szCs w:val="24"/>
        </w:rPr>
      </w:pPr>
      <w:r>
        <w:rPr>
          <w:rFonts w:ascii="Times New Roman" w:hAnsi="Times New Roman" w:cs="Times New Roman"/>
          <w:sz w:val="24"/>
          <w:szCs w:val="24"/>
        </w:rPr>
        <w:tab/>
        <w:t xml:space="preserve">The US Forest Service Forest Inventory and Analysis (FIA) database provides </w:t>
      </w:r>
      <w:proofErr w:type="gramStart"/>
      <w:r>
        <w:rPr>
          <w:rFonts w:ascii="Times New Roman" w:hAnsi="Times New Roman" w:cs="Times New Roman"/>
          <w:sz w:val="24"/>
          <w:szCs w:val="24"/>
        </w:rPr>
        <w:t>nationally-consistent</w:t>
      </w:r>
      <w:proofErr w:type="gramEnd"/>
      <w:r>
        <w:rPr>
          <w:rFonts w:ascii="Times New Roman" w:hAnsi="Times New Roman" w:cs="Times New Roman"/>
          <w:sz w:val="24"/>
          <w:szCs w:val="24"/>
        </w:rPr>
        <w:t xml:space="preserve"> and randomized forest plot measurements across all forest lands in the United States. In the western United States, plots are remeasured on an average rotation of 10 years, facilitating estimates of decadal-scale changes in forest attributes and tree vital rates. In brief, each FIA plot consists of nested subplots on which adult trees (&gt; 12.7 cm DBH) are inventoried, microplots on which seedlings (&lt;2.54 cm DBH and &gt;15.24 cm height) and saplings (2.54 – 12.7 cm DBH) are inventoried, and </w:t>
      </w:r>
      <w:proofErr w:type="spellStart"/>
      <w:r>
        <w:rPr>
          <w:rFonts w:ascii="Times New Roman" w:hAnsi="Times New Roman" w:cs="Times New Roman"/>
          <w:sz w:val="24"/>
          <w:szCs w:val="24"/>
        </w:rPr>
        <w:t>macroplots</w:t>
      </w:r>
      <w:proofErr w:type="spellEnd"/>
      <w:r>
        <w:rPr>
          <w:rFonts w:ascii="Times New Roman" w:hAnsi="Times New Roman" w:cs="Times New Roman"/>
          <w:sz w:val="24"/>
          <w:szCs w:val="24"/>
        </w:rPr>
        <w:t xml:space="preserve"> on which large trees are inventoried (in certain Western states; size threshold varies by state). FIA field crews collect a vast array of information, including physical tree measurements, tree damages, putative causes of mortality, and disturbance type and extent. For a complete description of FIA sampling and measurement protocols, refer to the FIA user guide and FIA field manual</w:t>
      </w:r>
      <w:r w:rsidR="006364CD">
        <w:rPr>
          <w:rFonts w:ascii="Times New Roman" w:hAnsi="Times New Roman" w:cs="Times New Roman"/>
          <w:sz w:val="24"/>
          <w:szCs w:val="24"/>
        </w:rPr>
        <w:t xml:space="preserve">. </w:t>
      </w:r>
    </w:p>
    <w:p w14:paraId="0BD95B19" w14:textId="4610A0D0" w:rsidR="001C5867" w:rsidRDefault="006364CD">
      <w:pPr>
        <w:rPr>
          <w:rFonts w:ascii="Times New Roman" w:hAnsi="Times New Roman" w:cs="Times New Roman"/>
          <w:sz w:val="24"/>
          <w:szCs w:val="24"/>
        </w:rPr>
      </w:pPr>
      <w:r>
        <w:rPr>
          <w:rFonts w:ascii="Times New Roman" w:hAnsi="Times New Roman" w:cs="Times New Roman"/>
          <w:sz w:val="24"/>
          <w:szCs w:val="24"/>
        </w:rPr>
        <w:tab/>
        <w:t xml:space="preserve">We queried the FIA database for plots that had been remeasured during the 2010-2019 inventory </w:t>
      </w:r>
      <w:proofErr w:type="gramStart"/>
      <w:r>
        <w:rPr>
          <w:rFonts w:ascii="Times New Roman" w:hAnsi="Times New Roman" w:cs="Times New Roman"/>
          <w:sz w:val="24"/>
          <w:szCs w:val="24"/>
        </w:rPr>
        <w:t>period, and</w:t>
      </w:r>
      <w:proofErr w:type="gramEnd"/>
      <w:r>
        <w:rPr>
          <w:rFonts w:ascii="Times New Roman" w:hAnsi="Times New Roman" w:cs="Times New Roman"/>
          <w:sz w:val="24"/>
          <w:szCs w:val="24"/>
        </w:rPr>
        <w:t xml:space="preserve"> contained both subalpine fir and Engelmann spruce.</w:t>
      </w:r>
      <w:r w:rsidR="00442F38">
        <w:rPr>
          <w:rFonts w:ascii="Times New Roman" w:hAnsi="Times New Roman" w:cs="Times New Roman"/>
          <w:sz w:val="24"/>
          <w:szCs w:val="24"/>
        </w:rPr>
        <w:t xml:space="preserve"> Following Perret </w:t>
      </w:r>
      <w:r w:rsidR="00442F38">
        <w:rPr>
          <w:rFonts w:ascii="Times New Roman" w:hAnsi="Times New Roman" w:cs="Times New Roman"/>
          <w:i/>
          <w:iCs/>
          <w:sz w:val="24"/>
          <w:szCs w:val="24"/>
        </w:rPr>
        <w:t>et al.</w:t>
      </w:r>
      <w:r w:rsidR="00442F38">
        <w:rPr>
          <w:rFonts w:ascii="Times New Roman" w:hAnsi="Times New Roman" w:cs="Times New Roman"/>
          <w:sz w:val="24"/>
          <w:szCs w:val="24"/>
        </w:rPr>
        <w:t xml:space="preserve"> 2023, we included all plots that contained at least one individual of both species with a DBH &gt; 2.54 cm.</w:t>
      </w:r>
      <w:r>
        <w:rPr>
          <w:rFonts w:ascii="Times New Roman" w:hAnsi="Times New Roman" w:cs="Times New Roman"/>
          <w:sz w:val="24"/>
          <w:szCs w:val="24"/>
        </w:rPr>
        <w:t xml:space="preserve"> We intentionally retained plots that only contained dead individuals of either or both species, in order to avoid excluding plots that had experienced high mortality rates since the previous measurement.</w:t>
      </w:r>
      <w:r w:rsidR="003549F3">
        <w:rPr>
          <w:rFonts w:ascii="Times New Roman" w:hAnsi="Times New Roman" w:cs="Times New Roman"/>
          <w:sz w:val="24"/>
          <w:szCs w:val="24"/>
        </w:rPr>
        <w:t xml:space="preserve"> Every plot we included in our analyses could be linked back to a previous plot measurement; because Wyoming transitioned to the annualized sampling design later than other western States, initial plot measurements in the state came from the previous periodic survey design.</w:t>
      </w:r>
      <w:r w:rsidR="00442F38">
        <w:rPr>
          <w:rFonts w:ascii="Times New Roman" w:hAnsi="Times New Roman" w:cs="Times New Roman"/>
          <w:sz w:val="24"/>
          <w:szCs w:val="24"/>
        </w:rPr>
        <w:t xml:space="preserve"> In total, this yielded 2902 plots with two measurements between the 2000-2009 and 2010-2019 inventory periods, containing </w:t>
      </w:r>
      <w:proofErr w:type="gramStart"/>
      <w:r w:rsidR="00442F38">
        <w:rPr>
          <w:rFonts w:ascii="Times New Roman" w:hAnsi="Times New Roman" w:cs="Times New Roman"/>
          <w:sz w:val="24"/>
          <w:szCs w:val="24"/>
        </w:rPr>
        <w:t>XX,XXX</w:t>
      </w:r>
      <w:proofErr w:type="gramEnd"/>
      <w:r w:rsidR="00442F38">
        <w:rPr>
          <w:rFonts w:ascii="Times New Roman" w:hAnsi="Times New Roman" w:cs="Times New Roman"/>
          <w:sz w:val="24"/>
          <w:szCs w:val="24"/>
        </w:rPr>
        <w:t xml:space="preserve"> individual subalpine fir and Engelmann spruce.</w:t>
      </w:r>
    </w:p>
    <w:p w14:paraId="0353FFEE" w14:textId="77777777" w:rsidR="00442F38" w:rsidRDefault="00442F38">
      <w:pPr>
        <w:rPr>
          <w:rFonts w:ascii="Times New Roman" w:hAnsi="Times New Roman" w:cs="Times New Roman"/>
          <w:i/>
          <w:iCs/>
          <w:sz w:val="24"/>
          <w:szCs w:val="24"/>
        </w:rPr>
      </w:pPr>
    </w:p>
    <w:p w14:paraId="0EBB16AC" w14:textId="737C519E" w:rsidR="00E25466" w:rsidRPr="00EA2985" w:rsidRDefault="00E25466">
      <w:pPr>
        <w:rPr>
          <w:rFonts w:ascii="Times New Roman" w:hAnsi="Times New Roman" w:cs="Times New Roman"/>
          <w:sz w:val="24"/>
          <w:szCs w:val="24"/>
        </w:rPr>
      </w:pPr>
      <w:r w:rsidRPr="00EA2985">
        <w:rPr>
          <w:rFonts w:ascii="Times New Roman" w:hAnsi="Times New Roman" w:cs="Times New Roman"/>
          <w:i/>
          <w:iCs/>
          <w:sz w:val="24"/>
          <w:szCs w:val="24"/>
        </w:rPr>
        <w:t xml:space="preserve">Population </w:t>
      </w:r>
      <w:r w:rsidR="0055003E" w:rsidRPr="00EA2985">
        <w:rPr>
          <w:rFonts w:ascii="Times New Roman" w:hAnsi="Times New Roman" w:cs="Times New Roman"/>
          <w:i/>
          <w:iCs/>
          <w:sz w:val="24"/>
          <w:szCs w:val="24"/>
        </w:rPr>
        <w:t>trajectories</w:t>
      </w:r>
    </w:p>
    <w:p w14:paraId="25D9E4C0" w14:textId="2F57A13C" w:rsidR="00E22AE5" w:rsidRPr="00E22AE5" w:rsidRDefault="00442F38" w:rsidP="00442F38">
      <w:pPr>
        <w:ind w:firstLine="720"/>
        <w:rPr>
          <w:rFonts w:ascii="Times New Roman" w:hAnsi="Times New Roman" w:cs="Times New Roman"/>
          <w:sz w:val="24"/>
          <w:szCs w:val="24"/>
        </w:rPr>
      </w:pPr>
      <w:r>
        <w:rPr>
          <w:rFonts w:ascii="Times New Roman" w:hAnsi="Times New Roman" w:cs="Times New Roman"/>
          <w:sz w:val="24"/>
          <w:szCs w:val="24"/>
        </w:rPr>
        <w:t>The FIA program uses a randomized sampling design that facilitates post-stratified estimation of multiple forest attributes. We used standard FIA estimation procedures (Bechtold &amp; Patterson), modified from implementation in the rFIA package (</w:t>
      </w:r>
      <w:proofErr w:type="spellStart"/>
      <w:r>
        <w:rPr>
          <w:rFonts w:ascii="Times New Roman" w:hAnsi="Times New Roman" w:cs="Times New Roman"/>
          <w:sz w:val="24"/>
          <w:szCs w:val="24"/>
        </w:rPr>
        <w:t>Stanke</w:t>
      </w:r>
      <w:proofErr w:type="spellEnd"/>
      <w:r>
        <w:rPr>
          <w:rFonts w:ascii="Times New Roman" w:hAnsi="Times New Roman" w:cs="Times New Roman"/>
          <w:sz w:val="24"/>
          <w:szCs w:val="24"/>
        </w:rPr>
        <w:t>), to estimate decadal changes in the abundance and basal are</w:t>
      </w:r>
      <w:r w:rsidR="00A308A3">
        <w:rPr>
          <w:rFonts w:ascii="Times New Roman" w:hAnsi="Times New Roman" w:cs="Times New Roman"/>
          <w:sz w:val="24"/>
          <w:szCs w:val="24"/>
        </w:rPr>
        <w:t>a</w:t>
      </w:r>
      <w:r>
        <w:rPr>
          <w:rFonts w:ascii="Times New Roman" w:hAnsi="Times New Roman" w:cs="Times New Roman"/>
          <w:sz w:val="24"/>
          <w:szCs w:val="24"/>
        </w:rPr>
        <w:t xml:space="preserve"> of both subalpine fir and Engelmann spruce within ecoregion subsections (Bailey) occupied by the species.</w:t>
      </w:r>
      <w:r w:rsidR="00A308A3">
        <w:rPr>
          <w:rFonts w:ascii="Times New Roman" w:hAnsi="Times New Roman" w:cs="Times New Roman"/>
          <w:sz w:val="24"/>
          <w:szCs w:val="24"/>
        </w:rPr>
        <w:t xml:space="preserve"> These estimates were categorized for each species and ecoregion subsection using the scheme described above</w:t>
      </w:r>
      <w:r w:rsidR="009062CC">
        <w:rPr>
          <w:rFonts w:ascii="Times New Roman" w:hAnsi="Times New Roman" w:cs="Times New Roman"/>
          <w:sz w:val="24"/>
          <w:szCs w:val="24"/>
        </w:rPr>
        <w:t xml:space="preserve"> (Figure 1)</w:t>
      </w:r>
      <w:r w:rsidR="00A308A3">
        <w:rPr>
          <w:rFonts w:ascii="Times New Roman" w:hAnsi="Times New Roman" w:cs="Times New Roman"/>
          <w:sz w:val="24"/>
          <w:szCs w:val="24"/>
        </w:rPr>
        <w:t xml:space="preserve">, forming four broad classes of population trajectories: </w:t>
      </w:r>
      <w:r w:rsidR="00A308A3">
        <w:rPr>
          <w:rFonts w:ascii="Times New Roman" w:hAnsi="Times New Roman" w:cs="Times New Roman"/>
          <w:i/>
          <w:iCs/>
          <w:sz w:val="24"/>
          <w:szCs w:val="24"/>
        </w:rPr>
        <w:t>densification</w:t>
      </w:r>
      <w:r w:rsidR="00A308A3">
        <w:rPr>
          <w:rFonts w:ascii="Times New Roman" w:hAnsi="Times New Roman" w:cs="Times New Roman"/>
          <w:sz w:val="24"/>
          <w:szCs w:val="24"/>
        </w:rPr>
        <w:t xml:space="preserve"> (increases in both basal area and abundance), </w:t>
      </w:r>
      <w:r w:rsidR="00A308A3">
        <w:rPr>
          <w:rFonts w:ascii="Times New Roman" w:hAnsi="Times New Roman" w:cs="Times New Roman"/>
          <w:i/>
          <w:iCs/>
          <w:sz w:val="24"/>
          <w:szCs w:val="24"/>
        </w:rPr>
        <w:t>development</w:t>
      </w:r>
      <w:r w:rsidR="00A308A3">
        <w:rPr>
          <w:rFonts w:ascii="Times New Roman" w:hAnsi="Times New Roman" w:cs="Times New Roman"/>
          <w:sz w:val="24"/>
          <w:szCs w:val="24"/>
        </w:rPr>
        <w:t xml:space="preserve"> (declining abundance but increasing basal area), </w:t>
      </w:r>
      <w:r w:rsidR="00A308A3">
        <w:rPr>
          <w:rFonts w:ascii="Times New Roman" w:hAnsi="Times New Roman" w:cs="Times New Roman"/>
          <w:i/>
          <w:iCs/>
          <w:sz w:val="24"/>
          <w:szCs w:val="24"/>
        </w:rPr>
        <w:t>turnover</w:t>
      </w:r>
      <w:r w:rsidR="00A308A3">
        <w:rPr>
          <w:rFonts w:ascii="Times New Roman" w:hAnsi="Times New Roman" w:cs="Times New Roman"/>
          <w:sz w:val="24"/>
          <w:szCs w:val="24"/>
        </w:rPr>
        <w:t xml:space="preserve"> (increasing abundance but declining basal area)</w:t>
      </w:r>
      <w:r w:rsidR="00A308A3">
        <w:rPr>
          <w:rFonts w:ascii="Times New Roman" w:hAnsi="Times New Roman" w:cs="Times New Roman"/>
          <w:i/>
          <w:iCs/>
          <w:sz w:val="24"/>
          <w:szCs w:val="24"/>
        </w:rPr>
        <w:t>,</w:t>
      </w:r>
      <w:r w:rsidR="00A308A3">
        <w:rPr>
          <w:rFonts w:ascii="Times New Roman" w:hAnsi="Times New Roman" w:cs="Times New Roman"/>
          <w:sz w:val="24"/>
          <w:szCs w:val="24"/>
        </w:rPr>
        <w:t xml:space="preserve"> and </w:t>
      </w:r>
      <w:r w:rsidR="00A308A3">
        <w:rPr>
          <w:rFonts w:ascii="Times New Roman" w:hAnsi="Times New Roman" w:cs="Times New Roman"/>
          <w:i/>
          <w:iCs/>
          <w:sz w:val="24"/>
          <w:szCs w:val="24"/>
        </w:rPr>
        <w:t>decline</w:t>
      </w:r>
      <w:r w:rsidR="00A308A3">
        <w:rPr>
          <w:rFonts w:ascii="Times New Roman" w:hAnsi="Times New Roman" w:cs="Times New Roman"/>
          <w:sz w:val="24"/>
          <w:szCs w:val="24"/>
        </w:rPr>
        <w:t xml:space="preserve"> (decreases in both basal area and abundance). In cases where </w:t>
      </w:r>
      <w:r w:rsidR="00E22AE5">
        <w:rPr>
          <w:rFonts w:ascii="Times New Roman" w:hAnsi="Times New Roman" w:cs="Times New Roman"/>
          <w:sz w:val="24"/>
          <w:szCs w:val="24"/>
        </w:rPr>
        <w:t>change estimates were statistically indistinguishable from zero (</w:t>
      </w:r>
      <w:r w:rsidR="00E22AE5">
        <w:rPr>
          <w:rFonts w:ascii="Times New Roman" w:hAnsi="Times New Roman" w:cs="Times New Roman"/>
          <w:i/>
          <w:iCs/>
          <w:sz w:val="24"/>
          <w:szCs w:val="24"/>
        </w:rPr>
        <w:t>i.e.,</w:t>
      </w:r>
      <w:r w:rsidR="00E22AE5">
        <w:rPr>
          <w:rFonts w:ascii="Times New Roman" w:hAnsi="Times New Roman" w:cs="Times New Roman"/>
          <w:sz w:val="24"/>
          <w:szCs w:val="24"/>
        </w:rPr>
        <w:t xml:space="preserve"> sampling error was equal or greater to the magnitude of the change), we treated the estimate as though it were positive.</w:t>
      </w:r>
    </w:p>
    <w:p w14:paraId="2937CE69" w14:textId="4FD15130" w:rsidR="00096485"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t xml:space="preserve"> </w:t>
      </w:r>
    </w:p>
    <w:p w14:paraId="18F06D4F" w14:textId="4C1FD170" w:rsidR="00A308A3" w:rsidRPr="00A308A3" w:rsidRDefault="00A308A3" w:rsidP="00442F38">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We combined subalpine fir and Engelmann spruce population trajectories using the two-species </w:t>
      </w:r>
      <w:r w:rsidR="004A2D9B">
        <w:rPr>
          <w:rFonts w:ascii="Times New Roman" w:hAnsi="Times New Roman" w:cs="Times New Roman"/>
          <w:sz w:val="24"/>
          <w:szCs w:val="24"/>
        </w:rPr>
        <w:t>case</w:t>
      </w:r>
      <w:r>
        <w:rPr>
          <w:rFonts w:ascii="Times New Roman" w:hAnsi="Times New Roman" w:cs="Times New Roman"/>
          <w:sz w:val="24"/>
          <w:szCs w:val="24"/>
        </w:rPr>
        <w:t xml:space="preserve"> described above</w:t>
      </w:r>
      <w:r w:rsidR="009062CC">
        <w:rPr>
          <w:rFonts w:ascii="Times New Roman" w:hAnsi="Times New Roman" w:cs="Times New Roman"/>
          <w:sz w:val="24"/>
          <w:szCs w:val="24"/>
        </w:rPr>
        <w:t xml:space="preserve"> (Figure 1)</w:t>
      </w:r>
      <w:r w:rsidR="004A2D9B">
        <w:rPr>
          <w:rFonts w:ascii="Times New Roman" w:hAnsi="Times New Roman" w:cs="Times New Roman"/>
          <w:sz w:val="24"/>
          <w:szCs w:val="24"/>
        </w:rPr>
        <w:t xml:space="preserve">, which is loosely based on the post-disturbance reorganization schema presented by Seidl &amp; Turner (2021). </w:t>
      </w:r>
    </w:p>
    <w:p w14:paraId="0B7EC097" w14:textId="77777777" w:rsidR="00442F38" w:rsidRDefault="00442F38" w:rsidP="00E25466">
      <w:pPr>
        <w:ind w:left="720" w:hanging="720"/>
        <w:rPr>
          <w:rFonts w:ascii="Times New Roman" w:hAnsi="Times New Roman" w:cs="Times New Roman"/>
          <w:i/>
          <w:iCs/>
          <w:sz w:val="24"/>
          <w:szCs w:val="24"/>
        </w:rPr>
      </w:pPr>
    </w:p>
    <w:p w14:paraId="33BCDF13" w14:textId="488E05BB" w:rsidR="00E25466" w:rsidRP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Community trajectories</w:t>
      </w:r>
    </w:p>
    <w:p w14:paraId="39FC2478" w14:textId="364AF207" w:rsidR="00096485" w:rsidRPr="00EA2985" w:rsidRDefault="0055003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096485" w:rsidRPr="00EA2985">
        <w:rPr>
          <w:rFonts w:ascii="Times New Roman" w:hAnsi="Times New Roman" w:cs="Times New Roman"/>
          <w:sz w:val="24"/>
          <w:szCs w:val="24"/>
        </w:rPr>
        <w:t>Start with section describing single-species trajectory bins (i.e., decline, turnover, densification, development) &gt; then &gt;</w:t>
      </w:r>
    </w:p>
    <w:p w14:paraId="13A1BFDB" w14:textId="080A44D1" w:rsidR="00E25466"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Demographic models</w:t>
      </w:r>
    </w:p>
    <w:p w14:paraId="364C53A1" w14:textId="106FD0B6" w:rsidR="00E22006" w:rsidRDefault="00E22006" w:rsidP="00E25466">
      <w:pPr>
        <w:ind w:left="720" w:hanging="720"/>
        <w:rPr>
          <w:rFonts w:ascii="Times New Roman" w:hAnsi="Times New Roman" w:cs="Times New Roman"/>
          <w:sz w:val="24"/>
          <w:szCs w:val="24"/>
          <w:u w:val="single"/>
        </w:rPr>
      </w:pPr>
      <w:r>
        <w:rPr>
          <w:rFonts w:ascii="Times New Roman" w:hAnsi="Times New Roman" w:cs="Times New Roman"/>
          <w:i/>
          <w:iCs/>
          <w:sz w:val="24"/>
          <w:szCs w:val="24"/>
        </w:rPr>
        <w:tab/>
      </w:r>
      <w:r>
        <w:rPr>
          <w:rFonts w:ascii="Times New Roman" w:hAnsi="Times New Roman" w:cs="Times New Roman"/>
          <w:sz w:val="24"/>
          <w:szCs w:val="24"/>
          <w:u w:val="single"/>
        </w:rPr>
        <w:t>Modeling approach and predictor variables</w:t>
      </w:r>
    </w:p>
    <w:p w14:paraId="0C2A3BB2" w14:textId="3E068C4A" w:rsidR="00E22006" w:rsidRPr="00E22006" w:rsidRDefault="00E22006" w:rsidP="00E22006">
      <w:pPr>
        <w:ind w:firstLine="720"/>
        <w:rPr>
          <w:rFonts w:ascii="Times New Roman" w:hAnsi="Times New Roman" w:cs="Times New Roman"/>
          <w:sz w:val="24"/>
          <w:szCs w:val="24"/>
        </w:rPr>
      </w:pPr>
      <w:r>
        <w:rPr>
          <w:rFonts w:ascii="Times New Roman" w:hAnsi="Times New Roman" w:cs="Times New Roman"/>
          <w:sz w:val="24"/>
          <w:szCs w:val="24"/>
        </w:rPr>
        <w:t>We built a series of statistical models for each species predicting individual mortality, seedling presence, and recruitment presence as the linear combination of several predictor variables and their interactions. Because each response variable is a binary state (</w:t>
      </w:r>
      <w:r>
        <w:rPr>
          <w:rFonts w:ascii="Times New Roman" w:hAnsi="Times New Roman" w:cs="Times New Roman"/>
          <w:i/>
          <w:iCs/>
          <w:sz w:val="24"/>
          <w:szCs w:val="24"/>
        </w:rPr>
        <w:t>i.e.,</w:t>
      </w:r>
      <w:r>
        <w:rPr>
          <w:rFonts w:ascii="Times New Roman" w:hAnsi="Times New Roman" w:cs="Times New Roman"/>
          <w:sz w:val="24"/>
          <w:szCs w:val="24"/>
        </w:rPr>
        <w:t xml:space="preserve"> the presence or absence of mortality, seedlings, or recruitment), each model is a binomial generalized linear mixed model with a logit link function that we implemented in a Bayesian framework with non-informative priors.</w:t>
      </w:r>
    </w:p>
    <w:p w14:paraId="59886B56" w14:textId="77777777" w:rsidR="00E22006" w:rsidRDefault="00E22006" w:rsidP="00E25466">
      <w:pPr>
        <w:ind w:left="720" w:hanging="720"/>
        <w:rPr>
          <w:rFonts w:ascii="Times New Roman" w:hAnsi="Times New Roman" w:cs="Times New Roman"/>
          <w:sz w:val="24"/>
          <w:szCs w:val="24"/>
        </w:rPr>
      </w:pPr>
    </w:p>
    <w:p w14:paraId="65B91C1B" w14:textId="48AEB0C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u w:val="single"/>
        </w:rPr>
        <w:t>Predictor variables</w:t>
      </w:r>
    </w:p>
    <w:p w14:paraId="15E528D4" w14:textId="1E10A494" w:rsidR="004E291C" w:rsidRDefault="004E291C" w:rsidP="00E25466">
      <w:pPr>
        <w:ind w:left="720" w:hanging="720"/>
        <w:rPr>
          <w:rFonts w:ascii="Times New Roman" w:hAnsi="Times New Roman" w:cs="Times New Roman"/>
          <w:sz w:val="24"/>
          <w:szCs w:val="24"/>
        </w:rPr>
      </w:pPr>
      <w:r>
        <w:rPr>
          <w:rFonts w:ascii="Times New Roman" w:hAnsi="Times New Roman" w:cs="Times New Roman"/>
          <w:sz w:val="24"/>
          <w:szCs w:val="24"/>
        </w:rPr>
        <w:tab/>
        <w:t xml:space="preserve">Maximum climate anomalies calculated after Littlefield et al and Davis et </w:t>
      </w:r>
      <w:proofErr w:type="gramStart"/>
      <w:r>
        <w:rPr>
          <w:rFonts w:ascii="Times New Roman" w:hAnsi="Times New Roman" w:cs="Times New Roman"/>
          <w:sz w:val="24"/>
          <w:szCs w:val="24"/>
        </w:rPr>
        <w:t>al;</w:t>
      </w:r>
      <w:proofErr w:type="gramEnd"/>
      <w:r>
        <w:rPr>
          <w:rFonts w:ascii="Times New Roman" w:hAnsi="Times New Roman" w:cs="Times New Roman"/>
          <w:sz w:val="24"/>
          <w:szCs w:val="24"/>
        </w:rPr>
        <w:t xml:space="preserve"> using maximum z-scores relative to reference period. Reference period is 30 years prior to initial plot measurement, anomalies calculated over remeasurement period.</w:t>
      </w:r>
    </w:p>
    <w:p w14:paraId="2330705C" w14:textId="77777777" w:rsidR="004E291C" w:rsidRPr="004E291C" w:rsidRDefault="004E291C" w:rsidP="00E25466">
      <w:pPr>
        <w:ind w:left="720" w:hanging="720"/>
        <w:rPr>
          <w:rFonts w:ascii="Times New Roman" w:hAnsi="Times New Roman" w:cs="Times New Roman"/>
          <w:sz w:val="24"/>
          <w:szCs w:val="24"/>
        </w:rPr>
      </w:pPr>
    </w:p>
    <w:p w14:paraId="32FC8D7F" w14:textId="23070B9B" w:rsidR="004A43FE" w:rsidRPr="00EA2985" w:rsidRDefault="004A43FE"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Mortality model</w:t>
      </w:r>
    </w:p>
    <w:p w14:paraId="100E1C01" w14:textId="77777777" w:rsidR="005A713D" w:rsidRPr="00EA2985" w:rsidRDefault="004A43FE" w:rsidP="005A713D">
      <w:pPr>
        <w:ind w:left="720" w:hanging="720"/>
        <w:rPr>
          <w:rFonts w:ascii="Times New Roman" w:hAnsi="Times New Roman" w:cs="Times New Roman"/>
          <w:sz w:val="24"/>
          <w:szCs w:val="24"/>
        </w:rPr>
      </w:pPr>
      <w:r w:rsidRPr="00EA2985">
        <w:rPr>
          <w:rFonts w:ascii="Times New Roman" w:hAnsi="Times New Roman" w:cs="Times New Roman"/>
          <w:sz w:val="24"/>
          <w:szCs w:val="24"/>
        </w:rPr>
        <w:tab/>
        <w:t xml:space="preserve">Filtered tree data to get remeasured subalpine fir and Engelmann spruce from co-occurring stands that were alive at T1. Used tree status (i.e., </w:t>
      </w:r>
      <w:proofErr w:type="gramStart"/>
      <w:r w:rsidRPr="00EA2985">
        <w:rPr>
          <w:rFonts w:ascii="Times New Roman" w:hAnsi="Times New Roman" w:cs="Times New Roman"/>
          <w:sz w:val="24"/>
          <w:szCs w:val="24"/>
        </w:rPr>
        <w:t>live</w:t>
      </w:r>
      <w:proofErr w:type="gramEnd"/>
      <w:r w:rsidRPr="00EA2985">
        <w:rPr>
          <w:rFonts w:ascii="Times New Roman" w:hAnsi="Times New Roman" w:cs="Times New Roman"/>
          <w:sz w:val="24"/>
          <w:szCs w:val="24"/>
        </w:rPr>
        <w:t xml:space="preserve"> or dead) at time two as a response variable – that is, individual survival over a 10-year period</w:t>
      </w:r>
      <w:r w:rsidR="00A358E4" w:rsidRPr="00EA2985">
        <w:rPr>
          <w:rFonts w:ascii="Times New Roman" w:hAnsi="Times New Roman" w:cs="Times New Roman"/>
          <w:sz w:val="24"/>
          <w:szCs w:val="24"/>
        </w:rPr>
        <w:t>. Model incorporates predictors at three levels of organization: tree, plot, and landscape. Tree-level predictors included tree size at T1, crown ratio at T1, and the presence/absence of insect or disease damage at T1.</w:t>
      </w:r>
      <w:r w:rsidR="00D57DDE" w:rsidRPr="00EA2985">
        <w:rPr>
          <w:rFonts w:ascii="Times New Roman" w:hAnsi="Times New Roman" w:cs="Times New Roman"/>
          <w:sz w:val="24"/>
          <w:szCs w:val="24"/>
        </w:rPr>
        <w:t xml:space="preserve"> Plot-level predictors include climate normal and climate anomalies, stand density. Landscape-level predictors include the proportion of ecoregion subsection impacted by fire and biological disturbances. </w:t>
      </w:r>
      <w:r w:rsidR="00B310F9" w:rsidRPr="00EA2985">
        <w:rPr>
          <w:rFonts w:ascii="Times New Roman" w:hAnsi="Times New Roman" w:cs="Times New Roman"/>
          <w:sz w:val="24"/>
          <w:szCs w:val="24"/>
        </w:rPr>
        <w:t xml:space="preserve">We built a binomial GLMM in a Bayesian framework using these predictors for each species. </w:t>
      </w:r>
    </w:p>
    <w:p w14:paraId="325AD196" w14:textId="45DED13E" w:rsidR="005A713D" w:rsidRPr="00EA2985" w:rsidRDefault="005A713D" w:rsidP="005A713D">
      <w:pPr>
        <w:ind w:left="720" w:hanging="720"/>
        <w:rPr>
          <w:rFonts w:ascii="Times New Roman" w:eastAsiaTheme="minorEastAsia" w:hAnsi="Times New Roman" w:cs="Times New Roman"/>
          <w:sz w:val="24"/>
          <w:szCs w:val="24"/>
        </w:rPr>
      </w:pPr>
      <w:r w:rsidRPr="00EA2985">
        <w:rPr>
          <w:rFonts w:ascii="Times New Roman" w:hAnsi="Times New Roman" w:cs="Times New Roman"/>
          <w:sz w:val="24"/>
          <w:szCs w:val="24"/>
        </w:rPr>
        <w:tab/>
      </w:r>
      <w:r w:rsidRPr="00EA2985">
        <w:rPr>
          <w:rFonts w:ascii="Times New Roman" w:hAnsi="Times New Roman" w:cs="Times New Roman"/>
          <w:i/>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i,p,r,</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1,r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DIA</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CR</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DAM</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61272A8D"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4-28</m:t>
              </m:r>
            </m:sub>
          </m:sSub>
          <m:sSub>
            <m:sSubPr>
              <m:ctrlPr>
                <w:rPr>
                  <w:rFonts w:ascii="Cambria Math" w:hAnsi="Cambria Math" w:cs="Times New Roman"/>
                  <w:i/>
                  <w:sz w:val="24"/>
                  <w:szCs w:val="24"/>
                </w:rPr>
              </m:ctrlPr>
            </m:sSubPr>
            <m:e>
              <m:r>
                <w:rPr>
                  <w:rFonts w:ascii="Cambria Math" w:hAnsi="Cambria Math" w:cs="Times New Roman"/>
                  <w:sz w:val="24"/>
                  <w:szCs w:val="24"/>
                </w:rPr>
                <m:t>CN</m:t>
              </m:r>
            </m:e>
            <m:sub>
              <m:r>
                <w:rPr>
                  <w:rFonts w:ascii="Cambria Math" w:hAnsi="Cambria Math" w:cs="Times New Roman"/>
                  <w:sz w:val="24"/>
                  <w:szCs w:val="24"/>
                </w:rPr>
                <m:t>j,p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CA</m:t>
              </m:r>
            </m:e>
            <m:sub>
              <m:r>
                <w:rPr>
                  <w:rFonts w:ascii="Cambria Math" w:hAnsi="Cambria Math" w:cs="Times New Roman"/>
                  <w:sz w:val="24"/>
                  <w:szCs w:val="24"/>
                </w:rPr>
                <m:t xml:space="preserve">k,p,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oMath>
      </m:oMathPara>
    </w:p>
    <w:p w14:paraId="369852DE" w14:textId="77777777" w:rsidR="005A713D" w:rsidRPr="00EA2985" w:rsidRDefault="00000000" w:rsidP="005A713D">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29-31</m:t>
              </m:r>
            </m:sub>
          </m:sSub>
          <m:sSub>
            <m:sSubPr>
              <m:ctrlPr>
                <w:rPr>
                  <w:rFonts w:ascii="Cambria Math" w:hAnsi="Cambria Math" w:cs="Times New Roman"/>
                  <w:i/>
                  <w:sz w:val="24"/>
                  <w:szCs w:val="24"/>
                </w:rPr>
              </m:ctrlPr>
            </m:sSubPr>
            <m:e>
              <m:r>
                <w:rPr>
                  <w:rFonts w:ascii="Cambria Math" w:hAnsi="Cambria Math" w:cs="Times New Roman"/>
                  <w:sz w:val="24"/>
                  <w:szCs w:val="24"/>
                </w:rPr>
                <m:t>AF</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AB</m:t>
              </m:r>
            </m:e>
            <m:sub>
              <m:r>
                <w:rPr>
                  <w:rFonts w:ascii="Cambria Math" w:hAnsi="Cambria Math" w:cs="Times New Roman"/>
                  <w:sz w:val="24"/>
                  <w:szCs w:val="24"/>
                </w:rPr>
                <m:t xml:space="preserve">r, </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Sub>
          <m:r>
            <w:rPr>
              <w:rFonts w:ascii="Cambria Math" w:hAnsi="Cambria Math" w:cs="Times New Roman"/>
              <w:sz w:val="24"/>
              <w:szCs w:val="24"/>
            </w:rPr>
            <m:t>+ε</m:t>
          </m:r>
        </m:oMath>
      </m:oMathPara>
    </w:p>
    <w:p w14:paraId="0CAFDADB" w14:textId="77777777" w:rsidR="005A713D" w:rsidRPr="00EA2985" w:rsidRDefault="005A713D" w:rsidP="005A713D">
      <w:pPr>
        <w:ind w:left="720"/>
        <w:rPr>
          <w:rFonts w:ascii="Times New Roman" w:eastAsiaTheme="minorEastAsia" w:hAnsi="Times New Roman" w:cs="Times New Roman"/>
          <w:sz w:val="24"/>
          <w:szCs w:val="24"/>
        </w:rPr>
      </w:pPr>
      <w:r w:rsidRPr="00EA2985">
        <w:rPr>
          <w:rFonts w:ascii="Times New Roman" w:eastAsiaTheme="minorEastAsia" w:hAnsi="Times New Roman" w:cs="Times New Roman"/>
          <w:sz w:val="24"/>
          <w:szCs w:val="24"/>
        </w:rPr>
        <w:lastRenderedPageBreak/>
        <w:t xml:space="preserve">Where the survival </w:t>
      </w:r>
      <w:r w:rsidRPr="00EA2985">
        <w:rPr>
          <w:rFonts w:ascii="Times New Roman" w:eastAsiaTheme="minorEastAsia" w:hAnsi="Times New Roman" w:cs="Times New Roman"/>
          <w:i/>
          <w:iCs/>
          <w:sz w:val="24"/>
          <w:szCs w:val="24"/>
        </w:rPr>
        <w:t>S</w:t>
      </w:r>
      <w:r w:rsidRPr="00EA2985">
        <w:rPr>
          <w:rFonts w:ascii="Times New Roman" w:eastAsiaTheme="minorEastAsia" w:hAnsi="Times New Roman" w:cs="Times New Roman"/>
          <w:sz w:val="24"/>
          <w:szCs w:val="24"/>
        </w:rPr>
        <w:t xml:space="preserve"> of individual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in plot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nested in ecoregion </w:t>
      </w:r>
      <w:proofErr w:type="spellStart"/>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at</w:t>
      </w:r>
      <w:proofErr w:type="spellEnd"/>
      <w:r w:rsidRPr="00EA2985">
        <w:rPr>
          <w:rFonts w:ascii="Times New Roman" w:eastAsiaTheme="minorEastAsia" w:hAnsi="Times New Roman" w:cs="Times New Roman"/>
          <w:sz w:val="24"/>
          <w:szCs w:val="24"/>
        </w:rPr>
        <w:t xml:space="preserve">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is modeled as a linear function of a fixed intercept b0 modified by a random term g1 varying between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and predictors varying between individuals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plots </w:t>
      </w:r>
      <w:r w:rsidRPr="00EA2985">
        <w:rPr>
          <w:rFonts w:ascii="Times New Roman" w:eastAsiaTheme="minorEastAsia" w:hAnsi="Times New Roman" w:cs="Times New Roman"/>
          <w:i/>
          <w:iCs/>
          <w:sz w:val="24"/>
          <w:szCs w:val="24"/>
        </w:rPr>
        <w:t>p,</w:t>
      </w:r>
      <w:r w:rsidRPr="00EA2985">
        <w:rPr>
          <w:rFonts w:ascii="Times New Roman" w:eastAsiaTheme="minorEastAsia" w:hAnsi="Times New Roman" w:cs="Times New Roman"/>
          <w:sz w:val="24"/>
          <w:szCs w:val="24"/>
        </w:rPr>
        <w:t xml:space="preserve"> and ecoregions </w:t>
      </w:r>
      <w:r w:rsidRPr="00EA2985">
        <w:rPr>
          <w:rFonts w:ascii="Times New Roman" w:eastAsiaTheme="minorEastAsia" w:hAnsi="Times New Roman" w:cs="Times New Roman"/>
          <w:i/>
          <w:iCs/>
          <w:sz w:val="24"/>
          <w:szCs w:val="24"/>
        </w:rPr>
        <w:t>r</w:t>
      </w:r>
      <w:r w:rsidRPr="00EA2985">
        <w:rPr>
          <w:rFonts w:ascii="Times New Roman" w:eastAsiaTheme="minorEastAsia" w:hAnsi="Times New Roman" w:cs="Times New Roman"/>
          <w:sz w:val="24"/>
          <w:szCs w:val="24"/>
        </w:rPr>
        <w:t xml:space="preserve">. Individual-level predictors include the diameter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crown ratio of tree </w:t>
      </w:r>
      <w:r w:rsidRPr="00EA2985">
        <w:rPr>
          <w:rFonts w:ascii="Times New Roman" w:eastAsiaTheme="minorEastAsia" w:hAnsi="Times New Roman" w:cs="Times New Roman"/>
          <w:i/>
          <w:iCs/>
          <w:sz w:val="24"/>
          <w:szCs w:val="24"/>
        </w:rPr>
        <w:t>I</w:t>
      </w:r>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and the damage status of tree </w:t>
      </w:r>
      <w:proofErr w:type="spellStart"/>
      <w:r w:rsidRPr="00EA2985">
        <w:rPr>
          <w:rFonts w:ascii="Times New Roman" w:eastAsiaTheme="minorEastAsia" w:hAnsi="Times New Roman" w:cs="Times New Roman"/>
          <w:i/>
          <w:iCs/>
          <w:sz w:val="24"/>
          <w:szCs w:val="24"/>
        </w:rPr>
        <w:t>i</w:t>
      </w:r>
      <w:proofErr w:type="spellEnd"/>
      <w:r w:rsidRPr="00EA2985">
        <w:rPr>
          <w:rFonts w:ascii="Times New Roman" w:eastAsiaTheme="minorEastAsia" w:hAnsi="Times New Roman" w:cs="Times New Roman"/>
          <w:sz w:val="24"/>
          <w:szCs w:val="24"/>
        </w:rPr>
        <w:t xml:space="preserve"> at time </w:t>
      </w:r>
      <w:r w:rsidRPr="00EA2985">
        <w:rPr>
          <w:rFonts w:ascii="Times New Roman" w:eastAsiaTheme="minorEastAsia" w:hAnsi="Times New Roman" w:cs="Times New Roman"/>
          <w:i/>
          <w:iCs/>
          <w:sz w:val="24"/>
          <w:szCs w:val="24"/>
        </w:rPr>
        <w:t>t1</w:t>
      </w:r>
      <w:r w:rsidRPr="00EA2985">
        <w:rPr>
          <w:rFonts w:ascii="Times New Roman" w:eastAsiaTheme="minorEastAsia" w:hAnsi="Times New Roman" w:cs="Times New Roman"/>
          <w:sz w:val="24"/>
          <w:szCs w:val="24"/>
        </w:rPr>
        <w:t xml:space="preserve">. Damage status was coded as 0 if the tree was undamaged, and 1 if any fire, insect, or disease damage was recorded. Plot-level predictors included climate </w:t>
      </w:r>
      <w:proofErr w:type="spellStart"/>
      <w:r w:rsidRPr="00EA2985">
        <w:rPr>
          <w:rFonts w:ascii="Times New Roman" w:eastAsiaTheme="minorEastAsia" w:hAnsi="Times New Roman" w:cs="Times New Roman"/>
          <w:sz w:val="24"/>
          <w:szCs w:val="24"/>
        </w:rPr>
        <w:t>normals</w:t>
      </w:r>
      <w:proofErr w:type="spellEnd"/>
      <w:r w:rsidRPr="00EA2985">
        <w:rPr>
          <w:rFonts w:ascii="Times New Roman" w:eastAsiaTheme="minorEastAsia" w:hAnsi="Times New Roman" w:cs="Times New Roman"/>
          <w:sz w:val="24"/>
          <w:szCs w:val="24"/>
        </w:rPr>
        <w:t xml:space="preserve"> </w:t>
      </w:r>
      <w:r w:rsidRPr="00EA2985">
        <w:rPr>
          <w:rFonts w:ascii="Times New Roman" w:eastAsiaTheme="minorEastAsia" w:hAnsi="Times New Roman" w:cs="Times New Roman"/>
          <w:i/>
          <w:iCs/>
          <w:sz w:val="24"/>
          <w:szCs w:val="24"/>
        </w:rPr>
        <w:t xml:space="preserve">CN </w:t>
      </w:r>
      <w:r w:rsidRPr="00EA2985">
        <w:rPr>
          <w:rFonts w:ascii="Times New Roman" w:eastAsiaTheme="minorEastAsia" w:hAnsi="Times New Roman" w:cs="Times New Roman"/>
          <w:sz w:val="24"/>
          <w:szCs w:val="24"/>
        </w:rPr>
        <w:t xml:space="preserve">between 1980 and 2010 (the time period corresponding to plot establishment), recent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observed between time </w:t>
      </w:r>
      <w:r w:rsidRPr="00EA2985">
        <w:rPr>
          <w:rFonts w:ascii="Times New Roman" w:eastAsiaTheme="minorEastAsia" w:hAnsi="Times New Roman" w:cs="Times New Roman"/>
          <w:i/>
          <w:iCs/>
          <w:sz w:val="24"/>
          <w:szCs w:val="24"/>
        </w:rPr>
        <w:t xml:space="preserve">t1 </w:t>
      </w:r>
      <w:r w:rsidRPr="00EA2985">
        <w:rPr>
          <w:rFonts w:ascii="Times New Roman" w:eastAsiaTheme="minorEastAsia" w:hAnsi="Times New Roman" w:cs="Times New Roman"/>
          <w:sz w:val="24"/>
          <w:szCs w:val="24"/>
        </w:rPr>
        <w:t xml:space="preserve">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and interactions between normal and anomalies. The index </w:t>
      </w:r>
      <w:r w:rsidRPr="00EA2985">
        <w:rPr>
          <w:rFonts w:ascii="Times New Roman" w:eastAsiaTheme="minorEastAsia" w:hAnsi="Times New Roman" w:cs="Times New Roman"/>
          <w:i/>
          <w:iCs/>
          <w:sz w:val="24"/>
          <w:szCs w:val="24"/>
        </w:rPr>
        <w:t>j</w:t>
      </w:r>
      <w:r w:rsidRPr="00EA2985">
        <w:rPr>
          <w:rFonts w:ascii="Times New Roman" w:eastAsiaTheme="minorEastAsia" w:hAnsi="Times New Roman" w:cs="Times New Roman"/>
          <w:sz w:val="24"/>
          <w:szCs w:val="24"/>
        </w:rPr>
        <w:t xml:space="preserve"> indicates the climate normal variable (mean annual temperature or mean annual precipitation), whereas the index </w:t>
      </w:r>
      <w:r w:rsidRPr="00EA2985">
        <w:rPr>
          <w:rFonts w:ascii="Times New Roman" w:eastAsiaTheme="minorEastAsia" w:hAnsi="Times New Roman" w:cs="Times New Roman"/>
          <w:i/>
          <w:iCs/>
          <w:sz w:val="24"/>
          <w:szCs w:val="24"/>
        </w:rPr>
        <w:t>k</w:t>
      </w:r>
      <w:r w:rsidRPr="00EA2985">
        <w:rPr>
          <w:rFonts w:ascii="Times New Roman" w:eastAsiaTheme="minorEastAsia" w:hAnsi="Times New Roman" w:cs="Times New Roman"/>
          <w:sz w:val="24"/>
          <w:szCs w:val="24"/>
        </w:rPr>
        <w:t xml:space="preserve"> indicates the climate anomaly variable (mean annual temperature, mean annual precipitation, or climatic moisture deficit). Ecoregion-level predictors include the proportion of spruce-fir forest in each ecoregion impacted by fire mortality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or biological disturbance agent mortality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 xml:space="preserve"> between time</w:t>
      </w:r>
      <w:r w:rsidRPr="00EA2985">
        <w:rPr>
          <w:rFonts w:ascii="Times New Roman" w:eastAsiaTheme="minorEastAsia" w:hAnsi="Times New Roman" w:cs="Times New Roman"/>
          <w:i/>
          <w:iCs/>
          <w:sz w:val="24"/>
          <w:szCs w:val="24"/>
        </w:rPr>
        <w:t xml:space="preserve"> t1</w:t>
      </w:r>
      <w:r w:rsidRPr="00EA2985">
        <w:rPr>
          <w:rFonts w:ascii="Times New Roman" w:eastAsiaTheme="minorEastAsia" w:hAnsi="Times New Roman" w:cs="Times New Roman"/>
          <w:sz w:val="24"/>
          <w:szCs w:val="24"/>
        </w:rPr>
        <w:t xml:space="preserve"> and time </w:t>
      </w:r>
      <w:r w:rsidRPr="00EA2985">
        <w:rPr>
          <w:rFonts w:ascii="Times New Roman" w:eastAsiaTheme="minorEastAsia" w:hAnsi="Times New Roman" w:cs="Times New Roman"/>
          <w:i/>
          <w:iCs/>
          <w:sz w:val="24"/>
          <w:szCs w:val="24"/>
        </w:rPr>
        <w:t>t2</w:t>
      </w:r>
      <w:r w:rsidRPr="00EA2985">
        <w:rPr>
          <w:rFonts w:ascii="Times New Roman" w:eastAsiaTheme="minorEastAsia" w:hAnsi="Times New Roman" w:cs="Times New Roman"/>
          <w:sz w:val="24"/>
          <w:szCs w:val="24"/>
        </w:rPr>
        <w:t xml:space="preserve">. The model also included selected cross-scale interactions, namely between tree size </w:t>
      </w:r>
      <w:r w:rsidRPr="00EA2985">
        <w:rPr>
          <w:rFonts w:ascii="Times New Roman" w:eastAsiaTheme="minorEastAsia" w:hAnsi="Times New Roman" w:cs="Times New Roman"/>
          <w:i/>
          <w:iCs/>
          <w:sz w:val="24"/>
          <w:szCs w:val="24"/>
        </w:rPr>
        <w:t>DIA,</w:t>
      </w:r>
      <w:r w:rsidRPr="00EA2985">
        <w:rPr>
          <w:rFonts w:ascii="Times New Roman" w:eastAsiaTheme="minorEastAsia" w:hAnsi="Times New Roman" w:cs="Times New Roman"/>
          <w:sz w:val="24"/>
          <w:szCs w:val="24"/>
        </w:rPr>
        <w:t xml:space="preserve"> climate anomalies </w:t>
      </w:r>
      <w:r w:rsidRPr="00EA2985">
        <w:rPr>
          <w:rFonts w:ascii="Times New Roman" w:eastAsiaTheme="minorEastAsia" w:hAnsi="Times New Roman" w:cs="Times New Roman"/>
          <w:i/>
          <w:iCs/>
          <w:sz w:val="24"/>
          <w:szCs w:val="24"/>
        </w:rPr>
        <w:t>CA</w:t>
      </w:r>
      <w:r w:rsidRPr="00EA2985">
        <w:rPr>
          <w:rFonts w:ascii="Times New Roman" w:eastAsiaTheme="minorEastAsia" w:hAnsi="Times New Roman" w:cs="Times New Roman"/>
          <w:sz w:val="24"/>
          <w:szCs w:val="24"/>
        </w:rPr>
        <w:t xml:space="preserve">, and disturbed area </w:t>
      </w:r>
      <w:r w:rsidRPr="00EA2985">
        <w:rPr>
          <w:rFonts w:ascii="Times New Roman" w:eastAsiaTheme="minorEastAsia" w:hAnsi="Times New Roman" w:cs="Times New Roman"/>
          <w:i/>
          <w:iCs/>
          <w:sz w:val="24"/>
          <w:szCs w:val="24"/>
        </w:rPr>
        <w:t>AF</w:t>
      </w:r>
      <w:r w:rsidRPr="00EA2985">
        <w:rPr>
          <w:rFonts w:ascii="Times New Roman" w:eastAsiaTheme="minorEastAsia" w:hAnsi="Times New Roman" w:cs="Times New Roman"/>
          <w:sz w:val="24"/>
          <w:szCs w:val="24"/>
        </w:rPr>
        <w:t xml:space="preserve"> and </w:t>
      </w:r>
      <w:r w:rsidRPr="00EA2985">
        <w:rPr>
          <w:rFonts w:ascii="Times New Roman" w:eastAsiaTheme="minorEastAsia" w:hAnsi="Times New Roman" w:cs="Times New Roman"/>
          <w:i/>
          <w:iCs/>
          <w:sz w:val="24"/>
          <w:szCs w:val="24"/>
        </w:rPr>
        <w:t>AB</w:t>
      </w:r>
      <w:r w:rsidRPr="00EA2985">
        <w:rPr>
          <w:rFonts w:ascii="Times New Roman" w:eastAsiaTheme="minorEastAsia" w:hAnsi="Times New Roman" w:cs="Times New Roman"/>
          <w:sz w:val="24"/>
          <w:szCs w:val="24"/>
        </w:rPr>
        <w:t>.</w:t>
      </w:r>
    </w:p>
    <w:p w14:paraId="4558EC35" w14:textId="516BAC9E" w:rsidR="005A713D" w:rsidRPr="00EA2985" w:rsidRDefault="005A713D" w:rsidP="00E25466">
      <w:pPr>
        <w:ind w:left="720" w:hanging="720"/>
        <w:rPr>
          <w:rFonts w:ascii="Times New Roman" w:hAnsi="Times New Roman" w:cs="Times New Roman"/>
          <w:sz w:val="24"/>
          <w:szCs w:val="24"/>
        </w:rPr>
      </w:pPr>
    </w:p>
    <w:p w14:paraId="218C7510" w14:textId="10A8F469"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EA2985" w:rsidRPr="00EA2985">
        <w:rPr>
          <w:rFonts w:ascii="Times New Roman" w:hAnsi="Times New Roman" w:cs="Times New Roman"/>
          <w:sz w:val="24"/>
          <w:szCs w:val="24"/>
          <w:u w:val="single"/>
        </w:rPr>
        <w:t>Recruitment</w:t>
      </w:r>
      <w:r w:rsidRPr="00EA2985">
        <w:rPr>
          <w:rFonts w:ascii="Times New Roman" w:hAnsi="Times New Roman" w:cs="Times New Roman"/>
          <w:sz w:val="24"/>
          <w:szCs w:val="24"/>
          <w:u w:val="single"/>
        </w:rPr>
        <w:t xml:space="preserve"> model</w:t>
      </w:r>
    </w:p>
    <w:p w14:paraId="00545F66" w14:textId="05666248" w:rsidR="00B310F9" w:rsidRPr="00EA2985" w:rsidRDefault="00B310F9" w:rsidP="00E25466">
      <w:pPr>
        <w:ind w:left="720" w:hanging="720"/>
        <w:rPr>
          <w:rFonts w:ascii="Times New Roman" w:hAnsi="Times New Roman" w:cs="Times New Roman"/>
          <w:sz w:val="24"/>
          <w:szCs w:val="24"/>
        </w:rPr>
      </w:pPr>
      <w:r w:rsidRPr="00EA2985">
        <w:rPr>
          <w:rFonts w:ascii="Times New Roman" w:hAnsi="Times New Roman" w:cs="Times New Roman"/>
          <w:sz w:val="24"/>
          <w:szCs w:val="24"/>
        </w:rPr>
        <w:tab/>
      </w:r>
      <w:r w:rsidR="0092425C" w:rsidRPr="00EA2985">
        <w:rPr>
          <w:rFonts w:ascii="Times New Roman" w:hAnsi="Times New Roman" w:cs="Times New Roman"/>
          <w:sz w:val="24"/>
          <w:szCs w:val="24"/>
        </w:rPr>
        <w:t xml:space="preserve"> </w:t>
      </w:r>
    </w:p>
    <w:p w14:paraId="0B0BFD6F" w14:textId="77777777" w:rsidR="00EA2985" w:rsidRPr="00EA2985" w:rsidRDefault="00EA2985" w:rsidP="00E25466">
      <w:pPr>
        <w:ind w:left="720" w:hanging="720"/>
        <w:rPr>
          <w:rFonts w:ascii="Times New Roman" w:hAnsi="Times New Roman" w:cs="Times New Roman"/>
          <w:sz w:val="24"/>
          <w:szCs w:val="24"/>
        </w:rPr>
      </w:pPr>
    </w:p>
    <w:p w14:paraId="1BAC2D3B" w14:textId="2A714415" w:rsidR="00EA2985" w:rsidRPr="00EA2985" w:rsidRDefault="00EA2985" w:rsidP="00EA2985">
      <w:pPr>
        <w:ind w:left="720"/>
        <w:rPr>
          <w:rFonts w:ascii="Times New Roman" w:hAnsi="Times New Roman" w:cs="Times New Roman"/>
          <w:sz w:val="24"/>
          <w:szCs w:val="24"/>
          <w:u w:val="single"/>
        </w:rPr>
      </w:pPr>
      <w:r w:rsidRPr="00EA2985">
        <w:rPr>
          <w:rFonts w:ascii="Times New Roman" w:hAnsi="Times New Roman" w:cs="Times New Roman"/>
          <w:sz w:val="24"/>
          <w:szCs w:val="24"/>
          <w:u w:val="single"/>
        </w:rPr>
        <w:t>Regeneration model</w:t>
      </w:r>
    </w:p>
    <w:p w14:paraId="0ED0345B" w14:textId="43D5171C" w:rsidR="00EA2985" w:rsidRPr="00EA2985" w:rsidRDefault="00EA2985" w:rsidP="00EA2985">
      <w:pPr>
        <w:ind w:left="720"/>
        <w:rPr>
          <w:rFonts w:ascii="Times New Roman" w:hAnsi="Times New Roman" w:cs="Times New Roman"/>
          <w:sz w:val="24"/>
          <w:szCs w:val="24"/>
        </w:rPr>
      </w:pPr>
      <w:r w:rsidRPr="00EA2985">
        <w:rPr>
          <w:rFonts w:ascii="Times New Roman" w:hAnsi="Times New Roman" w:cs="Times New Roman"/>
          <w:sz w:val="24"/>
          <w:szCs w:val="24"/>
        </w:rPr>
        <w:t>Modeled regeneration as the probability of seedling presence (from SEED table) at the plot level during the most recent inventory period, as a function of plot and landscape-level predictors. Plot-level predictors include climate normal and recent anomalies, estimated fire severity, BDA severity, slope, aspect, elevation. Landscape-level predictors are the proportion of ecoregion impacted by fire or BDA. We again built a binomial GLMM in a Bayesian framework for each species. (</w:t>
      </w:r>
      <w:proofErr w:type="gramStart"/>
      <w:r w:rsidRPr="00EA2985">
        <w:rPr>
          <w:rFonts w:ascii="Times New Roman" w:hAnsi="Times New Roman" w:cs="Times New Roman"/>
          <w:sz w:val="24"/>
          <w:szCs w:val="24"/>
        </w:rPr>
        <w:t>build</w:t>
      </w:r>
      <w:proofErr w:type="gramEnd"/>
      <w:r w:rsidRPr="00EA2985">
        <w:rPr>
          <w:rFonts w:ascii="Times New Roman" w:hAnsi="Times New Roman" w:cs="Times New Roman"/>
          <w:sz w:val="24"/>
          <w:szCs w:val="24"/>
        </w:rPr>
        <w:t xml:space="preserve"> out equation).</w:t>
      </w:r>
    </w:p>
    <w:p w14:paraId="3287CFD6" w14:textId="77777777" w:rsidR="00EA2985" w:rsidRPr="00EA2985" w:rsidRDefault="00EA2985" w:rsidP="00EA2985">
      <w:pPr>
        <w:ind w:left="720"/>
        <w:rPr>
          <w:rFonts w:ascii="Times New Roman" w:hAnsi="Times New Roman" w:cs="Times New Roman"/>
          <w:sz w:val="24"/>
          <w:szCs w:val="24"/>
        </w:rPr>
      </w:pPr>
    </w:p>
    <w:p w14:paraId="04A8E460" w14:textId="77777777" w:rsidR="00EA2985" w:rsidRPr="00EA2985" w:rsidRDefault="00EA2985" w:rsidP="00EA2985">
      <w:pPr>
        <w:ind w:left="720"/>
        <w:rPr>
          <w:rFonts w:ascii="Times New Roman" w:hAnsi="Times New Roman" w:cs="Times New Roman"/>
          <w:sz w:val="24"/>
          <w:szCs w:val="24"/>
        </w:rPr>
      </w:pPr>
    </w:p>
    <w:p w14:paraId="46E29836" w14:textId="72CF44BC" w:rsidR="0092425C" w:rsidRPr="00EA2985" w:rsidRDefault="0092425C" w:rsidP="0092425C">
      <w:pPr>
        <w:rPr>
          <w:rFonts w:ascii="Times New Roman" w:hAnsi="Times New Roman" w:cs="Times New Roman"/>
          <w:sz w:val="24"/>
          <w:szCs w:val="24"/>
          <w:u w:val="single"/>
        </w:rPr>
      </w:pPr>
      <w:r w:rsidRPr="00EA2985">
        <w:rPr>
          <w:rFonts w:ascii="Times New Roman" w:hAnsi="Times New Roman" w:cs="Times New Roman"/>
          <w:sz w:val="24"/>
          <w:szCs w:val="24"/>
        </w:rPr>
        <w:tab/>
      </w:r>
      <w:r w:rsidRPr="00EA2985">
        <w:rPr>
          <w:rFonts w:ascii="Times New Roman" w:hAnsi="Times New Roman" w:cs="Times New Roman"/>
          <w:sz w:val="24"/>
          <w:szCs w:val="24"/>
          <w:u w:val="single"/>
        </w:rPr>
        <w:t>Community trajectory categorization</w:t>
      </w:r>
    </w:p>
    <w:p w14:paraId="78460602" w14:textId="1C10EF3D" w:rsidR="0092425C" w:rsidRPr="00EA2985" w:rsidRDefault="0092425C" w:rsidP="00B84865">
      <w:pPr>
        <w:ind w:left="720"/>
        <w:rPr>
          <w:rFonts w:ascii="Times New Roman" w:hAnsi="Times New Roman" w:cs="Times New Roman"/>
          <w:sz w:val="24"/>
          <w:szCs w:val="24"/>
        </w:rPr>
      </w:pPr>
      <w:r w:rsidRPr="00EA2985">
        <w:rPr>
          <w:rFonts w:ascii="Times New Roman" w:hAnsi="Times New Roman" w:cs="Times New Roman"/>
          <w:sz w:val="24"/>
          <w:szCs w:val="24"/>
        </w:rPr>
        <w:t xml:space="preserve">Potentially another part here saying we took model-predicted mortality and regen, aggregated them to the ecoregion subsection level, and compared them across community trajectory categories to get a sense </w:t>
      </w:r>
      <w:r w:rsidR="00B84865" w:rsidRPr="00EA2985">
        <w:rPr>
          <w:rFonts w:ascii="Times New Roman" w:hAnsi="Times New Roman" w:cs="Times New Roman"/>
          <w:sz w:val="24"/>
          <w:szCs w:val="24"/>
        </w:rPr>
        <w:t>of what combinations of demographic rates area associated with coexistence.</w:t>
      </w:r>
    </w:p>
    <w:p w14:paraId="5B0F4045" w14:textId="51581345" w:rsidR="00EA2985" w:rsidRDefault="00E25466" w:rsidP="00E25466">
      <w:pPr>
        <w:ind w:left="720" w:hanging="720"/>
        <w:rPr>
          <w:rFonts w:ascii="Times New Roman" w:hAnsi="Times New Roman" w:cs="Times New Roman"/>
          <w:i/>
          <w:iCs/>
          <w:sz w:val="24"/>
          <w:szCs w:val="24"/>
        </w:rPr>
      </w:pPr>
      <w:r w:rsidRPr="00EA2985">
        <w:rPr>
          <w:rFonts w:ascii="Times New Roman" w:hAnsi="Times New Roman" w:cs="Times New Roman"/>
          <w:i/>
          <w:iCs/>
          <w:sz w:val="24"/>
          <w:szCs w:val="24"/>
        </w:rPr>
        <w:t>Future Projections</w:t>
      </w:r>
    </w:p>
    <w:p w14:paraId="3AE823F8" w14:textId="77777777" w:rsidR="00EA2985" w:rsidRDefault="00EA2985">
      <w:pPr>
        <w:rPr>
          <w:rFonts w:ascii="Times New Roman" w:hAnsi="Times New Roman" w:cs="Times New Roman"/>
          <w:i/>
          <w:iCs/>
          <w:sz w:val="24"/>
          <w:szCs w:val="24"/>
        </w:rPr>
      </w:pPr>
      <w:r>
        <w:rPr>
          <w:rFonts w:ascii="Times New Roman" w:hAnsi="Times New Roman" w:cs="Times New Roman"/>
          <w:i/>
          <w:iCs/>
          <w:sz w:val="24"/>
          <w:szCs w:val="24"/>
        </w:rPr>
        <w:br w:type="page"/>
      </w:r>
    </w:p>
    <w:p w14:paraId="76B8BC21" w14:textId="77777777" w:rsidR="00EA2985" w:rsidRPr="00A154A6" w:rsidRDefault="00EA2985" w:rsidP="00EA2985">
      <w:pPr>
        <w:rPr>
          <w:rFonts w:ascii="Times New Roman" w:hAnsi="Times New Roman" w:cs="Times New Roman"/>
        </w:rPr>
      </w:pPr>
      <w:r>
        <w:rPr>
          <w:rFonts w:ascii="Times New Roman" w:hAnsi="Times New Roman" w:cs="Times New Roman"/>
          <w:b/>
          <w:bCs/>
        </w:rPr>
        <w:lastRenderedPageBreak/>
        <w:t>Preliminary results</w:t>
      </w:r>
    </w:p>
    <w:p w14:paraId="2816326E" w14:textId="77777777" w:rsidR="00EA2985" w:rsidRPr="001D62A7" w:rsidRDefault="00EA2985" w:rsidP="00EA2985">
      <w:pPr>
        <w:rPr>
          <w:rFonts w:ascii="Times New Roman" w:hAnsi="Times New Roman" w:cs="Times New Roman"/>
          <w:i/>
          <w:iCs/>
        </w:rPr>
      </w:pPr>
      <w:r>
        <w:rPr>
          <w:rFonts w:ascii="Times New Roman" w:hAnsi="Times New Roman" w:cs="Times New Roman"/>
          <w:i/>
          <w:iCs/>
        </w:rPr>
        <w:t>Population estimation and categorization</w:t>
      </w:r>
    </w:p>
    <w:p w14:paraId="769963EC" w14:textId="38B391F9" w:rsidR="00EA2985" w:rsidRPr="00090D92" w:rsidRDefault="00EA2985" w:rsidP="00EA2985">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replacement</w:t>
      </w:r>
      <w:r>
        <w:rPr>
          <w:rFonts w:ascii="Times New Roman" w:hAnsi="Times New Roman" w:cs="Times New Roman"/>
        </w:rPr>
        <w:t xml:space="preserve"> – indicating that both species are in decline or experiencing significant turnover. </w:t>
      </w:r>
    </w:p>
    <w:p w14:paraId="3A1D16FE" w14:textId="03283630" w:rsidR="00EA2985" w:rsidRDefault="00EA2985" w:rsidP="00EA2985">
      <w:pPr>
        <w:rPr>
          <w:rFonts w:ascii="Times New Roman" w:hAnsi="Times New Roman" w:cs="Times New Roman"/>
          <w:iCs/>
        </w:rPr>
      </w:pPr>
      <w:r>
        <w:rPr>
          <w:rFonts w:ascii="Times New Roman" w:hAnsi="Times New Roman" w:cs="Times New Roman"/>
        </w:rPr>
        <w:tab/>
        <w:t xml:space="preserve">When we categorize ecoregion subsections using this scheme, as in Figure 2a, we find that 38.4% of the species’ shared distribution falls in the </w:t>
      </w:r>
      <w:r>
        <w:rPr>
          <w:rFonts w:ascii="Times New Roman" w:hAnsi="Times New Roman" w:cs="Times New Roman"/>
          <w:i/>
          <w:iCs/>
        </w:rPr>
        <w:t>persistence/resilience</w:t>
      </w:r>
      <w:r>
        <w:rPr>
          <w:rFonts w:ascii="Times New Roman" w:hAnsi="Times New Roman" w:cs="Times New Roman"/>
        </w:rPr>
        <w:t xml:space="preserve"> category, 13.0% in the </w:t>
      </w:r>
      <w:r>
        <w:rPr>
          <w:rFonts w:ascii="Times New Roman" w:hAnsi="Times New Roman" w:cs="Times New Roman"/>
          <w:i/>
          <w:iCs/>
        </w:rPr>
        <w:t>structural change</w:t>
      </w:r>
      <w:r>
        <w:rPr>
          <w:rFonts w:ascii="Times New Roman" w:hAnsi="Times New Roman" w:cs="Times New Roman"/>
        </w:rPr>
        <w:t xml:space="preserve"> category, 38.6% in </w:t>
      </w:r>
      <w:r>
        <w:rPr>
          <w:rFonts w:ascii="Times New Roman" w:hAnsi="Times New Roman" w:cs="Times New Roman"/>
          <w:i/>
          <w:iCs/>
        </w:rPr>
        <w:t xml:space="preserve">compositional change, </w:t>
      </w:r>
      <w:r>
        <w:rPr>
          <w:rFonts w:ascii="Times New Roman" w:hAnsi="Times New Roman" w:cs="Times New Roman"/>
        </w:rPr>
        <w:t xml:space="preserve">and 10.1% in </w:t>
      </w:r>
      <w:r>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~50% of their current distribution. The major sources of mortality for each species differ between categories, shown in Figure 2b. Notably, insect mortality dominates across all categories except </w:t>
      </w:r>
      <w:r>
        <w:rPr>
          <w:rFonts w:ascii="Times New Roman" w:hAnsi="Times New Roman" w:cs="Times New Roman"/>
          <w:i/>
          <w:iCs/>
        </w:rPr>
        <w:t>persistence/resilience</w:t>
      </w:r>
      <w:r>
        <w:rPr>
          <w:rFonts w:ascii="Times New Roman" w:hAnsi="Times New Roman" w:cs="Times New Roman"/>
        </w:rPr>
        <w:t xml:space="preserve"> for Engelmann spruce, probably reflecting severe spruce beetle outbreaks in parts of the species’ range. 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Pr>
          <w:rFonts w:ascii="Times New Roman" w:hAnsi="Times New Roman" w:cs="Times New Roman"/>
          <w:i/>
          <w:iCs/>
        </w:rPr>
        <w:t xml:space="preserve">compositional change </w:t>
      </w:r>
      <w:r>
        <w:rPr>
          <w:rFonts w:ascii="Times New Roman" w:hAnsi="Times New Roman" w:cs="Times New Roman"/>
        </w:rPr>
        <w:t>and</w:t>
      </w:r>
      <w:r>
        <w:rPr>
          <w:rFonts w:ascii="Times New Roman" w:hAnsi="Times New Roman" w:cs="Times New Roman"/>
          <w:i/>
          <w:iCs/>
        </w:rPr>
        <w:t xml:space="preserve"> replacement</w:t>
      </w:r>
      <w:r>
        <w:rPr>
          <w:rFonts w:ascii="Times New Roman" w:hAnsi="Times New Roman" w:cs="Times New Roman"/>
        </w:rPr>
        <w:t xml:space="preserve"> categories. Mortality is more evenly distributed between fire, disease, and insect agents for subalpine fir, except in the </w:t>
      </w:r>
      <w:r>
        <w:rPr>
          <w:rFonts w:ascii="Times New Roman" w:hAnsi="Times New Roman" w:cs="Times New Roman"/>
          <w:i/>
        </w:rPr>
        <w:t xml:space="preserve">replacement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0907DE73" w14:textId="77777777" w:rsidR="00EA2985" w:rsidRDefault="00EA2985" w:rsidP="00EA2985">
      <w:pPr>
        <w:rPr>
          <w:rFonts w:ascii="Times New Roman" w:hAnsi="Times New Roman" w:cs="Times New Roman"/>
          <w:i/>
        </w:rPr>
      </w:pPr>
    </w:p>
    <w:p w14:paraId="0DEDA2E5" w14:textId="77777777" w:rsidR="00EA2985" w:rsidRDefault="00EA2985" w:rsidP="00EA2985">
      <w:pPr>
        <w:rPr>
          <w:rFonts w:ascii="Times New Roman" w:hAnsi="Times New Roman" w:cs="Times New Roman"/>
          <w:iCs/>
        </w:rPr>
      </w:pPr>
      <w:r>
        <w:rPr>
          <w:rFonts w:ascii="Times New Roman" w:hAnsi="Times New Roman" w:cs="Times New Roman"/>
          <w:i/>
        </w:rPr>
        <w:t>Mortality models</w:t>
      </w:r>
    </w:p>
    <w:p w14:paraId="51ADD38C" w14:textId="44977702" w:rsidR="00F96D2A" w:rsidRDefault="00F96D2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F408C63" w14:textId="49DF669A" w:rsidR="00F96D2A" w:rsidRDefault="00F96D2A" w:rsidP="00EA2985">
      <w:pPr>
        <w:rPr>
          <w:rFonts w:ascii="Times New Roman" w:hAnsi="Times New Roman" w:cs="Times New Roman"/>
          <w:iCs/>
        </w:rPr>
      </w:pPr>
      <w:r>
        <w:rPr>
          <w:rFonts w:ascii="Times New Roman" w:hAnsi="Times New Roman" w:cs="Times New Roman"/>
          <w:b/>
          <w:bCs/>
          <w:iCs/>
        </w:rPr>
        <w:tab/>
      </w:r>
      <w:r>
        <w:rPr>
          <w:rFonts w:ascii="Times New Roman" w:hAnsi="Times New Roman" w:cs="Times New Roman"/>
          <w:iCs/>
        </w:rPr>
        <w:t xml:space="preserve">ABLA – negative effect of mean temps on survival but positive effect of temperature anomalies (check interactions between anomalies and refs), super strong negative effect of fire area (with </w:t>
      </w:r>
      <w:proofErr w:type="spellStart"/>
      <w:r>
        <w:rPr>
          <w:rFonts w:ascii="Times New Roman" w:hAnsi="Times New Roman" w:cs="Times New Roman"/>
          <w:iCs/>
        </w:rPr>
        <w:t>anom</w:t>
      </w:r>
      <w:proofErr w:type="spellEnd"/>
      <w:r>
        <w:rPr>
          <w:rFonts w:ascii="Times New Roman" w:hAnsi="Times New Roman" w:cs="Times New Roman"/>
          <w:iCs/>
        </w:rPr>
        <w:t xml:space="preserve"> interactions), moderate tree size effect that interacts with lots of terms significantly</w:t>
      </w:r>
      <w:r w:rsidR="00E22006">
        <w:rPr>
          <w:rFonts w:ascii="Times New Roman" w:hAnsi="Times New Roman" w:cs="Times New Roman"/>
          <w:iCs/>
        </w:rPr>
        <w:t>. Negative effect of previous BAH on mortality (which is strange).</w:t>
      </w:r>
    </w:p>
    <w:p w14:paraId="64810AF3" w14:textId="128E0481" w:rsidR="00F96D2A" w:rsidRDefault="00F96D2A" w:rsidP="00EA2985">
      <w:pPr>
        <w:rPr>
          <w:rFonts w:ascii="Times New Roman" w:hAnsi="Times New Roman" w:cs="Times New Roman"/>
          <w:iCs/>
        </w:rPr>
      </w:pPr>
      <w:r>
        <w:rPr>
          <w:rFonts w:ascii="Times New Roman" w:hAnsi="Times New Roman" w:cs="Times New Roman"/>
          <w:iCs/>
        </w:rPr>
        <w:tab/>
        <w:t xml:space="preserve">PIEN </w:t>
      </w:r>
      <w:r w:rsidR="00C665AA">
        <w:rPr>
          <w:rFonts w:ascii="Times New Roman" w:hAnsi="Times New Roman" w:cs="Times New Roman"/>
          <w:iCs/>
        </w:rPr>
        <w:t>–</w:t>
      </w:r>
      <w:r>
        <w:rPr>
          <w:rFonts w:ascii="Times New Roman" w:hAnsi="Times New Roman" w:cs="Times New Roman"/>
          <w:iCs/>
        </w:rPr>
        <w:t xml:space="preserve"> </w:t>
      </w:r>
      <w:r w:rsidR="00C665AA">
        <w:rPr>
          <w:rFonts w:ascii="Times New Roman" w:hAnsi="Times New Roman" w:cs="Times New Roman"/>
          <w:iCs/>
        </w:rPr>
        <w:t xml:space="preserve">no significant tree size effect! Small/moderate positive effect of temp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very negative effect of CMD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xml:space="preserve"> (and strong interaction). No effect of MAT reference, moderate neg effect of MAP reference, check interactions with </w:t>
      </w:r>
      <w:proofErr w:type="spellStart"/>
      <w:r w:rsidR="00C665AA">
        <w:rPr>
          <w:rFonts w:ascii="Times New Roman" w:hAnsi="Times New Roman" w:cs="Times New Roman"/>
          <w:iCs/>
        </w:rPr>
        <w:t>anoms</w:t>
      </w:r>
      <w:proofErr w:type="spellEnd"/>
      <w:r w:rsidR="00C665AA">
        <w:rPr>
          <w:rFonts w:ascii="Times New Roman" w:hAnsi="Times New Roman" w:cs="Times New Roman"/>
          <w:iCs/>
        </w:rPr>
        <w:t>. Strong fire area effect. Strong disturbance x anomaly interactions.</w:t>
      </w:r>
      <w:r w:rsidR="00E22006">
        <w:rPr>
          <w:rFonts w:ascii="Times New Roman" w:hAnsi="Times New Roman" w:cs="Times New Roman"/>
          <w:iCs/>
        </w:rPr>
        <w:t xml:space="preserve"> Positive effect of previous BAH on mortality, but the effect is pretty weak.</w:t>
      </w:r>
    </w:p>
    <w:p w14:paraId="2662A4BA" w14:textId="77777777" w:rsidR="00C665AA" w:rsidRDefault="00C665AA" w:rsidP="00EA2985">
      <w:pPr>
        <w:rPr>
          <w:rFonts w:ascii="Times New Roman" w:hAnsi="Times New Roman" w:cs="Times New Roman"/>
          <w:iCs/>
        </w:rPr>
      </w:pPr>
    </w:p>
    <w:p w14:paraId="53696EE8" w14:textId="734DB4B1" w:rsidR="00C665AA" w:rsidRDefault="00C665AA" w:rsidP="00EA2985">
      <w:pPr>
        <w:rPr>
          <w:rFonts w:ascii="Times New Roman" w:hAnsi="Times New Roman" w:cs="Times New Roman"/>
          <w:iCs/>
        </w:rPr>
      </w:pPr>
      <w:r>
        <w:rPr>
          <w:rFonts w:ascii="Times New Roman" w:hAnsi="Times New Roman" w:cs="Times New Roman"/>
          <w:i/>
        </w:rPr>
        <w:t>Regeneration models</w:t>
      </w:r>
    </w:p>
    <w:p w14:paraId="08182AAF" w14:textId="0C3E474F" w:rsidR="00C665AA" w:rsidRDefault="00C665AA" w:rsidP="00EA2985">
      <w:pPr>
        <w:rPr>
          <w:rFonts w:ascii="Times New Roman" w:hAnsi="Times New Roman" w:cs="Times New Roman"/>
          <w:b/>
          <w:bCs/>
          <w:iCs/>
        </w:rPr>
      </w:pPr>
      <w:r>
        <w:rPr>
          <w:rFonts w:ascii="Times New Roman" w:hAnsi="Times New Roman" w:cs="Times New Roman"/>
          <w:iCs/>
        </w:rPr>
        <w:tab/>
      </w:r>
      <w:r>
        <w:rPr>
          <w:rFonts w:ascii="Times New Roman" w:hAnsi="Times New Roman" w:cs="Times New Roman"/>
          <w:b/>
          <w:bCs/>
          <w:iCs/>
        </w:rPr>
        <w:t>Effects</w:t>
      </w:r>
    </w:p>
    <w:p w14:paraId="2831EC5E" w14:textId="24F26CBE" w:rsidR="00C665AA" w:rsidRPr="00C665AA" w:rsidRDefault="00C665AA" w:rsidP="00EA2985">
      <w:pPr>
        <w:rPr>
          <w:rFonts w:ascii="Times New Roman" w:hAnsi="Times New Roman" w:cs="Times New Roman"/>
          <w:iCs/>
        </w:rPr>
      </w:pPr>
      <w:r>
        <w:rPr>
          <w:rFonts w:ascii="Times New Roman" w:hAnsi="Times New Roman" w:cs="Times New Roman"/>
          <w:b/>
          <w:bCs/>
          <w:iCs/>
        </w:rPr>
        <w:lastRenderedPageBreak/>
        <w:tab/>
      </w:r>
      <w:r>
        <w:rPr>
          <w:rFonts w:ascii="Times New Roman" w:hAnsi="Times New Roman" w:cs="Times New Roman"/>
          <w:iCs/>
        </w:rPr>
        <w:t xml:space="preserve">ABLA </w:t>
      </w:r>
      <w:r w:rsidR="00E22006">
        <w:rPr>
          <w:rFonts w:ascii="Times New Roman" w:hAnsi="Times New Roman" w:cs="Times New Roman"/>
          <w:iCs/>
        </w:rPr>
        <w:t>–</w:t>
      </w:r>
      <w:r>
        <w:rPr>
          <w:rFonts w:ascii="Times New Roman" w:hAnsi="Times New Roman" w:cs="Times New Roman"/>
          <w:iCs/>
        </w:rPr>
        <w:t xml:space="preserve"> </w:t>
      </w:r>
      <w:r w:rsidR="00E22006">
        <w:rPr>
          <w:rFonts w:ascii="Times New Roman" w:hAnsi="Times New Roman" w:cs="Times New Roman"/>
          <w:iCs/>
        </w:rPr>
        <w:t>no effect of previous BAH on seedling presence (makes sense, shade tolerant).</w:t>
      </w:r>
      <w:r w:rsidR="00E22006" w:rsidRPr="00E22006">
        <w:rPr>
          <w:rFonts w:ascii="Times New Roman" w:hAnsi="Times New Roman" w:cs="Times New Roman"/>
          <w:iCs/>
        </w:rPr>
        <w:t xml:space="preserve"> </w:t>
      </w:r>
      <w:r w:rsidR="00E22006">
        <w:rPr>
          <w:rFonts w:ascii="Times New Roman" w:hAnsi="Times New Roman" w:cs="Times New Roman"/>
          <w:iCs/>
        </w:rPr>
        <w:t>Strong negative effect of temp anomalies</w:t>
      </w:r>
      <w:r w:rsidR="00E22006">
        <w:rPr>
          <w:rFonts w:ascii="Times New Roman" w:hAnsi="Times New Roman" w:cs="Times New Roman"/>
          <w:iCs/>
        </w:rPr>
        <w:t xml:space="preserve"> (gets more negative in warmer regions)</w:t>
      </w:r>
      <w:r w:rsidR="00E22006">
        <w:rPr>
          <w:rFonts w:ascii="Times New Roman" w:hAnsi="Times New Roman" w:cs="Times New Roman"/>
          <w:iCs/>
        </w:rPr>
        <w:t>, weak negative effect of CMD anomalies.</w:t>
      </w:r>
      <w:r w:rsidR="00E22006">
        <w:rPr>
          <w:rFonts w:ascii="Times New Roman" w:hAnsi="Times New Roman" w:cs="Times New Roman"/>
          <w:iCs/>
        </w:rPr>
        <w:t xml:space="preserve"> </w:t>
      </w:r>
    </w:p>
    <w:p w14:paraId="7478A7CA" w14:textId="79B68B5E" w:rsidR="00C665AA" w:rsidRPr="00F96D2A" w:rsidRDefault="002600A2" w:rsidP="00EA2985">
      <w:pPr>
        <w:rPr>
          <w:rFonts w:ascii="Times New Roman" w:hAnsi="Times New Roman" w:cs="Times New Roman"/>
          <w:iCs/>
        </w:rPr>
      </w:pPr>
      <w:r>
        <w:rPr>
          <w:rFonts w:ascii="Times New Roman" w:hAnsi="Times New Roman" w:cs="Times New Roman"/>
          <w:iCs/>
        </w:rPr>
        <w:tab/>
        <w:t xml:space="preserve">PIEN </w:t>
      </w:r>
      <w:r w:rsidR="00E22006">
        <w:rPr>
          <w:rFonts w:ascii="Times New Roman" w:hAnsi="Times New Roman" w:cs="Times New Roman"/>
          <w:iCs/>
        </w:rPr>
        <w:t>–</w:t>
      </w:r>
      <w:r>
        <w:rPr>
          <w:rFonts w:ascii="Times New Roman" w:hAnsi="Times New Roman" w:cs="Times New Roman"/>
          <w:iCs/>
        </w:rPr>
        <w:t xml:space="preserve"> </w:t>
      </w:r>
      <w:r w:rsidR="00E22006">
        <w:rPr>
          <w:rFonts w:ascii="Times New Roman" w:hAnsi="Times New Roman" w:cs="Times New Roman"/>
          <w:iCs/>
        </w:rPr>
        <w:t>strong negative effect of previous BAH on seedling presence (makes sense, less shade tolerant). Effect of MAT anomalies strongly dependent on reference temperature; strongly positive in cold areas, strongly negative in hot areas.</w:t>
      </w:r>
    </w:p>
    <w:p w14:paraId="619DF781" w14:textId="77777777" w:rsidR="00F96D2A" w:rsidRDefault="00F96D2A" w:rsidP="00EA2985">
      <w:pPr>
        <w:rPr>
          <w:rFonts w:ascii="Times New Roman" w:hAnsi="Times New Roman" w:cs="Times New Roman"/>
          <w:iCs/>
        </w:rPr>
      </w:pPr>
    </w:p>
    <w:p w14:paraId="28B50563" w14:textId="18A3E14E" w:rsidR="00E22006" w:rsidRDefault="00E22006" w:rsidP="00EA2985">
      <w:pPr>
        <w:rPr>
          <w:rFonts w:ascii="Times New Roman" w:hAnsi="Times New Roman" w:cs="Times New Roman"/>
          <w:iCs/>
        </w:rPr>
      </w:pPr>
      <w:r>
        <w:rPr>
          <w:rFonts w:ascii="Times New Roman" w:hAnsi="Times New Roman" w:cs="Times New Roman"/>
          <w:i/>
        </w:rPr>
        <w:t>Recruitment models</w:t>
      </w:r>
    </w:p>
    <w:p w14:paraId="49821AB4" w14:textId="5CB396BD" w:rsidR="00E22006" w:rsidRDefault="00E22006" w:rsidP="00E22006">
      <w:pPr>
        <w:rPr>
          <w:rFonts w:ascii="Times New Roman" w:hAnsi="Times New Roman" w:cs="Times New Roman"/>
          <w:iCs/>
        </w:rPr>
      </w:pPr>
      <w:r>
        <w:rPr>
          <w:rFonts w:ascii="Times New Roman" w:hAnsi="Times New Roman" w:cs="Times New Roman"/>
          <w:b/>
          <w:bCs/>
          <w:iCs/>
        </w:rPr>
        <w:tab/>
        <w:t>Effects</w:t>
      </w:r>
    </w:p>
    <w:p w14:paraId="6066EAA2" w14:textId="2577386B" w:rsidR="00E22006" w:rsidRDefault="00E22006" w:rsidP="00E22006">
      <w:pPr>
        <w:rPr>
          <w:rFonts w:ascii="Times New Roman" w:hAnsi="Times New Roman" w:cs="Times New Roman"/>
          <w:iCs/>
        </w:rPr>
      </w:pPr>
      <w:r>
        <w:rPr>
          <w:rFonts w:ascii="Times New Roman" w:hAnsi="Times New Roman" w:cs="Times New Roman"/>
          <w:iCs/>
        </w:rPr>
        <w:tab/>
        <w:t xml:space="preserve">ABLA – strong negative effect of temp </w:t>
      </w:r>
      <w:proofErr w:type="spellStart"/>
      <w:r>
        <w:rPr>
          <w:rFonts w:ascii="Times New Roman" w:hAnsi="Times New Roman" w:cs="Times New Roman"/>
          <w:iCs/>
        </w:rPr>
        <w:t>anoms</w:t>
      </w:r>
      <w:proofErr w:type="spellEnd"/>
      <w:r>
        <w:rPr>
          <w:rFonts w:ascii="Times New Roman" w:hAnsi="Times New Roman" w:cs="Times New Roman"/>
          <w:iCs/>
        </w:rPr>
        <w:t xml:space="preserve"> at all references for ABLA (more negative in warmer refs). </w:t>
      </w:r>
    </w:p>
    <w:p w14:paraId="5ECB188C" w14:textId="121692C4" w:rsidR="00E22006" w:rsidRDefault="00E22006" w:rsidP="00E22006">
      <w:pPr>
        <w:rPr>
          <w:rFonts w:ascii="Times New Roman" w:hAnsi="Times New Roman" w:cs="Times New Roman"/>
          <w:iCs/>
        </w:rPr>
      </w:pPr>
      <w:r>
        <w:rPr>
          <w:rFonts w:ascii="Times New Roman" w:hAnsi="Times New Roman" w:cs="Times New Roman"/>
          <w:iCs/>
        </w:rPr>
        <w:tab/>
        <w:t xml:space="preserve">PIEN – not much of a temp </w:t>
      </w:r>
      <w:proofErr w:type="spellStart"/>
      <w:r>
        <w:rPr>
          <w:rFonts w:ascii="Times New Roman" w:hAnsi="Times New Roman" w:cs="Times New Roman"/>
          <w:iCs/>
        </w:rPr>
        <w:t>anom</w:t>
      </w:r>
      <w:proofErr w:type="spellEnd"/>
      <w:r>
        <w:rPr>
          <w:rFonts w:ascii="Times New Roman" w:hAnsi="Times New Roman" w:cs="Times New Roman"/>
          <w:iCs/>
        </w:rPr>
        <w:t xml:space="preserve"> effect. </w:t>
      </w:r>
    </w:p>
    <w:p w14:paraId="698CB7D5" w14:textId="77777777" w:rsidR="00E22006" w:rsidRPr="00E22006" w:rsidRDefault="00E22006" w:rsidP="00E22006">
      <w:pPr>
        <w:rPr>
          <w:rFonts w:ascii="Times New Roman" w:hAnsi="Times New Roman" w:cs="Times New Roman"/>
          <w:iCs/>
        </w:rPr>
      </w:pPr>
    </w:p>
    <w:p w14:paraId="60CDA3A5" w14:textId="77777777" w:rsidR="00E22006" w:rsidRPr="00F96D2A" w:rsidRDefault="00E22006" w:rsidP="00EA2985">
      <w:pPr>
        <w:rPr>
          <w:rFonts w:ascii="Times New Roman" w:hAnsi="Times New Roman" w:cs="Times New Roman"/>
          <w:iCs/>
        </w:rPr>
      </w:pPr>
    </w:p>
    <w:p w14:paraId="708ED8BF" w14:textId="77777777" w:rsidR="00EA2985" w:rsidRDefault="00EA2985" w:rsidP="00EA2985">
      <w:pPr>
        <w:rPr>
          <w:rFonts w:ascii="Times New Roman" w:hAnsi="Times New Roman" w:cs="Times New Roman"/>
          <w:iCs/>
        </w:rPr>
      </w:pPr>
      <w:r>
        <w:rPr>
          <w:rFonts w:ascii="Times New Roman" w:hAnsi="Times New Roman" w:cs="Times New Roman"/>
          <w:iCs/>
        </w:rPr>
        <w:tab/>
        <w:t>Mortality and regeneration models are still in development. Mortality models are binomial GLMMs with the response variable being tree status (</w:t>
      </w:r>
      <w:r>
        <w:rPr>
          <w:rFonts w:ascii="Times New Roman" w:hAnsi="Times New Roman" w:cs="Times New Roman"/>
          <w:i/>
        </w:rPr>
        <w:t xml:space="preserve">i.e., </w:t>
      </w:r>
      <w:proofErr w:type="gramStart"/>
      <w:r>
        <w:rPr>
          <w:rFonts w:ascii="Times New Roman" w:hAnsi="Times New Roman" w:cs="Times New Roman"/>
          <w:iCs/>
        </w:rPr>
        <w:t>alive</w:t>
      </w:r>
      <w:proofErr w:type="gramEnd"/>
      <w:r>
        <w:rPr>
          <w:rFonts w:ascii="Times New Roman" w:hAnsi="Times New Roman" w:cs="Times New Roman"/>
          <w:iCs/>
        </w:rPr>
        <w:t xml:space="preserve"> or dead) at the second plot visit for trees that were alive during the initial inventory (</w:t>
      </w:r>
      <w:r>
        <w:rPr>
          <w:rFonts w:ascii="Times New Roman" w:hAnsi="Times New Roman" w:cs="Times New Roman"/>
          <w:i/>
        </w:rPr>
        <w:t>i.e.,</w:t>
      </w:r>
      <w:r>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as cross-scale interactions (</w:t>
      </w:r>
      <w:r>
        <w:rPr>
          <w:rFonts w:ascii="Times New Roman" w:hAnsi="Times New Roman" w:cs="Times New Roman"/>
          <w:i/>
        </w:rPr>
        <w:t>e.g.,</w:t>
      </w:r>
      <w:r>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 are easier to interpret. I’ve been evaluating model performance in a variety of ways – in short, the models evaluate well at larger scales of organization (</w:t>
      </w:r>
      <w:r>
        <w:rPr>
          <w:rFonts w:ascii="Times New Roman" w:hAnsi="Times New Roman" w:cs="Times New Roman"/>
          <w:i/>
        </w:rPr>
        <w:t>e.g.,</w:t>
      </w:r>
      <w:r>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331E0203" w14:textId="77777777" w:rsidR="00EA2985" w:rsidRDefault="00EA2985" w:rsidP="00EA2985">
      <w:pPr>
        <w:rPr>
          <w:rFonts w:ascii="Times New Roman" w:hAnsi="Times New Roman" w:cs="Times New Roman"/>
          <w:iCs/>
        </w:rPr>
      </w:pPr>
      <w:r>
        <w:rPr>
          <w:rFonts w:ascii="Times New Roman" w:hAnsi="Times New Roman" w:cs="Times New Roman"/>
          <w:iCs/>
        </w:rPr>
        <w:tab/>
      </w:r>
    </w:p>
    <w:p w14:paraId="213FF2DA" w14:textId="77777777" w:rsidR="00EA2985" w:rsidRPr="00FD4823" w:rsidRDefault="00EA2985" w:rsidP="00EA2985">
      <w:pPr>
        <w:rPr>
          <w:rFonts w:ascii="Times New Roman" w:hAnsi="Times New Roman" w:cs="Times New Roman"/>
          <w:i/>
        </w:rPr>
      </w:pPr>
      <w:r>
        <w:rPr>
          <w:rFonts w:ascii="Times New Roman" w:hAnsi="Times New Roman" w:cs="Times New Roman"/>
          <w:i/>
        </w:rPr>
        <w:t>Regeneration models</w:t>
      </w:r>
    </w:p>
    <w:p w14:paraId="2D544CCB" w14:textId="77777777" w:rsidR="00EA2985" w:rsidRDefault="00EA2985" w:rsidP="00EA2985">
      <w:pPr>
        <w:ind w:firstLine="720"/>
        <w:rPr>
          <w:rFonts w:ascii="Times New Roman" w:hAnsi="Times New Roman" w:cs="Times New Roman"/>
          <w:iCs/>
        </w:rPr>
      </w:pPr>
      <w:r>
        <w:rPr>
          <w:rFonts w:ascii="Times New Roman" w:hAnsi="Times New Roman" w:cs="Times New Roman"/>
          <w:iCs/>
        </w:rPr>
        <w:t xml:space="preserve">I chose to model regeneration as the probability of seedling presence at the plot level during the most recent inventory period, again using a binomial GLMM. These models are </w:t>
      </w:r>
      <w:proofErr w:type="gramStart"/>
      <w:r>
        <w:rPr>
          <w:rFonts w:ascii="Times New Roman" w:hAnsi="Times New Roman" w:cs="Times New Roman"/>
          <w:iCs/>
        </w:rPr>
        <w:t>newer</w:t>
      </w:r>
      <w:proofErr w:type="gramEnd"/>
      <w:r>
        <w:rPr>
          <w:rFonts w:ascii="Times New Roman" w:hAnsi="Times New Roman" w:cs="Times New Roman"/>
          <w:iCs/>
        </w:rPr>
        <w:t xml:space="preserve"> and I haven’t yet done as much work evaluating their performance or exploring the estimated effects.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07C0853" w14:textId="61624EAC" w:rsidR="00EA2985" w:rsidRDefault="00EA2985">
      <w:pPr>
        <w:rPr>
          <w:rFonts w:ascii="Times New Roman" w:hAnsi="Times New Roman" w:cs="Times New Roman"/>
          <w:b/>
          <w:bCs/>
          <w:sz w:val="24"/>
          <w:szCs w:val="24"/>
        </w:rPr>
      </w:pPr>
      <w:r>
        <w:rPr>
          <w:rFonts w:ascii="Times New Roman" w:hAnsi="Times New Roman" w:cs="Times New Roman"/>
          <w:b/>
          <w:bCs/>
          <w:sz w:val="24"/>
          <w:szCs w:val="24"/>
        </w:rPr>
        <w:br w:type="page"/>
      </w:r>
    </w:p>
    <w:p w14:paraId="70D1925F" w14:textId="77777777" w:rsidR="00EA2985" w:rsidRDefault="00EA2985" w:rsidP="00EA2985">
      <w:pPr>
        <w:rPr>
          <w:rFonts w:ascii="Times New Roman" w:hAnsi="Times New Roman" w:cs="Times New Roman"/>
        </w:rPr>
      </w:pPr>
    </w:p>
    <w:p w14:paraId="32E93FAC" w14:textId="77777777" w:rsidR="00EA2985" w:rsidRDefault="00EA2985" w:rsidP="00EA2985">
      <w:pPr>
        <w:rPr>
          <w:rFonts w:ascii="Times New Roman" w:hAnsi="Times New Roman" w:cs="Times New Roman"/>
          <w:b/>
          <w:bCs/>
        </w:rPr>
      </w:pPr>
    </w:p>
    <w:p w14:paraId="393C7862"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5FE32BB4" w14:textId="77777777" w:rsidR="00EA2985" w:rsidRPr="0071447B" w:rsidRDefault="00EA2985" w:rsidP="00EA2985">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9264" behindDoc="0" locked="0" layoutInCell="1" allowOverlap="1" wp14:anchorId="08580539" wp14:editId="33CD0C90">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29108C02" w14:textId="77777777" w:rsidR="00EA2985" w:rsidRPr="0071447B" w:rsidRDefault="00EA2985" w:rsidP="00EA2985">
      <w:pPr>
        <w:rPr>
          <w:rFonts w:ascii="Times New Roman" w:hAnsi="Times New Roman" w:cs="Times New Roman"/>
          <w:b/>
          <w:bCs/>
        </w:rPr>
      </w:pPr>
    </w:p>
    <w:p w14:paraId="7AD7E69D" w14:textId="77777777" w:rsidR="00EA2985" w:rsidRPr="00065763" w:rsidRDefault="00EA2985" w:rsidP="00EA2985">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Pr>
          <w:rFonts w:ascii="Times New Roman" w:hAnsi="Times New Roman" w:cs="Times New Roman"/>
          <w:i/>
          <w:iCs/>
        </w:rPr>
        <w:t>structural change,</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47B71696" w14:textId="77777777" w:rsidR="00EA2985" w:rsidRDefault="00EA2985" w:rsidP="00EA2985">
      <w:pPr>
        <w:rPr>
          <w:rFonts w:ascii="Times New Roman" w:hAnsi="Times New Roman" w:cs="Times New Roman"/>
        </w:rPr>
      </w:pPr>
      <w:r>
        <w:rPr>
          <w:rFonts w:ascii="Times New Roman" w:hAnsi="Times New Roman" w:cs="Times New Roman"/>
        </w:rPr>
        <w:br w:type="page"/>
      </w:r>
    </w:p>
    <w:p w14:paraId="55EA5494" w14:textId="77777777" w:rsidR="00EA2985" w:rsidRPr="00065763" w:rsidRDefault="00EA2985" w:rsidP="00EA2985">
      <w:pPr>
        <w:rPr>
          <w:rFonts w:ascii="Times New Roman" w:hAnsi="Times New Roman" w:cs="Times New Roman"/>
        </w:rPr>
      </w:pPr>
    </w:p>
    <w:p w14:paraId="19BB94AC" w14:textId="77777777" w:rsidR="00EA2985" w:rsidRDefault="00EA2985" w:rsidP="00EA2985">
      <w:pPr>
        <w:rPr>
          <w:rFonts w:ascii="Times New Roman" w:hAnsi="Times New Roman" w:cs="Times New Roman"/>
          <w:b/>
          <w:bCs/>
        </w:rPr>
      </w:pPr>
      <w:r>
        <w:rPr>
          <w:rFonts w:ascii="Times New Roman" w:hAnsi="Times New Roman" w:cs="Times New Roman"/>
          <w:b/>
          <w:bCs/>
          <w:noProof/>
        </w:rPr>
        <w:drawing>
          <wp:inline distT="0" distB="0" distL="0" distR="0" wp14:anchorId="5C67B445" wp14:editId="117BB19B">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4C435B55" w14:textId="77777777" w:rsidR="00EA2985" w:rsidRDefault="00EA2985" w:rsidP="00EA2985">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Colors correspond with the categories in Figure 1. </w:t>
      </w:r>
    </w:p>
    <w:p w14:paraId="4F13A558" w14:textId="77777777" w:rsidR="00EA2985" w:rsidRDefault="00EA2985" w:rsidP="00EA2985">
      <w:pPr>
        <w:rPr>
          <w:rFonts w:ascii="Times New Roman" w:hAnsi="Times New Roman" w:cs="Times New Roman"/>
        </w:rPr>
      </w:pPr>
      <w:r>
        <w:rPr>
          <w:rFonts w:ascii="Times New Roman" w:hAnsi="Times New Roman" w:cs="Times New Roman"/>
        </w:rPr>
        <w:br w:type="page"/>
      </w:r>
    </w:p>
    <w:p w14:paraId="3FBAF62A" w14:textId="77777777" w:rsidR="00EA2985" w:rsidRPr="00065763" w:rsidRDefault="00EA2985" w:rsidP="00EA2985">
      <w:pPr>
        <w:spacing w:before="240"/>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1312" behindDoc="0" locked="0" layoutInCell="1" allowOverlap="1" wp14:anchorId="5159486C" wp14:editId="693C2B27">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028270E5" w14:textId="77777777" w:rsidR="00EA2985" w:rsidRDefault="00EA2985" w:rsidP="00EA2985">
      <w:pPr>
        <w:rPr>
          <w:rFonts w:ascii="Times New Roman" w:hAnsi="Times New Roman" w:cs="Times New Roman"/>
          <w:b/>
          <w:bCs/>
        </w:rPr>
      </w:pPr>
    </w:p>
    <w:p w14:paraId="6131A72E" w14:textId="77777777" w:rsidR="00EA2985" w:rsidRDefault="00EA2985" w:rsidP="00EA2985">
      <w:pPr>
        <w:rPr>
          <w:rFonts w:ascii="Times New Roman" w:hAnsi="Times New Roman" w:cs="Times New Roman"/>
          <w:b/>
          <w:bCs/>
        </w:rPr>
      </w:pPr>
      <w:r>
        <w:rPr>
          <w:rFonts w:ascii="Times New Roman" w:hAnsi="Times New Roman" w:cs="Times New Roman"/>
          <w:b/>
          <w:bCs/>
        </w:rPr>
        <w:br w:type="page"/>
      </w:r>
    </w:p>
    <w:p w14:paraId="48E76D13" w14:textId="77777777" w:rsidR="00EA2985" w:rsidRDefault="00EA2985" w:rsidP="00EA2985">
      <w:pPr>
        <w:rPr>
          <w:rFonts w:ascii="Times New Roman" w:hAnsi="Times New Roman" w:cs="Times New Roman"/>
          <w:b/>
          <w:bCs/>
        </w:rPr>
      </w:pPr>
    </w:p>
    <w:p w14:paraId="715048D1" w14:textId="3A2B888A" w:rsidR="00EA2985" w:rsidRPr="00361C79" w:rsidRDefault="00A96A09" w:rsidP="00EA2985">
      <w:pPr>
        <w:rPr>
          <w:rFonts w:ascii="Times New Roman" w:hAnsi="Times New Roman" w:cs="Times New Roman"/>
        </w:rPr>
      </w:pPr>
      <w:r>
        <w:rPr>
          <w:rFonts w:ascii="Times New Roman" w:hAnsi="Times New Roman" w:cs="Times New Roman"/>
          <w:b/>
          <w:bCs/>
          <w:noProof/>
        </w:rPr>
        <w:drawing>
          <wp:anchor distT="0" distB="0" distL="114300" distR="114300" simplePos="0" relativeHeight="251662336" behindDoc="0" locked="0" layoutInCell="1" allowOverlap="1" wp14:anchorId="4F2A79EA" wp14:editId="7581673B">
            <wp:simplePos x="0" y="0"/>
            <wp:positionH relativeFrom="margin">
              <wp:align>left</wp:align>
            </wp:positionH>
            <wp:positionV relativeFrom="paragraph">
              <wp:posOffset>635</wp:posOffset>
            </wp:positionV>
            <wp:extent cx="3590925" cy="5918200"/>
            <wp:effectExtent l="0" t="0" r="952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0925" cy="5918200"/>
                    </a:xfrm>
                    <a:prstGeom prst="rect">
                      <a:avLst/>
                    </a:prstGeom>
                    <a:noFill/>
                  </pic:spPr>
                </pic:pic>
              </a:graphicData>
            </a:graphic>
            <wp14:sizeRelH relativeFrom="margin">
              <wp14:pctWidth>0</wp14:pctWidth>
            </wp14:sizeRelH>
            <wp14:sizeRelV relativeFrom="margin">
              <wp14:pctHeight>0</wp14:pctHeight>
            </wp14:sizeRelV>
          </wp:anchor>
        </w:drawing>
      </w:r>
      <w:r w:rsidR="00EA2985">
        <w:rPr>
          <w:rFonts w:ascii="Times New Roman" w:hAnsi="Times New Roman" w:cs="Times New Roman"/>
          <w:b/>
          <w:bCs/>
        </w:rPr>
        <w:t>Figure 3.</w:t>
      </w:r>
      <w:r w:rsidR="00EA2985">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30066EBE" w14:textId="77777777" w:rsidR="00EA2985" w:rsidRDefault="00EA2985" w:rsidP="00EA2985">
      <w:pPr>
        <w:rPr>
          <w:rFonts w:ascii="Times New Roman" w:hAnsi="Times New Roman" w:cs="Times New Roman"/>
          <w:b/>
          <w:bCs/>
        </w:rPr>
      </w:pPr>
    </w:p>
    <w:p w14:paraId="01D32966" w14:textId="77777777" w:rsidR="00EA2985" w:rsidRDefault="00EA2985" w:rsidP="00EA2985">
      <w:pPr>
        <w:rPr>
          <w:rFonts w:ascii="Times New Roman" w:hAnsi="Times New Roman" w:cs="Times New Roman"/>
          <w:b/>
          <w:bCs/>
        </w:rPr>
      </w:pPr>
    </w:p>
    <w:p w14:paraId="1CE7CE47" w14:textId="77777777" w:rsidR="00EA2985" w:rsidRDefault="00EA2985" w:rsidP="00EA2985">
      <w:pPr>
        <w:rPr>
          <w:rFonts w:ascii="Times New Roman" w:hAnsi="Times New Roman" w:cs="Times New Roman"/>
          <w:b/>
          <w:bCs/>
        </w:rPr>
      </w:pPr>
    </w:p>
    <w:p w14:paraId="03E13152" w14:textId="77777777" w:rsidR="00EA2985" w:rsidRDefault="00EA2985" w:rsidP="00EA2985">
      <w:pPr>
        <w:rPr>
          <w:rFonts w:ascii="Times New Roman" w:hAnsi="Times New Roman" w:cs="Times New Roman"/>
          <w:b/>
          <w:bCs/>
        </w:rPr>
      </w:pPr>
    </w:p>
    <w:p w14:paraId="712DD1C1" w14:textId="77777777" w:rsidR="00EA2985" w:rsidRDefault="00EA2985" w:rsidP="00EA2985">
      <w:pPr>
        <w:rPr>
          <w:rFonts w:ascii="Times New Roman" w:hAnsi="Times New Roman" w:cs="Times New Roman"/>
          <w:b/>
          <w:bCs/>
        </w:rPr>
      </w:pPr>
    </w:p>
    <w:p w14:paraId="05D4D772" w14:textId="77777777" w:rsidR="00EA2985" w:rsidRDefault="00EA2985" w:rsidP="00EA2985">
      <w:pPr>
        <w:rPr>
          <w:rFonts w:ascii="Times New Roman" w:hAnsi="Times New Roman" w:cs="Times New Roman"/>
          <w:b/>
          <w:bCs/>
        </w:rPr>
      </w:pPr>
    </w:p>
    <w:p w14:paraId="5159ED7B" w14:textId="77777777" w:rsidR="00EA2985" w:rsidRDefault="00EA2985" w:rsidP="00EA2985">
      <w:pPr>
        <w:rPr>
          <w:rFonts w:ascii="Times New Roman" w:hAnsi="Times New Roman" w:cs="Times New Roman"/>
          <w:b/>
          <w:bCs/>
        </w:rPr>
      </w:pPr>
    </w:p>
    <w:p w14:paraId="01F862F3" w14:textId="77777777" w:rsidR="00EA2985" w:rsidRDefault="00EA2985" w:rsidP="00EA2985">
      <w:pPr>
        <w:rPr>
          <w:rFonts w:ascii="Times New Roman" w:hAnsi="Times New Roman" w:cs="Times New Roman"/>
          <w:b/>
          <w:bCs/>
        </w:rPr>
      </w:pPr>
    </w:p>
    <w:p w14:paraId="30F8C0E5" w14:textId="77777777" w:rsidR="00EA2985" w:rsidRDefault="00EA2985" w:rsidP="00EA2985">
      <w:pPr>
        <w:rPr>
          <w:rFonts w:ascii="Times New Roman" w:hAnsi="Times New Roman" w:cs="Times New Roman"/>
          <w:b/>
          <w:bCs/>
        </w:rPr>
      </w:pPr>
    </w:p>
    <w:p w14:paraId="520CE902" w14:textId="77777777" w:rsidR="00EA2985" w:rsidRDefault="00EA2985" w:rsidP="00EA2985">
      <w:pPr>
        <w:rPr>
          <w:rFonts w:ascii="Times New Roman" w:hAnsi="Times New Roman" w:cs="Times New Roman"/>
          <w:b/>
          <w:bCs/>
        </w:rPr>
      </w:pPr>
    </w:p>
    <w:p w14:paraId="5453DE12" w14:textId="77777777" w:rsidR="00EA2985" w:rsidRDefault="00EA2985" w:rsidP="00EA2985">
      <w:pPr>
        <w:rPr>
          <w:rFonts w:ascii="Times New Roman" w:hAnsi="Times New Roman" w:cs="Times New Roman"/>
          <w:b/>
          <w:bCs/>
        </w:rPr>
      </w:pPr>
    </w:p>
    <w:p w14:paraId="307B4B68" w14:textId="77777777" w:rsidR="00EA2985" w:rsidRDefault="00EA2985" w:rsidP="00EA2985">
      <w:pPr>
        <w:rPr>
          <w:rFonts w:ascii="Times New Roman" w:hAnsi="Times New Roman" w:cs="Times New Roman"/>
          <w:b/>
          <w:bCs/>
        </w:rPr>
      </w:pPr>
    </w:p>
    <w:p w14:paraId="050899B8" w14:textId="77777777" w:rsidR="00EA2985" w:rsidRDefault="00EA2985" w:rsidP="00EA2985">
      <w:pPr>
        <w:rPr>
          <w:rFonts w:ascii="Times New Roman" w:hAnsi="Times New Roman" w:cs="Times New Roman"/>
          <w:b/>
          <w:bCs/>
        </w:rPr>
      </w:pPr>
    </w:p>
    <w:p w14:paraId="35FDDF84" w14:textId="77777777" w:rsidR="00EA2985" w:rsidRDefault="00EA2985" w:rsidP="00EA2985">
      <w:pPr>
        <w:rPr>
          <w:rFonts w:ascii="Times New Roman" w:hAnsi="Times New Roman" w:cs="Times New Roman"/>
          <w:b/>
          <w:bCs/>
        </w:rPr>
      </w:pPr>
    </w:p>
    <w:p w14:paraId="6774A337" w14:textId="77777777" w:rsidR="00EA2985" w:rsidRDefault="00EA2985" w:rsidP="00EA2985">
      <w:pPr>
        <w:rPr>
          <w:rFonts w:ascii="Times New Roman" w:hAnsi="Times New Roman" w:cs="Times New Roman"/>
          <w:b/>
          <w:bCs/>
        </w:rPr>
      </w:pPr>
    </w:p>
    <w:p w14:paraId="00A67423" w14:textId="77777777" w:rsidR="00EA2985" w:rsidRDefault="00EA2985" w:rsidP="00EA2985">
      <w:pPr>
        <w:rPr>
          <w:rFonts w:ascii="Times New Roman" w:hAnsi="Times New Roman" w:cs="Times New Roman"/>
          <w:b/>
          <w:bCs/>
        </w:rPr>
      </w:pPr>
    </w:p>
    <w:p w14:paraId="0CC21F8F" w14:textId="77777777" w:rsidR="00EA2985" w:rsidRDefault="00EA2985" w:rsidP="00EA2985">
      <w:pPr>
        <w:rPr>
          <w:rFonts w:ascii="Times New Roman" w:hAnsi="Times New Roman" w:cs="Times New Roman"/>
          <w:b/>
          <w:bCs/>
        </w:rPr>
      </w:pPr>
    </w:p>
    <w:p w14:paraId="0E417750" w14:textId="77777777" w:rsidR="00EA2985" w:rsidRDefault="00EA2985" w:rsidP="00EA2985">
      <w:pPr>
        <w:rPr>
          <w:rFonts w:ascii="Times New Roman" w:hAnsi="Times New Roman" w:cs="Times New Roman"/>
          <w:b/>
          <w:bCs/>
        </w:rPr>
      </w:pPr>
    </w:p>
    <w:p w14:paraId="008AE62F" w14:textId="77777777" w:rsidR="00EA2985" w:rsidRDefault="00EA2985" w:rsidP="00EA2985">
      <w:pPr>
        <w:rPr>
          <w:rFonts w:ascii="Times New Roman" w:hAnsi="Times New Roman" w:cs="Times New Roman"/>
          <w:b/>
          <w:bCs/>
        </w:rPr>
      </w:pPr>
    </w:p>
    <w:p w14:paraId="6BAD580D" w14:textId="77777777" w:rsidR="00EA2985" w:rsidRDefault="00EA2985" w:rsidP="00EA2985">
      <w:pPr>
        <w:rPr>
          <w:rFonts w:ascii="Times New Roman" w:hAnsi="Times New Roman" w:cs="Times New Roman"/>
          <w:b/>
          <w:bCs/>
        </w:rPr>
      </w:pPr>
    </w:p>
    <w:p w14:paraId="7417CB0B" w14:textId="77777777" w:rsidR="00EA2985" w:rsidRDefault="00EA2985" w:rsidP="00EA2985">
      <w:pPr>
        <w:rPr>
          <w:rFonts w:ascii="Times New Roman" w:hAnsi="Times New Roman" w:cs="Times New Roman"/>
          <w:b/>
          <w:bCs/>
        </w:rPr>
      </w:pPr>
    </w:p>
    <w:p w14:paraId="4FD54A60" w14:textId="77777777" w:rsidR="00EA2985" w:rsidRDefault="00EA2985" w:rsidP="00EA2985">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CCD48F4" wp14:editId="2A748E0F">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44931593" w14:textId="77777777" w:rsidR="00EA2985" w:rsidRPr="00361C79" w:rsidRDefault="00EA2985" w:rsidP="00EA2985">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 for 2041-2060 under the SSP3-7.0 climate scenario. Predictions assume current landscape levels of disturbance and observed tree sizes.</w:t>
      </w:r>
    </w:p>
    <w:p w14:paraId="59AF73EE" w14:textId="77777777" w:rsidR="00EA2985" w:rsidRDefault="00EA2985" w:rsidP="00EA2985">
      <w:pPr>
        <w:rPr>
          <w:rFonts w:ascii="Times New Roman" w:hAnsi="Times New Roman" w:cs="Times New Roman"/>
          <w:b/>
          <w:bCs/>
        </w:rPr>
      </w:pPr>
    </w:p>
    <w:p w14:paraId="3AFF4EE6" w14:textId="77777777" w:rsidR="00EA2985" w:rsidRDefault="00EA2985" w:rsidP="00EA2985">
      <w:pPr>
        <w:rPr>
          <w:rFonts w:ascii="Times New Roman" w:hAnsi="Times New Roman" w:cs="Times New Roman"/>
          <w:b/>
          <w:bCs/>
        </w:rPr>
      </w:pPr>
    </w:p>
    <w:p w14:paraId="6F82946F" w14:textId="77777777" w:rsidR="00EA2985" w:rsidRDefault="00EA2985" w:rsidP="00EA2985">
      <w:pPr>
        <w:rPr>
          <w:rFonts w:ascii="Times New Roman" w:hAnsi="Times New Roman" w:cs="Times New Roman"/>
          <w:b/>
          <w:bCs/>
        </w:rPr>
      </w:pPr>
    </w:p>
    <w:p w14:paraId="7F856014" w14:textId="77777777" w:rsidR="00EA2985" w:rsidRDefault="00EA2985" w:rsidP="00EA2985">
      <w:pPr>
        <w:rPr>
          <w:rFonts w:ascii="Times New Roman" w:hAnsi="Times New Roman" w:cs="Times New Roman"/>
          <w:b/>
          <w:bCs/>
        </w:rPr>
      </w:pPr>
    </w:p>
    <w:p w14:paraId="3AC3E5EA" w14:textId="77777777" w:rsidR="00EA2985" w:rsidRDefault="00EA2985" w:rsidP="00EA2985">
      <w:pPr>
        <w:rPr>
          <w:rFonts w:ascii="Times New Roman" w:hAnsi="Times New Roman" w:cs="Times New Roman"/>
          <w:b/>
          <w:bCs/>
        </w:rPr>
      </w:pPr>
    </w:p>
    <w:p w14:paraId="1370FE1E" w14:textId="77777777" w:rsidR="00E25466" w:rsidRPr="00EA2985" w:rsidRDefault="00E25466" w:rsidP="00E25466">
      <w:pPr>
        <w:ind w:left="720" w:hanging="720"/>
        <w:rPr>
          <w:rFonts w:ascii="Times New Roman" w:hAnsi="Times New Roman" w:cs="Times New Roman"/>
          <w:b/>
          <w:bCs/>
          <w:sz w:val="24"/>
          <w:szCs w:val="24"/>
        </w:rPr>
      </w:pPr>
    </w:p>
    <w:sectPr w:rsidR="00E25466" w:rsidRPr="00EA29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466"/>
    <w:rsid w:val="00052599"/>
    <w:rsid w:val="00096485"/>
    <w:rsid w:val="00145D25"/>
    <w:rsid w:val="001C5867"/>
    <w:rsid w:val="002600A2"/>
    <w:rsid w:val="003549F3"/>
    <w:rsid w:val="003A5D1E"/>
    <w:rsid w:val="004163B8"/>
    <w:rsid w:val="00442F38"/>
    <w:rsid w:val="004A2D9B"/>
    <w:rsid w:val="004A43FE"/>
    <w:rsid w:val="004E291C"/>
    <w:rsid w:val="00521050"/>
    <w:rsid w:val="0055003E"/>
    <w:rsid w:val="005A713D"/>
    <w:rsid w:val="006364CD"/>
    <w:rsid w:val="009062CC"/>
    <w:rsid w:val="0092425C"/>
    <w:rsid w:val="00954B7B"/>
    <w:rsid w:val="009F6CF1"/>
    <w:rsid w:val="00A05DF6"/>
    <w:rsid w:val="00A308A3"/>
    <w:rsid w:val="00A358E4"/>
    <w:rsid w:val="00A96A09"/>
    <w:rsid w:val="00AD3E3D"/>
    <w:rsid w:val="00B310F9"/>
    <w:rsid w:val="00B41B30"/>
    <w:rsid w:val="00B84865"/>
    <w:rsid w:val="00C665AA"/>
    <w:rsid w:val="00D57DDE"/>
    <w:rsid w:val="00DA5C76"/>
    <w:rsid w:val="00E22006"/>
    <w:rsid w:val="00E22AE5"/>
    <w:rsid w:val="00E25466"/>
    <w:rsid w:val="00EA2985"/>
    <w:rsid w:val="00F96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1C94F"/>
  <w15:chartTrackingRefBased/>
  <w15:docId w15:val="{3668EA4F-5AB4-40B9-9E7D-7A71365EB8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96D2A"/>
    <w:rPr>
      <w:sz w:val="16"/>
      <w:szCs w:val="16"/>
    </w:rPr>
  </w:style>
  <w:style w:type="paragraph" w:styleId="CommentText">
    <w:name w:val="annotation text"/>
    <w:basedOn w:val="Normal"/>
    <w:link w:val="CommentTextChar"/>
    <w:uiPriority w:val="99"/>
    <w:semiHidden/>
    <w:unhideWhenUsed/>
    <w:rsid w:val="00F96D2A"/>
    <w:pPr>
      <w:spacing w:line="240" w:lineRule="auto"/>
    </w:pPr>
    <w:rPr>
      <w:sz w:val="20"/>
      <w:szCs w:val="20"/>
    </w:rPr>
  </w:style>
  <w:style w:type="character" w:customStyle="1" w:styleId="CommentTextChar">
    <w:name w:val="Comment Text Char"/>
    <w:basedOn w:val="DefaultParagraphFont"/>
    <w:link w:val="CommentText"/>
    <w:uiPriority w:val="99"/>
    <w:semiHidden/>
    <w:rsid w:val="00F96D2A"/>
    <w:rPr>
      <w:sz w:val="20"/>
      <w:szCs w:val="20"/>
    </w:rPr>
  </w:style>
  <w:style w:type="paragraph" w:styleId="CommentSubject">
    <w:name w:val="annotation subject"/>
    <w:basedOn w:val="CommentText"/>
    <w:next w:val="CommentText"/>
    <w:link w:val="CommentSubjectChar"/>
    <w:uiPriority w:val="99"/>
    <w:semiHidden/>
    <w:unhideWhenUsed/>
    <w:rsid w:val="00F96D2A"/>
    <w:rPr>
      <w:b/>
      <w:bCs/>
    </w:rPr>
  </w:style>
  <w:style w:type="character" w:customStyle="1" w:styleId="CommentSubjectChar">
    <w:name w:val="Comment Subject Char"/>
    <w:basedOn w:val="CommentTextChar"/>
    <w:link w:val="CommentSubject"/>
    <w:uiPriority w:val="99"/>
    <w:semiHidden/>
    <w:rsid w:val="00F96D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5892</TotalTime>
  <Pages>13</Pages>
  <Words>3316</Words>
  <Characters>18907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CORVALLIS, OR</dc:creator>
  <cp:keywords/>
  <dc:description/>
  <cp:lastModifiedBy>Perret, Daniel - FS, OR</cp:lastModifiedBy>
  <cp:revision>4</cp:revision>
  <dcterms:created xsi:type="dcterms:W3CDTF">2024-03-19T22:10:00Z</dcterms:created>
  <dcterms:modified xsi:type="dcterms:W3CDTF">2024-03-24T22:51:00Z</dcterms:modified>
</cp:coreProperties>
</file>