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B50CE2" w14:textId="77777777" w:rsidR="00EA2985" w:rsidRPr="00EA2985" w:rsidRDefault="00EA2985">
      <w:pPr>
        <w:rPr>
          <w:rFonts w:ascii="Times New Roman" w:hAnsi="Times New Roman" w:cs="Times New Roman"/>
          <w:b/>
          <w:bCs/>
          <w:sz w:val="24"/>
          <w:szCs w:val="24"/>
        </w:rPr>
      </w:pPr>
      <w:r w:rsidRPr="00EA2985">
        <w:rPr>
          <w:rFonts w:ascii="Times New Roman" w:hAnsi="Times New Roman" w:cs="Times New Roman"/>
          <w:b/>
          <w:bCs/>
          <w:sz w:val="24"/>
          <w:szCs w:val="24"/>
        </w:rPr>
        <w:t>Introduction</w:t>
      </w:r>
    </w:p>
    <w:p w14:paraId="1E139D3D" w14:textId="579BB8B6" w:rsidR="00A96A09" w:rsidRDefault="00A96A09" w:rsidP="00EA2985">
      <w:pPr>
        <w:ind w:firstLine="720"/>
        <w:rPr>
          <w:rFonts w:ascii="Times New Roman" w:hAnsi="Times New Roman" w:cs="Times New Roman"/>
          <w:sz w:val="24"/>
          <w:szCs w:val="24"/>
        </w:rPr>
      </w:pPr>
      <w:r>
        <w:rPr>
          <w:rFonts w:ascii="Times New Roman" w:hAnsi="Times New Roman" w:cs="Times New Roman"/>
          <w:sz w:val="24"/>
          <w:szCs w:val="24"/>
        </w:rPr>
        <w:t>Global change is reshuffling species assemblies globally, and predicting what that looks like is very difficult. Predicting community assembly is a longstanding problem in ecology, exacerbated by rapidly shifting environmental/disturbance conditions.</w:t>
      </w:r>
    </w:p>
    <w:p w14:paraId="342DC7D4" w14:textId="7C31C85B" w:rsidR="00A96A09" w:rsidRDefault="00A96A09" w:rsidP="00EA2985">
      <w:pPr>
        <w:ind w:firstLine="720"/>
        <w:rPr>
          <w:rFonts w:ascii="Times New Roman" w:hAnsi="Times New Roman" w:cs="Times New Roman"/>
          <w:sz w:val="24"/>
          <w:szCs w:val="24"/>
        </w:rPr>
      </w:pPr>
      <w:r>
        <w:rPr>
          <w:rFonts w:ascii="Times New Roman" w:hAnsi="Times New Roman" w:cs="Times New Roman"/>
          <w:sz w:val="24"/>
          <w:szCs w:val="24"/>
        </w:rPr>
        <w:t>Coexistence theory may help in this respect; explicitly considering how environmental requirements intersect with competition and demography</w:t>
      </w:r>
    </w:p>
    <w:p w14:paraId="6543A92F" w14:textId="5995E6E0" w:rsidR="00A96A09" w:rsidRDefault="00A96A09" w:rsidP="00EA2985">
      <w:pPr>
        <w:ind w:firstLine="720"/>
        <w:rPr>
          <w:rFonts w:ascii="Times New Roman" w:hAnsi="Times New Roman" w:cs="Times New Roman"/>
          <w:sz w:val="24"/>
          <w:szCs w:val="24"/>
        </w:rPr>
      </w:pPr>
      <w:r>
        <w:rPr>
          <w:rFonts w:ascii="Times New Roman" w:hAnsi="Times New Roman" w:cs="Times New Roman"/>
          <w:sz w:val="24"/>
          <w:szCs w:val="24"/>
        </w:rPr>
        <w:t>For example, subalpine fir-spruce codominance in mountains of WNA maintained by very specific balance of demographic rates; those are a product of species-specific responses to environment and disturbance regimes.</w:t>
      </w:r>
      <w:r w:rsidRPr="00A96A09">
        <w:rPr>
          <w:rFonts w:ascii="Times New Roman" w:hAnsi="Times New Roman" w:cs="Times New Roman"/>
          <w:sz w:val="24"/>
          <w:szCs w:val="24"/>
        </w:rPr>
        <w:t xml:space="preserve"> </w:t>
      </w:r>
      <w:r w:rsidRPr="00EA2985">
        <w:rPr>
          <w:rFonts w:ascii="Times New Roman" w:hAnsi="Times New Roman" w:cs="Times New Roman"/>
          <w:sz w:val="24"/>
          <w:szCs w:val="24"/>
        </w:rPr>
        <w:t>Prior work suggests that coexistence of subalpine fir and Engelmann spruce is maintained by interspecific differences in key life history traits and associated vital rates. Specifically, the faster growth and more prolific regeneration of subalpine fir is balanced by higher survival and longevity of Engelmann spruce, leading to overstory codominance despite fir understory dominance (Andrus et al. 2018). Periodic disturbance may also play an important role in providing canopy gaps in which spruce seedlings can outcompete the more shade-tolerant fir seedlings (Shea 1985).</w:t>
      </w:r>
    </w:p>
    <w:p w14:paraId="398E4541" w14:textId="77777777" w:rsidR="00145D25" w:rsidRDefault="00A96A09" w:rsidP="00A96A09">
      <w:pPr>
        <w:ind w:firstLine="720"/>
        <w:rPr>
          <w:rFonts w:ascii="Times New Roman" w:hAnsi="Times New Roman" w:cs="Times New Roman"/>
          <w:sz w:val="24"/>
          <w:szCs w:val="24"/>
        </w:rPr>
      </w:pPr>
      <w:r>
        <w:rPr>
          <w:rFonts w:ascii="Times New Roman" w:hAnsi="Times New Roman" w:cs="Times New Roman"/>
          <w:sz w:val="24"/>
          <w:szCs w:val="24"/>
        </w:rPr>
        <w:t xml:space="preserve">Evidence from past glacial-interglacial cycles suggests that no-analog communities formed when climates were different/differently distributed than they are now; we also know that this spruce-fir association looked very different. </w:t>
      </w:r>
      <w:r w:rsidR="00145D25">
        <w:rPr>
          <w:rFonts w:ascii="Times New Roman" w:hAnsi="Times New Roman" w:cs="Times New Roman"/>
          <w:sz w:val="24"/>
          <w:szCs w:val="24"/>
        </w:rPr>
        <w:t>Highlight a couple examples.</w:t>
      </w:r>
      <w:r w:rsidR="00145D25" w:rsidRPr="00A96A09">
        <w:rPr>
          <w:rFonts w:ascii="Times New Roman" w:hAnsi="Times New Roman" w:cs="Times New Roman"/>
          <w:sz w:val="24"/>
          <w:szCs w:val="24"/>
        </w:rPr>
        <w:t xml:space="preserve"> </w:t>
      </w:r>
      <w:r w:rsidR="00145D25" w:rsidRPr="00EA2985">
        <w:rPr>
          <w:rFonts w:ascii="Times New Roman" w:hAnsi="Times New Roman" w:cs="Times New Roman"/>
          <w:sz w:val="24"/>
          <w:szCs w:val="24"/>
        </w:rPr>
        <w:t>We know that subalpine fir and Engelmann spruce were not always as closely associated as they are today -- during Pleistocene glaciations, the bulk of Engelmann spruce refugia were in southern interior highlands (AZ mountains, NM plateau, CO plateau), whereas subalpine fir populations were more widely distributed across northern interior basins and coastal refugia (Roberts &amp; Hamann 2015).</w:t>
      </w:r>
    </w:p>
    <w:p w14:paraId="2C553A39" w14:textId="7D7708F2" w:rsidR="00A96A09" w:rsidRDefault="00A96A09" w:rsidP="00A96A09">
      <w:pPr>
        <w:ind w:firstLine="720"/>
        <w:rPr>
          <w:rFonts w:ascii="Times New Roman" w:hAnsi="Times New Roman" w:cs="Times New Roman"/>
          <w:sz w:val="24"/>
          <w:szCs w:val="24"/>
        </w:rPr>
      </w:pPr>
      <w:r>
        <w:rPr>
          <w:rFonts w:ascii="Times New Roman" w:hAnsi="Times New Roman" w:cs="Times New Roman"/>
          <w:sz w:val="24"/>
          <w:szCs w:val="24"/>
        </w:rPr>
        <w:t xml:space="preserve">Could current and future global change produce conditions under which current species associations are no longer viable? </w:t>
      </w:r>
      <w:r w:rsidR="00145D25" w:rsidRPr="00EA2985">
        <w:rPr>
          <w:rFonts w:ascii="Times New Roman" w:hAnsi="Times New Roman" w:cs="Times New Roman"/>
          <w:sz w:val="24"/>
          <w:szCs w:val="24"/>
        </w:rPr>
        <w:t>Changing climate and disturbance regimes may “break” these demographic pathways that maintain spruce-fir forest systems, insofar as species have different responses to climate, fire, and host-specific biological disturbance agents.</w:t>
      </w:r>
    </w:p>
    <w:p w14:paraId="4EE6F9A3" w14:textId="35A8C0FE" w:rsidR="00A96A09" w:rsidRDefault="00A96A09" w:rsidP="00A96A09">
      <w:pPr>
        <w:ind w:firstLine="720"/>
        <w:rPr>
          <w:rFonts w:ascii="Times New Roman" w:hAnsi="Times New Roman" w:cs="Times New Roman"/>
          <w:sz w:val="24"/>
          <w:szCs w:val="24"/>
        </w:rPr>
      </w:pPr>
      <w:r>
        <w:rPr>
          <w:rFonts w:ascii="Times New Roman" w:hAnsi="Times New Roman" w:cs="Times New Roman"/>
          <w:sz w:val="24"/>
          <w:szCs w:val="24"/>
        </w:rPr>
        <w:t xml:space="preserve">Evidence from prior ABLA paper suggesting that trajectories of subalpine forests depends on interspecific variation in climate </w:t>
      </w:r>
      <w:proofErr w:type="spellStart"/>
      <w:r>
        <w:rPr>
          <w:rFonts w:ascii="Times New Roman" w:hAnsi="Times New Roman" w:cs="Times New Roman"/>
          <w:sz w:val="24"/>
          <w:szCs w:val="24"/>
        </w:rPr>
        <w:t>resposnes</w:t>
      </w:r>
      <w:proofErr w:type="spellEnd"/>
      <w:r>
        <w:rPr>
          <w:rFonts w:ascii="Times New Roman" w:hAnsi="Times New Roman" w:cs="Times New Roman"/>
          <w:sz w:val="24"/>
          <w:szCs w:val="24"/>
        </w:rPr>
        <w:t xml:space="preserve"> responses.</w:t>
      </w:r>
      <w:r w:rsidRPr="00A96A09">
        <w:rPr>
          <w:rFonts w:ascii="Times New Roman" w:hAnsi="Times New Roman" w:cs="Times New Roman"/>
          <w:sz w:val="24"/>
          <w:szCs w:val="24"/>
        </w:rPr>
        <w:t xml:space="preserve"> </w:t>
      </w:r>
      <w:r w:rsidRPr="00EA2985">
        <w:rPr>
          <w:rFonts w:ascii="Times New Roman" w:hAnsi="Times New Roman" w:cs="Times New Roman"/>
          <w:sz w:val="24"/>
          <w:szCs w:val="24"/>
        </w:rPr>
        <w:t xml:space="preserve">Our subalpine fir status and trends paper suggested that the future trajectories of subalpine forest communities may depend on interspecific variation in responses to climate change, </w:t>
      </w:r>
      <w:proofErr w:type="spellStart"/>
      <w:r w:rsidRPr="00EA2985">
        <w:rPr>
          <w:rFonts w:ascii="Times New Roman" w:hAnsi="Times New Roman" w:cs="Times New Roman"/>
          <w:sz w:val="24"/>
          <w:szCs w:val="24"/>
        </w:rPr>
        <w:t>nondiscriminant</w:t>
      </w:r>
      <w:proofErr w:type="spellEnd"/>
      <w:r w:rsidRPr="00EA2985">
        <w:rPr>
          <w:rFonts w:ascii="Times New Roman" w:hAnsi="Times New Roman" w:cs="Times New Roman"/>
          <w:sz w:val="24"/>
          <w:szCs w:val="24"/>
        </w:rPr>
        <w:t xml:space="preserve"> forest disturbances (</w:t>
      </w:r>
      <w:proofErr w:type="spellStart"/>
      <w:r w:rsidRPr="00EA2985">
        <w:rPr>
          <w:rFonts w:ascii="Times New Roman" w:hAnsi="Times New Roman" w:cs="Times New Roman"/>
          <w:i/>
          <w:iCs/>
          <w:sz w:val="24"/>
          <w:szCs w:val="24"/>
        </w:rPr>
        <w:t>e.g.,</w:t>
      </w:r>
      <w:r w:rsidRPr="00EA2985">
        <w:rPr>
          <w:rFonts w:ascii="Times New Roman" w:hAnsi="Times New Roman" w:cs="Times New Roman"/>
          <w:sz w:val="24"/>
          <w:szCs w:val="24"/>
        </w:rPr>
        <w:t>fire</w:t>
      </w:r>
      <w:proofErr w:type="spellEnd"/>
      <w:r w:rsidRPr="00EA2985">
        <w:rPr>
          <w:rFonts w:ascii="Times New Roman" w:hAnsi="Times New Roman" w:cs="Times New Roman"/>
          <w:sz w:val="24"/>
          <w:szCs w:val="24"/>
        </w:rPr>
        <w:t>), and host-specific forest disturbances (</w:t>
      </w:r>
      <w:r w:rsidRPr="00EA2985">
        <w:rPr>
          <w:rFonts w:ascii="Times New Roman" w:hAnsi="Times New Roman" w:cs="Times New Roman"/>
          <w:i/>
          <w:iCs/>
          <w:sz w:val="24"/>
          <w:szCs w:val="24"/>
        </w:rPr>
        <w:t>e.g.,</w:t>
      </w:r>
      <w:r w:rsidRPr="00EA2985">
        <w:rPr>
          <w:rFonts w:ascii="Times New Roman" w:hAnsi="Times New Roman" w:cs="Times New Roman"/>
          <w:sz w:val="24"/>
          <w:szCs w:val="24"/>
        </w:rPr>
        <w:t xml:space="preserve"> biological disturbance agents, BDAs</w:t>
      </w:r>
      <w:r w:rsidRPr="00EA2985">
        <w:rPr>
          <w:rFonts w:ascii="Times New Roman" w:hAnsi="Times New Roman" w:cs="Times New Roman"/>
          <w:sz w:val="24"/>
          <w:szCs w:val="24"/>
        </w:rPr>
        <w:fldChar w:fldCharType="begin" w:fldLock="1"/>
      </w:r>
      <w:r w:rsidRPr="00EA2985">
        <w:rPr>
          <w:rFonts w:ascii="Times New Roman" w:hAnsi="Times New Roman" w:cs="Times New Roman"/>
          <w:sz w:val="24"/>
          <w:szCs w:val="24"/>
        </w:rPr>
        <w:instrText>ADDIN CSL_CITATION {"citationItems":[{"id":"ITEM-1","itemData":{"DOI":"10.1016/j.foreco.2023.121128","ISSN":"0378-1127","author":[{"dropping-particle":"","family":"Perret","given":"Daniel L","non-dropping-particle":"","parse-names":false,"suffix":""},{"dropping-particle":"","family":"Bell","given":"David M","non-dropping-particle":"","parse-names":false,"suffix":""},{"dropping-particle":"","family":"Gray","given":"Andrew N","non-dropping-particle":"","parse-names":false,"suffix":""},{"dropping-particle":"","family":"Shaw","given":"John D","non-dropping-particle":"","parse-names":false,"suffix":""},{"dropping-particle":"","family":"Zald","given":"Harold S J","non-dropping-particle":"","parse-names":false,"suffix":""}],"container-title":"Forest Ecology and Management","id":"ITEM-1","issue":"May","issued":{"date-parts":[["2023"]]},"page":"121128","publisher":"Elsevier B.V.","title":"Range-wide population assessments for subalpine fir indicate widespread disturbance-driven decline","type":"article-journal","volume":"542"},"uris":["http://www.mendeley.com/documents/?uuid=72c4009c-60b0-4307-8b1d-7b0e7a11d5d2"]}],"mendeley":{"formattedCitation":"(Perret et al., 2023)","manualFormatting":"; Perret et al., 2023)","plainTextFormattedCitation":"(Perret et al., 2023)"},"properties":{"noteIndex":0},"schema":"https://github.com/citation-style-language/schema/raw/master/csl-citation.json"}</w:instrText>
      </w:r>
      <w:r w:rsidRPr="00EA2985">
        <w:rPr>
          <w:rFonts w:ascii="Times New Roman" w:hAnsi="Times New Roman" w:cs="Times New Roman"/>
          <w:sz w:val="24"/>
          <w:szCs w:val="24"/>
        </w:rPr>
        <w:fldChar w:fldCharType="separate"/>
      </w:r>
      <w:r w:rsidRPr="00EA2985">
        <w:rPr>
          <w:rFonts w:ascii="Times New Roman" w:hAnsi="Times New Roman" w:cs="Times New Roman"/>
          <w:noProof/>
          <w:sz w:val="24"/>
          <w:szCs w:val="24"/>
        </w:rPr>
        <w:t>; Perret et al., 2023)</w:t>
      </w:r>
      <w:r w:rsidRPr="00EA2985">
        <w:rPr>
          <w:rFonts w:ascii="Times New Roman" w:hAnsi="Times New Roman" w:cs="Times New Roman"/>
          <w:sz w:val="24"/>
          <w:szCs w:val="24"/>
        </w:rPr>
        <w:fldChar w:fldCharType="end"/>
      </w:r>
      <w:r w:rsidRPr="00EA2985">
        <w:rPr>
          <w:rFonts w:ascii="Times New Roman" w:hAnsi="Times New Roman" w:cs="Times New Roman"/>
          <w:sz w:val="24"/>
          <w:szCs w:val="24"/>
        </w:rPr>
        <w:t xml:space="preserve">. This was supported in part by differences we found in the importance of major sources of mortality between regions where subalpine fir was in decline compared to other co-occurring species. </w:t>
      </w:r>
    </w:p>
    <w:p w14:paraId="1DA677F9" w14:textId="52E2CA90" w:rsidR="00A96A09" w:rsidRDefault="00A96A09" w:rsidP="00EA2985">
      <w:pPr>
        <w:ind w:firstLine="720"/>
        <w:rPr>
          <w:rFonts w:ascii="Times New Roman" w:hAnsi="Times New Roman" w:cs="Times New Roman"/>
          <w:sz w:val="24"/>
          <w:szCs w:val="24"/>
        </w:rPr>
      </w:pPr>
      <w:r>
        <w:rPr>
          <w:rFonts w:ascii="Times New Roman" w:hAnsi="Times New Roman" w:cs="Times New Roman"/>
          <w:sz w:val="24"/>
          <w:szCs w:val="24"/>
        </w:rPr>
        <w:t xml:space="preserve">Here we leverage FIA data to investigate whether demographic mechanisms of coexistence for subalpine fir and Engelmann spruce across the two species’ joint distribution in western NA are vulnerable to changing climates and disturbances. We do this by first estimating population trends between 2000-2009 and 2010-2019 for both species where they co-occur, and </w:t>
      </w:r>
      <w:r>
        <w:rPr>
          <w:rFonts w:ascii="Times New Roman" w:hAnsi="Times New Roman" w:cs="Times New Roman"/>
          <w:sz w:val="24"/>
          <w:szCs w:val="24"/>
        </w:rPr>
        <w:lastRenderedPageBreak/>
        <w:t xml:space="preserve">using a new conceptual framework to categorize these trajectories. We then build a series of hierarchical Bayesian demographic models that estimate the effect of climate types, climate anomalies, and disturbance on individual mortality, regeneration, and recruitment. We use these models to assess whether projected future change scenarios make future coexistence more/less likely. </w:t>
      </w:r>
    </w:p>
    <w:p w14:paraId="25C359A0" w14:textId="77777777" w:rsidR="00A96A09" w:rsidRDefault="00A96A09" w:rsidP="00EA2985">
      <w:pPr>
        <w:ind w:firstLine="720"/>
        <w:rPr>
          <w:rFonts w:ascii="Times New Roman" w:hAnsi="Times New Roman" w:cs="Times New Roman"/>
          <w:sz w:val="24"/>
          <w:szCs w:val="24"/>
        </w:rPr>
      </w:pPr>
    </w:p>
    <w:p w14:paraId="00B8B13F" w14:textId="15DDBE00" w:rsidR="00EA2985" w:rsidRDefault="00EA2985" w:rsidP="00A96A09">
      <w:pPr>
        <w:rPr>
          <w:rFonts w:ascii="Times New Roman" w:hAnsi="Times New Roman" w:cs="Times New Roman"/>
          <w:sz w:val="24"/>
          <w:szCs w:val="24"/>
        </w:rPr>
      </w:pPr>
      <w:r w:rsidRPr="00EA2985">
        <w:rPr>
          <w:rFonts w:ascii="Times New Roman" w:hAnsi="Times New Roman" w:cs="Times New Roman"/>
          <w:sz w:val="24"/>
          <w:szCs w:val="24"/>
        </w:rPr>
        <w:tab/>
      </w:r>
    </w:p>
    <w:p w14:paraId="66625E1E" w14:textId="77777777" w:rsidR="00A96A09" w:rsidRPr="00EA2985" w:rsidRDefault="00A96A09" w:rsidP="00EA2985">
      <w:pPr>
        <w:rPr>
          <w:rFonts w:ascii="Times New Roman" w:hAnsi="Times New Roman" w:cs="Times New Roman"/>
          <w:sz w:val="24"/>
          <w:szCs w:val="24"/>
        </w:rPr>
      </w:pPr>
    </w:p>
    <w:p w14:paraId="44D02CE8" w14:textId="1E8DEB1F" w:rsidR="00EA2985" w:rsidRPr="00EA2985" w:rsidRDefault="00EA2985">
      <w:pPr>
        <w:rPr>
          <w:rFonts w:ascii="Times New Roman" w:hAnsi="Times New Roman" w:cs="Times New Roman"/>
          <w:sz w:val="24"/>
          <w:szCs w:val="24"/>
        </w:rPr>
      </w:pPr>
      <w:r w:rsidRPr="00EA2985">
        <w:rPr>
          <w:rFonts w:ascii="Times New Roman" w:hAnsi="Times New Roman" w:cs="Times New Roman"/>
          <w:i/>
          <w:iCs/>
          <w:sz w:val="24"/>
          <w:szCs w:val="24"/>
        </w:rPr>
        <w:t xml:space="preserve">Conceptual framework </w:t>
      </w:r>
      <w:r w:rsidRPr="00EA2985">
        <w:rPr>
          <w:rFonts w:ascii="Times New Roman" w:hAnsi="Times New Roman" w:cs="Times New Roman"/>
          <w:sz w:val="24"/>
          <w:szCs w:val="24"/>
        </w:rPr>
        <w:t>(maybe a box?)</w:t>
      </w:r>
    </w:p>
    <w:p w14:paraId="74122298" w14:textId="77777777" w:rsidR="00EA2985" w:rsidRPr="00EA2985" w:rsidRDefault="00EA2985" w:rsidP="00EA2985">
      <w:pPr>
        <w:ind w:left="720"/>
        <w:rPr>
          <w:rFonts w:ascii="Times New Roman" w:hAnsi="Times New Roman" w:cs="Times New Roman"/>
          <w:sz w:val="24"/>
          <w:szCs w:val="24"/>
        </w:rPr>
      </w:pPr>
      <w:r w:rsidRPr="00EA2985">
        <w:rPr>
          <w:rFonts w:ascii="Times New Roman" w:hAnsi="Times New Roman" w:cs="Times New Roman"/>
          <w:sz w:val="24"/>
          <w:szCs w:val="24"/>
        </w:rPr>
        <w:tab/>
      </w:r>
      <w:r w:rsidRPr="00EA2985">
        <w:rPr>
          <w:rFonts w:ascii="Times New Roman" w:hAnsi="Times New Roman" w:cs="Times New Roman"/>
          <w:sz w:val="24"/>
          <w:szCs w:val="24"/>
        </w:rPr>
        <w:t xml:space="preserve">Describe conceptual framework for comparing population trajectories of multiple coexisting species based on basal area and stem density trends, e.g., persistence, structural change, compositional change, replacement – grounded in Seidl &amp; Turner paper. Perhaps here is where conceptual diagram figure is referenced. </w:t>
      </w:r>
    </w:p>
    <w:p w14:paraId="1F527E3A" w14:textId="552C5DCF" w:rsidR="00EA2985" w:rsidRPr="00EA2985" w:rsidRDefault="00EA2985">
      <w:pPr>
        <w:rPr>
          <w:rFonts w:ascii="Times New Roman" w:hAnsi="Times New Roman" w:cs="Times New Roman"/>
          <w:sz w:val="24"/>
          <w:szCs w:val="24"/>
        </w:rPr>
      </w:pPr>
      <w:r w:rsidRPr="00EA2985">
        <w:rPr>
          <w:rFonts w:ascii="Times New Roman" w:hAnsi="Times New Roman" w:cs="Times New Roman"/>
          <w:sz w:val="24"/>
          <w:szCs w:val="24"/>
        </w:rPr>
        <w:t xml:space="preserve">conceptual framework for comparing population trajectories of multiple coexisting species, based on basal area and stem density trends. I’ve created four bins of possibilities with respect to the likelihood of future coexistence: (1) </w:t>
      </w:r>
      <w:r w:rsidRPr="00EA2985">
        <w:rPr>
          <w:rFonts w:ascii="Times New Roman" w:hAnsi="Times New Roman" w:cs="Times New Roman"/>
          <w:i/>
          <w:iCs/>
          <w:sz w:val="24"/>
          <w:szCs w:val="24"/>
        </w:rPr>
        <w:t>persistence/resilience</w:t>
      </w:r>
      <w:r w:rsidRPr="00EA2985">
        <w:rPr>
          <w:rFonts w:ascii="Times New Roman" w:hAnsi="Times New Roman" w:cs="Times New Roman"/>
          <w:sz w:val="24"/>
          <w:szCs w:val="24"/>
        </w:rPr>
        <w:t xml:space="preserve"> – both species are either undergoing changes corresponding with normal stand development or are actively increasing in density; (2) </w:t>
      </w:r>
      <w:r w:rsidRPr="00EA2985">
        <w:rPr>
          <w:rFonts w:ascii="Times New Roman" w:hAnsi="Times New Roman" w:cs="Times New Roman"/>
          <w:i/>
          <w:iCs/>
          <w:sz w:val="24"/>
          <w:szCs w:val="24"/>
        </w:rPr>
        <w:t>structural change</w:t>
      </w:r>
      <w:r w:rsidRPr="00EA2985">
        <w:rPr>
          <w:rFonts w:ascii="Times New Roman" w:hAnsi="Times New Roman" w:cs="Times New Roman"/>
          <w:sz w:val="24"/>
          <w:szCs w:val="24"/>
        </w:rPr>
        <w:t xml:space="preserve"> – one or both species have experienced significant turnover of individuals, indicating that future trajectories may depend on post-disturbance recovery and survival of new recruits; (3) </w:t>
      </w:r>
      <w:r w:rsidRPr="00EA2985">
        <w:rPr>
          <w:rFonts w:ascii="Times New Roman" w:hAnsi="Times New Roman" w:cs="Times New Roman"/>
          <w:i/>
          <w:iCs/>
          <w:sz w:val="24"/>
          <w:szCs w:val="24"/>
        </w:rPr>
        <w:t xml:space="preserve">compositional change </w:t>
      </w:r>
      <w:r w:rsidRPr="00EA2985">
        <w:rPr>
          <w:rFonts w:ascii="Times New Roman" w:hAnsi="Times New Roman" w:cs="Times New Roman"/>
          <w:sz w:val="24"/>
          <w:szCs w:val="24"/>
        </w:rPr>
        <w:t>– one species is in decline while the other is either undergoing normal stand development or increasing in density, suggesting that one species will become dominant over the other; and (4)</w:t>
      </w:r>
      <w:r w:rsidRPr="00EA2985">
        <w:rPr>
          <w:rFonts w:ascii="Times New Roman" w:hAnsi="Times New Roman" w:cs="Times New Roman"/>
          <w:i/>
          <w:iCs/>
          <w:sz w:val="24"/>
          <w:szCs w:val="24"/>
        </w:rPr>
        <w:t xml:space="preserve"> replacement</w:t>
      </w:r>
      <w:r w:rsidRPr="00EA2985">
        <w:rPr>
          <w:rFonts w:ascii="Times New Roman" w:hAnsi="Times New Roman" w:cs="Times New Roman"/>
          <w:sz w:val="24"/>
          <w:szCs w:val="24"/>
        </w:rPr>
        <w:t xml:space="preserve"> – indicating that both species are in decline or experiencing significant turnover. </w:t>
      </w:r>
    </w:p>
    <w:p w14:paraId="706EB5FB" w14:textId="61D1B316" w:rsidR="00EA2985" w:rsidRPr="00EA2985" w:rsidRDefault="00EA2985">
      <w:pPr>
        <w:rPr>
          <w:rFonts w:ascii="Times New Roman" w:hAnsi="Times New Roman" w:cs="Times New Roman"/>
          <w:b/>
          <w:bCs/>
          <w:sz w:val="24"/>
          <w:szCs w:val="24"/>
        </w:rPr>
      </w:pPr>
      <w:r w:rsidRPr="00EA2985">
        <w:rPr>
          <w:rFonts w:ascii="Times New Roman" w:hAnsi="Times New Roman" w:cs="Times New Roman"/>
          <w:b/>
          <w:bCs/>
          <w:sz w:val="24"/>
          <w:szCs w:val="24"/>
        </w:rPr>
        <w:br w:type="page"/>
      </w:r>
    </w:p>
    <w:p w14:paraId="5E263241" w14:textId="5E4DF9A2" w:rsidR="009F6CF1" w:rsidRPr="00EA2985" w:rsidRDefault="00E25466">
      <w:pPr>
        <w:rPr>
          <w:rFonts w:ascii="Times New Roman" w:hAnsi="Times New Roman" w:cs="Times New Roman"/>
          <w:sz w:val="24"/>
          <w:szCs w:val="24"/>
        </w:rPr>
      </w:pPr>
      <w:r w:rsidRPr="00EA2985">
        <w:rPr>
          <w:rFonts w:ascii="Times New Roman" w:hAnsi="Times New Roman" w:cs="Times New Roman"/>
          <w:b/>
          <w:bCs/>
          <w:sz w:val="24"/>
          <w:szCs w:val="24"/>
        </w:rPr>
        <w:lastRenderedPageBreak/>
        <w:t>Methods</w:t>
      </w:r>
    </w:p>
    <w:p w14:paraId="59697F0A" w14:textId="21B7C7FA" w:rsidR="00E25466" w:rsidRDefault="00E25466">
      <w:pPr>
        <w:rPr>
          <w:rFonts w:ascii="Times New Roman" w:hAnsi="Times New Roman" w:cs="Times New Roman"/>
          <w:sz w:val="24"/>
          <w:szCs w:val="24"/>
        </w:rPr>
      </w:pPr>
      <w:r w:rsidRPr="00EA2985">
        <w:rPr>
          <w:rFonts w:ascii="Times New Roman" w:hAnsi="Times New Roman" w:cs="Times New Roman"/>
          <w:i/>
          <w:iCs/>
          <w:sz w:val="24"/>
          <w:szCs w:val="24"/>
        </w:rPr>
        <w:t>Forest inventory data</w:t>
      </w:r>
    </w:p>
    <w:p w14:paraId="18A632C8" w14:textId="677266C5" w:rsidR="001C5867" w:rsidRDefault="001C5867">
      <w:pPr>
        <w:rPr>
          <w:rFonts w:ascii="Times New Roman" w:hAnsi="Times New Roman" w:cs="Times New Roman"/>
          <w:sz w:val="24"/>
          <w:szCs w:val="24"/>
        </w:rPr>
      </w:pPr>
      <w:r>
        <w:rPr>
          <w:rFonts w:ascii="Times New Roman" w:hAnsi="Times New Roman" w:cs="Times New Roman"/>
          <w:sz w:val="24"/>
          <w:szCs w:val="24"/>
        </w:rPr>
        <w:tab/>
        <w:t xml:space="preserve">The US Forest Service Forest Inventory and Analysis (FIA) database provides nationally-consistent and randomized forest plot measurements across all forest lands in the United States. In the western United States, plots are remeasured on an average rotation of 10 years, facilitating estimates of decadal-scale changes in forest attributes and tree vital rates. In brief, each FIA plot consists of nested subplots on which adult trees (&gt; 12.7 cm DBH) are inventoried, microplots on which seedlings (&lt;2.54 cm DBH and &gt;15.24 cm height) and saplings (2.54 – 12.7 cm DBH) are inventoried, and </w:t>
      </w:r>
      <w:proofErr w:type="spellStart"/>
      <w:r>
        <w:rPr>
          <w:rFonts w:ascii="Times New Roman" w:hAnsi="Times New Roman" w:cs="Times New Roman"/>
          <w:sz w:val="24"/>
          <w:szCs w:val="24"/>
        </w:rPr>
        <w:t>macroplots</w:t>
      </w:r>
      <w:proofErr w:type="spellEnd"/>
      <w:r>
        <w:rPr>
          <w:rFonts w:ascii="Times New Roman" w:hAnsi="Times New Roman" w:cs="Times New Roman"/>
          <w:sz w:val="24"/>
          <w:szCs w:val="24"/>
        </w:rPr>
        <w:t xml:space="preserve"> on which large trees are inventoried (in certain Western states; size threshold varies by state). FIA field crews collect a vast array of information, including physical tree measurements, tree damages, putative causes of mortality, and disturbance type and extent. For a complete description of FIA sampling and measurement protocols, refer to the FIA user guide and FIA field manual</w:t>
      </w:r>
      <w:r w:rsidR="006364CD">
        <w:rPr>
          <w:rFonts w:ascii="Times New Roman" w:hAnsi="Times New Roman" w:cs="Times New Roman"/>
          <w:sz w:val="24"/>
          <w:szCs w:val="24"/>
        </w:rPr>
        <w:t xml:space="preserve">. </w:t>
      </w:r>
    </w:p>
    <w:p w14:paraId="0BD95B19" w14:textId="4610A0D0" w:rsidR="001C5867" w:rsidRDefault="006364CD">
      <w:pPr>
        <w:rPr>
          <w:rFonts w:ascii="Times New Roman" w:hAnsi="Times New Roman" w:cs="Times New Roman"/>
          <w:sz w:val="24"/>
          <w:szCs w:val="24"/>
        </w:rPr>
      </w:pPr>
      <w:r>
        <w:rPr>
          <w:rFonts w:ascii="Times New Roman" w:hAnsi="Times New Roman" w:cs="Times New Roman"/>
          <w:sz w:val="24"/>
          <w:szCs w:val="24"/>
        </w:rPr>
        <w:tab/>
        <w:t>We queried the FIA database for plots that had been remeasured during the 2010-2019 inventory period, and contained both subalpine fir and Engelmann spruce.</w:t>
      </w:r>
      <w:r w:rsidR="00442F38">
        <w:rPr>
          <w:rFonts w:ascii="Times New Roman" w:hAnsi="Times New Roman" w:cs="Times New Roman"/>
          <w:sz w:val="24"/>
          <w:szCs w:val="24"/>
        </w:rPr>
        <w:t xml:space="preserve"> Following Perret </w:t>
      </w:r>
      <w:r w:rsidR="00442F38">
        <w:rPr>
          <w:rFonts w:ascii="Times New Roman" w:hAnsi="Times New Roman" w:cs="Times New Roman"/>
          <w:i/>
          <w:iCs/>
          <w:sz w:val="24"/>
          <w:szCs w:val="24"/>
        </w:rPr>
        <w:t>et al.</w:t>
      </w:r>
      <w:r w:rsidR="00442F38">
        <w:rPr>
          <w:rFonts w:ascii="Times New Roman" w:hAnsi="Times New Roman" w:cs="Times New Roman"/>
          <w:sz w:val="24"/>
          <w:szCs w:val="24"/>
        </w:rPr>
        <w:t xml:space="preserve"> 2023, we included all plots that contained at least one individual of both species with a DBH &gt; 2.54 cm.</w:t>
      </w:r>
      <w:r>
        <w:rPr>
          <w:rFonts w:ascii="Times New Roman" w:hAnsi="Times New Roman" w:cs="Times New Roman"/>
          <w:sz w:val="24"/>
          <w:szCs w:val="24"/>
        </w:rPr>
        <w:t xml:space="preserve"> We intentionally retained plots that only contained dead individuals of either or both species, in order to avoid excluding plots that had experienced high mortality rates since the previous measurement.</w:t>
      </w:r>
      <w:r w:rsidR="003549F3">
        <w:rPr>
          <w:rFonts w:ascii="Times New Roman" w:hAnsi="Times New Roman" w:cs="Times New Roman"/>
          <w:sz w:val="24"/>
          <w:szCs w:val="24"/>
        </w:rPr>
        <w:t xml:space="preserve"> Every plot we included in our analyses could be linked back to a previous plot measurement; because Wyoming transitioned to the annualized sampling design later than other western States, initial plot measurements in the state came from the previous periodic survey design.</w:t>
      </w:r>
      <w:r w:rsidR="00442F38">
        <w:rPr>
          <w:rFonts w:ascii="Times New Roman" w:hAnsi="Times New Roman" w:cs="Times New Roman"/>
          <w:sz w:val="24"/>
          <w:szCs w:val="24"/>
        </w:rPr>
        <w:t xml:space="preserve"> In total, this yielded 2902 plots with two measurements between the 2000-2009 and 2010-2019 inventory periods, containing XX,XXX individual subalpine fir and Engelmann spruce.</w:t>
      </w:r>
    </w:p>
    <w:p w14:paraId="0353FFEE" w14:textId="77777777" w:rsidR="00442F38" w:rsidRDefault="00442F38">
      <w:pPr>
        <w:rPr>
          <w:rFonts w:ascii="Times New Roman" w:hAnsi="Times New Roman" w:cs="Times New Roman"/>
          <w:i/>
          <w:iCs/>
          <w:sz w:val="24"/>
          <w:szCs w:val="24"/>
        </w:rPr>
      </w:pPr>
    </w:p>
    <w:p w14:paraId="0EBB16AC" w14:textId="737C519E" w:rsidR="00E25466" w:rsidRPr="00EA2985" w:rsidRDefault="00E25466">
      <w:pPr>
        <w:rPr>
          <w:rFonts w:ascii="Times New Roman" w:hAnsi="Times New Roman" w:cs="Times New Roman"/>
          <w:sz w:val="24"/>
          <w:szCs w:val="24"/>
        </w:rPr>
      </w:pPr>
      <w:r w:rsidRPr="00EA2985">
        <w:rPr>
          <w:rFonts w:ascii="Times New Roman" w:hAnsi="Times New Roman" w:cs="Times New Roman"/>
          <w:i/>
          <w:iCs/>
          <w:sz w:val="24"/>
          <w:szCs w:val="24"/>
        </w:rPr>
        <w:t xml:space="preserve">Population </w:t>
      </w:r>
      <w:r w:rsidR="0055003E" w:rsidRPr="00EA2985">
        <w:rPr>
          <w:rFonts w:ascii="Times New Roman" w:hAnsi="Times New Roman" w:cs="Times New Roman"/>
          <w:i/>
          <w:iCs/>
          <w:sz w:val="24"/>
          <w:szCs w:val="24"/>
        </w:rPr>
        <w:t>trajectories</w:t>
      </w:r>
    </w:p>
    <w:p w14:paraId="25D9E4C0" w14:textId="2F57A13C" w:rsidR="00E22AE5" w:rsidRPr="00E22AE5" w:rsidRDefault="00442F38" w:rsidP="00442F38">
      <w:pPr>
        <w:ind w:firstLine="720"/>
        <w:rPr>
          <w:rFonts w:ascii="Times New Roman" w:hAnsi="Times New Roman" w:cs="Times New Roman"/>
          <w:sz w:val="24"/>
          <w:szCs w:val="24"/>
        </w:rPr>
      </w:pPr>
      <w:r>
        <w:rPr>
          <w:rFonts w:ascii="Times New Roman" w:hAnsi="Times New Roman" w:cs="Times New Roman"/>
          <w:sz w:val="24"/>
          <w:szCs w:val="24"/>
        </w:rPr>
        <w:t>The FIA program uses a randomized sampling design that facilitates post-stratified estimation of multiple forest attributes. We used standard FIA estimation procedures (Bechtold &amp; Patterson), modified from implementation in the rFIA package (</w:t>
      </w:r>
      <w:proofErr w:type="spellStart"/>
      <w:r>
        <w:rPr>
          <w:rFonts w:ascii="Times New Roman" w:hAnsi="Times New Roman" w:cs="Times New Roman"/>
          <w:sz w:val="24"/>
          <w:szCs w:val="24"/>
        </w:rPr>
        <w:t>Stanke</w:t>
      </w:r>
      <w:proofErr w:type="spellEnd"/>
      <w:r>
        <w:rPr>
          <w:rFonts w:ascii="Times New Roman" w:hAnsi="Times New Roman" w:cs="Times New Roman"/>
          <w:sz w:val="24"/>
          <w:szCs w:val="24"/>
        </w:rPr>
        <w:t>), to estimate decadal changes in the abundance and basal are</w:t>
      </w:r>
      <w:r w:rsidR="00A308A3">
        <w:rPr>
          <w:rFonts w:ascii="Times New Roman" w:hAnsi="Times New Roman" w:cs="Times New Roman"/>
          <w:sz w:val="24"/>
          <w:szCs w:val="24"/>
        </w:rPr>
        <w:t>a</w:t>
      </w:r>
      <w:r>
        <w:rPr>
          <w:rFonts w:ascii="Times New Roman" w:hAnsi="Times New Roman" w:cs="Times New Roman"/>
          <w:sz w:val="24"/>
          <w:szCs w:val="24"/>
        </w:rPr>
        <w:t xml:space="preserve"> of both subalpine fir and Engelmann spruce within ecoregion subsections (Bailey) occupied by the species.</w:t>
      </w:r>
      <w:r w:rsidR="00A308A3">
        <w:rPr>
          <w:rFonts w:ascii="Times New Roman" w:hAnsi="Times New Roman" w:cs="Times New Roman"/>
          <w:sz w:val="24"/>
          <w:szCs w:val="24"/>
        </w:rPr>
        <w:t xml:space="preserve"> These estimates were categorized for each species and ecoregion subsection using the scheme described above</w:t>
      </w:r>
      <w:r w:rsidR="009062CC">
        <w:rPr>
          <w:rFonts w:ascii="Times New Roman" w:hAnsi="Times New Roman" w:cs="Times New Roman"/>
          <w:sz w:val="24"/>
          <w:szCs w:val="24"/>
        </w:rPr>
        <w:t xml:space="preserve"> (Figure 1)</w:t>
      </w:r>
      <w:r w:rsidR="00A308A3">
        <w:rPr>
          <w:rFonts w:ascii="Times New Roman" w:hAnsi="Times New Roman" w:cs="Times New Roman"/>
          <w:sz w:val="24"/>
          <w:szCs w:val="24"/>
        </w:rPr>
        <w:t xml:space="preserve">, forming four broad classes of population trajectories: </w:t>
      </w:r>
      <w:r w:rsidR="00A308A3">
        <w:rPr>
          <w:rFonts w:ascii="Times New Roman" w:hAnsi="Times New Roman" w:cs="Times New Roman"/>
          <w:i/>
          <w:iCs/>
          <w:sz w:val="24"/>
          <w:szCs w:val="24"/>
        </w:rPr>
        <w:t>densification</w:t>
      </w:r>
      <w:r w:rsidR="00A308A3">
        <w:rPr>
          <w:rFonts w:ascii="Times New Roman" w:hAnsi="Times New Roman" w:cs="Times New Roman"/>
          <w:sz w:val="24"/>
          <w:szCs w:val="24"/>
        </w:rPr>
        <w:t xml:space="preserve"> (increases in both basal area and abundance), </w:t>
      </w:r>
      <w:r w:rsidR="00A308A3">
        <w:rPr>
          <w:rFonts w:ascii="Times New Roman" w:hAnsi="Times New Roman" w:cs="Times New Roman"/>
          <w:i/>
          <w:iCs/>
          <w:sz w:val="24"/>
          <w:szCs w:val="24"/>
        </w:rPr>
        <w:t>development</w:t>
      </w:r>
      <w:r w:rsidR="00A308A3">
        <w:rPr>
          <w:rFonts w:ascii="Times New Roman" w:hAnsi="Times New Roman" w:cs="Times New Roman"/>
          <w:sz w:val="24"/>
          <w:szCs w:val="24"/>
        </w:rPr>
        <w:t xml:space="preserve"> (declining abundance but increasing basal area), </w:t>
      </w:r>
      <w:r w:rsidR="00A308A3">
        <w:rPr>
          <w:rFonts w:ascii="Times New Roman" w:hAnsi="Times New Roman" w:cs="Times New Roman"/>
          <w:i/>
          <w:iCs/>
          <w:sz w:val="24"/>
          <w:szCs w:val="24"/>
        </w:rPr>
        <w:t>turnover</w:t>
      </w:r>
      <w:r w:rsidR="00A308A3">
        <w:rPr>
          <w:rFonts w:ascii="Times New Roman" w:hAnsi="Times New Roman" w:cs="Times New Roman"/>
          <w:sz w:val="24"/>
          <w:szCs w:val="24"/>
        </w:rPr>
        <w:t xml:space="preserve"> (increasing abundance but declining basal area)</w:t>
      </w:r>
      <w:r w:rsidR="00A308A3">
        <w:rPr>
          <w:rFonts w:ascii="Times New Roman" w:hAnsi="Times New Roman" w:cs="Times New Roman"/>
          <w:i/>
          <w:iCs/>
          <w:sz w:val="24"/>
          <w:szCs w:val="24"/>
        </w:rPr>
        <w:t>,</w:t>
      </w:r>
      <w:r w:rsidR="00A308A3">
        <w:rPr>
          <w:rFonts w:ascii="Times New Roman" w:hAnsi="Times New Roman" w:cs="Times New Roman"/>
          <w:sz w:val="24"/>
          <w:szCs w:val="24"/>
        </w:rPr>
        <w:t xml:space="preserve"> and </w:t>
      </w:r>
      <w:r w:rsidR="00A308A3">
        <w:rPr>
          <w:rFonts w:ascii="Times New Roman" w:hAnsi="Times New Roman" w:cs="Times New Roman"/>
          <w:i/>
          <w:iCs/>
          <w:sz w:val="24"/>
          <w:szCs w:val="24"/>
        </w:rPr>
        <w:t>decline</w:t>
      </w:r>
      <w:r w:rsidR="00A308A3">
        <w:rPr>
          <w:rFonts w:ascii="Times New Roman" w:hAnsi="Times New Roman" w:cs="Times New Roman"/>
          <w:sz w:val="24"/>
          <w:szCs w:val="24"/>
        </w:rPr>
        <w:t xml:space="preserve"> (decreases in both basal area and abundance). In cases where </w:t>
      </w:r>
      <w:r w:rsidR="00E22AE5">
        <w:rPr>
          <w:rFonts w:ascii="Times New Roman" w:hAnsi="Times New Roman" w:cs="Times New Roman"/>
          <w:sz w:val="24"/>
          <w:szCs w:val="24"/>
        </w:rPr>
        <w:t>change estimates were statistically indistinguishable from zero (</w:t>
      </w:r>
      <w:r w:rsidR="00E22AE5">
        <w:rPr>
          <w:rFonts w:ascii="Times New Roman" w:hAnsi="Times New Roman" w:cs="Times New Roman"/>
          <w:i/>
          <w:iCs/>
          <w:sz w:val="24"/>
          <w:szCs w:val="24"/>
        </w:rPr>
        <w:t>i.e.,</w:t>
      </w:r>
      <w:r w:rsidR="00E22AE5">
        <w:rPr>
          <w:rFonts w:ascii="Times New Roman" w:hAnsi="Times New Roman" w:cs="Times New Roman"/>
          <w:sz w:val="24"/>
          <w:szCs w:val="24"/>
        </w:rPr>
        <w:t xml:space="preserve"> sampling error was equal or greater to the magnitude of the change), we treated the estimate as though it were positive.</w:t>
      </w:r>
    </w:p>
    <w:p w14:paraId="2937CE69" w14:textId="4FD15130" w:rsidR="00096485" w:rsidRDefault="00A308A3" w:rsidP="00442F38">
      <w:pPr>
        <w:ind w:firstLine="720"/>
        <w:rPr>
          <w:rFonts w:ascii="Times New Roman" w:hAnsi="Times New Roman" w:cs="Times New Roman"/>
          <w:sz w:val="24"/>
          <w:szCs w:val="24"/>
        </w:rPr>
      </w:pPr>
      <w:r>
        <w:rPr>
          <w:rFonts w:ascii="Times New Roman" w:hAnsi="Times New Roman" w:cs="Times New Roman"/>
          <w:sz w:val="24"/>
          <w:szCs w:val="24"/>
        </w:rPr>
        <w:t xml:space="preserve"> </w:t>
      </w:r>
    </w:p>
    <w:p w14:paraId="18F06D4F" w14:textId="4C1FD170" w:rsidR="00A308A3" w:rsidRPr="00A308A3" w:rsidRDefault="00A308A3" w:rsidP="00442F38">
      <w:pPr>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We combined subalpine fir and Engelmann spruce population trajectories using the two-species </w:t>
      </w:r>
      <w:r w:rsidR="004A2D9B">
        <w:rPr>
          <w:rFonts w:ascii="Times New Roman" w:hAnsi="Times New Roman" w:cs="Times New Roman"/>
          <w:sz w:val="24"/>
          <w:szCs w:val="24"/>
        </w:rPr>
        <w:t>case</w:t>
      </w:r>
      <w:r>
        <w:rPr>
          <w:rFonts w:ascii="Times New Roman" w:hAnsi="Times New Roman" w:cs="Times New Roman"/>
          <w:sz w:val="24"/>
          <w:szCs w:val="24"/>
        </w:rPr>
        <w:t xml:space="preserve"> described above</w:t>
      </w:r>
      <w:r w:rsidR="009062CC">
        <w:rPr>
          <w:rFonts w:ascii="Times New Roman" w:hAnsi="Times New Roman" w:cs="Times New Roman"/>
          <w:sz w:val="24"/>
          <w:szCs w:val="24"/>
        </w:rPr>
        <w:t xml:space="preserve"> (Figure 1)</w:t>
      </w:r>
      <w:r w:rsidR="004A2D9B">
        <w:rPr>
          <w:rFonts w:ascii="Times New Roman" w:hAnsi="Times New Roman" w:cs="Times New Roman"/>
          <w:sz w:val="24"/>
          <w:szCs w:val="24"/>
        </w:rPr>
        <w:t xml:space="preserve">, which is loosely based on the post-disturbance reorganization schema presented by Seidl &amp; Turner (2021). </w:t>
      </w:r>
    </w:p>
    <w:p w14:paraId="0B7EC097" w14:textId="77777777" w:rsidR="00442F38" w:rsidRDefault="00442F38" w:rsidP="00E25466">
      <w:pPr>
        <w:ind w:left="720" w:hanging="720"/>
        <w:rPr>
          <w:rFonts w:ascii="Times New Roman" w:hAnsi="Times New Roman" w:cs="Times New Roman"/>
          <w:i/>
          <w:iCs/>
          <w:sz w:val="24"/>
          <w:szCs w:val="24"/>
        </w:rPr>
      </w:pPr>
    </w:p>
    <w:p w14:paraId="33BCDF13" w14:textId="488E05BB" w:rsidR="00E25466" w:rsidRPr="00EA2985" w:rsidRDefault="00E25466" w:rsidP="00E25466">
      <w:pPr>
        <w:ind w:left="720" w:hanging="720"/>
        <w:rPr>
          <w:rFonts w:ascii="Times New Roman" w:hAnsi="Times New Roman" w:cs="Times New Roman"/>
          <w:i/>
          <w:iCs/>
          <w:sz w:val="24"/>
          <w:szCs w:val="24"/>
        </w:rPr>
      </w:pPr>
      <w:r w:rsidRPr="00EA2985">
        <w:rPr>
          <w:rFonts w:ascii="Times New Roman" w:hAnsi="Times New Roman" w:cs="Times New Roman"/>
          <w:i/>
          <w:iCs/>
          <w:sz w:val="24"/>
          <w:szCs w:val="24"/>
        </w:rPr>
        <w:t>Community trajectories</w:t>
      </w:r>
    </w:p>
    <w:p w14:paraId="39FC2478" w14:textId="364AF207" w:rsidR="00096485" w:rsidRPr="00EA2985" w:rsidRDefault="0055003E" w:rsidP="00E25466">
      <w:pPr>
        <w:ind w:left="720" w:hanging="720"/>
        <w:rPr>
          <w:rFonts w:ascii="Times New Roman" w:hAnsi="Times New Roman" w:cs="Times New Roman"/>
          <w:sz w:val="24"/>
          <w:szCs w:val="24"/>
        </w:rPr>
      </w:pPr>
      <w:r w:rsidRPr="00EA2985">
        <w:rPr>
          <w:rFonts w:ascii="Times New Roman" w:hAnsi="Times New Roman" w:cs="Times New Roman"/>
          <w:sz w:val="24"/>
          <w:szCs w:val="24"/>
        </w:rPr>
        <w:tab/>
      </w:r>
      <w:r w:rsidR="00096485" w:rsidRPr="00EA2985">
        <w:rPr>
          <w:rFonts w:ascii="Times New Roman" w:hAnsi="Times New Roman" w:cs="Times New Roman"/>
          <w:sz w:val="24"/>
          <w:szCs w:val="24"/>
        </w:rPr>
        <w:t>Start with section describing single-species trajectory bins (i.e., decline, turnover, densification, development) &gt; then &gt;</w:t>
      </w:r>
    </w:p>
    <w:p w14:paraId="13A1BFDB" w14:textId="080A44D1" w:rsidR="00E25466" w:rsidRDefault="00E25466" w:rsidP="00E25466">
      <w:pPr>
        <w:ind w:left="720" w:hanging="720"/>
        <w:rPr>
          <w:rFonts w:ascii="Times New Roman" w:hAnsi="Times New Roman" w:cs="Times New Roman"/>
          <w:sz w:val="24"/>
          <w:szCs w:val="24"/>
        </w:rPr>
      </w:pPr>
      <w:r w:rsidRPr="00EA2985">
        <w:rPr>
          <w:rFonts w:ascii="Times New Roman" w:hAnsi="Times New Roman" w:cs="Times New Roman"/>
          <w:i/>
          <w:iCs/>
          <w:sz w:val="24"/>
          <w:szCs w:val="24"/>
        </w:rPr>
        <w:t>Demographic models</w:t>
      </w:r>
    </w:p>
    <w:p w14:paraId="65B91C1B" w14:textId="48AEB0C4" w:rsidR="004E291C" w:rsidRDefault="004E291C" w:rsidP="00E25466">
      <w:pPr>
        <w:ind w:left="720" w:hanging="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u w:val="single"/>
        </w:rPr>
        <w:t>Predictor variables</w:t>
      </w:r>
    </w:p>
    <w:p w14:paraId="15E528D4" w14:textId="1E10A494" w:rsidR="004E291C" w:rsidRDefault="004E291C" w:rsidP="00E25466">
      <w:pPr>
        <w:ind w:left="720" w:hanging="720"/>
        <w:rPr>
          <w:rFonts w:ascii="Times New Roman" w:hAnsi="Times New Roman" w:cs="Times New Roman"/>
          <w:sz w:val="24"/>
          <w:szCs w:val="24"/>
        </w:rPr>
      </w:pPr>
      <w:r>
        <w:rPr>
          <w:rFonts w:ascii="Times New Roman" w:hAnsi="Times New Roman" w:cs="Times New Roman"/>
          <w:sz w:val="24"/>
          <w:szCs w:val="24"/>
        </w:rPr>
        <w:tab/>
        <w:t>Maximum climate anomalies calculated after Littlefield et al and Davis et al; using maximum z-scores relative to reference period. Reference period is 30 years prior to initial plot measurement, anomalies calculated over remeasurement period.</w:t>
      </w:r>
    </w:p>
    <w:p w14:paraId="2330705C" w14:textId="77777777" w:rsidR="004E291C" w:rsidRPr="004E291C" w:rsidRDefault="004E291C" w:rsidP="00E25466">
      <w:pPr>
        <w:ind w:left="720" w:hanging="720"/>
        <w:rPr>
          <w:rFonts w:ascii="Times New Roman" w:hAnsi="Times New Roman" w:cs="Times New Roman"/>
          <w:sz w:val="24"/>
          <w:szCs w:val="24"/>
        </w:rPr>
      </w:pPr>
    </w:p>
    <w:p w14:paraId="32FC8D7F" w14:textId="23070B9B" w:rsidR="004A43FE" w:rsidRPr="00EA2985" w:rsidRDefault="004A43FE" w:rsidP="00E25466">
      <w:pPr>
        <w:ind w:left="720" w:hanging="720"/>
        <w:rPr>
          <w:rFonts w:ascii="Times New Roman" w:hAnsi="Times New Roman" w:cs="Times New Roman"/>
          <w:sz w:val="24"/>
          <w:szCs w:val="24"/>
        </w:rPr>
      </w:pPr>
      <w:r w:rsidRPr="00EA2985">
        <w:rPr>
          <w:rFonts w:ascii="Times New Roman" w:hAnsi="Times New Roman" w:cs="Times New Roman"/>
          <w:sz w:val="24"/>
          <w:szCs w:val="24"/>
        </w:rPr>
        <w:tab/>
      </w:r>
      <w:r w:rsidRPr="00EA2985">
        <w:rPr>
          <w:rFonts w:ascii="Times New Roman" w:hAnsi="Times New Roman" w:cs="Times New Roman"/>
          <w:sz w:val="24"/>
          <w:szCs w:val="24"/>
          <w:u w:val="single"/>
        </w:rPr>
        <w:t>Mortality model</w:t>
      </w:r>
    </w:p>
    <w:p w14:paraId="100E1C01" w14:textId="77777777" w:rsidR="005A713D" w:rsidRPr="00EA2985" w:rsidRDefault="004A43FE" w:rsidP="005A713D">
      <w:pPr>
        <w:ind w:left="720" w:hanging="720"/>
        <w:rPr>
          <w:rFonts w:ascii="Times New Roman" w:hAnsi="Times New Roman" w:cs="Times New Roman"/>
          <w:sz w:val="24"/>
          <w:szCs w:val="24"/>
        </w:rPr>
      </w:pPr>
      <w:r w:rsidRPr="00EA2985">
        <w:rPr>
          <w:rFonts w:ascii="Times New Roman" w:hAnsi="Times New Roman" w:cs="Times New Roman"/>
          <w:sz w:val="24"/>
          <w:szCs w:val="24"/>
        </w:rPr>
        <w:tab/>
        <w:t>Filtered tree data to get remeasured subalpine fir and Engelmann spruce from co-occurring stands that were alive at T1. Used tree status (i.e., live or dead) at time two as a response variable – that is, individual survival over a 10-year period</w:t>
      </w:r>
      <w:r w:rsidR="00A358E4" w:rsidRPr="00EA2985">
        <w:rPr>
          <w:rFonts w:ascii="Times New Roman" w:hAnsi="Times New Roman" w:cs="Times New Roman"/>
          <w:sz w:val="24"/>
          <w:szCs w:val="24"/>
        </w:rPr>
        <w:t>. Model incorporates predictors at three levels of organization: tree, plot, and landscape. Tree-level predictors included tree size at T1, crown ratio at T1, and the presence/absence of insect or disease damage at T1.</w:t>
      </w:r>
      <w:r w:rsidR="00D57DDE" w:rsidRPr="00EA2985">
        <w:rPr>
          <w:rFonts w:ascii="Times New Roman" w:hAnsi="Times New Roman" w:cs="Times New Roman"/>
          <w:sz w:val="24"/>
          <w:szCs w:val="24"/>
        </w:rPr>
        <w:t xml:space="preserve"> Plot-level predictors include climate normal and climate anomalies, stand density. Landscape-level predictors include the proportion of ecoregion subsection impacted by fire and biological disturbances. </w:t>
      </w:r>
      <w:r w:rsidR="00B310F9" w:rsidRPr="00EA2985">
        <w:rPr>
          <w:rFonts w:ascii="Times New Roman" w:hAnsi="Times New Roman" w:cs="Times New Roman"/>
          <w:sz w:val="24"/>
          <w:szCs w:val="24"/>
        </w:rPr>
        <w:t xml:space="preserve">We built a binomial GLMM in a Bayesian framework using these predictors for each species. </w:t>
      </w:r>
    </w:p>
    <w:p w14:paraId="325AD196" w14:textId="45DED13E" w:rsidR="005A713D" w:rsidRPr="00EA2985" w:rsidRDefault="005A713D" w:rsidP="005A713D">
      <w:pPr>
        <w:ind w:left="720" w:hanging="720"/>
        <w:rPr>
          <w:rFonts w:ascii="Times New Roman" w:eastAsiaTheme="minorEastAsia" w:hAnsi="Times New Roman" w:cs="Times New Roman"/>
          <w:sz w:val="24"/>
          <w:szCs w:val="24"/>
        </w:rPr>
      </w:pPr>
      <w:r w:rsidRPr="00EA2985">
        <w:rPr>
          <w:rFonts w:ascii="Times New Roman" w:hAnsi="Times New Roman" w:cs="Times New Roman"/>
          <w:sz w:val="24"/>
          <w:szCs w:val="24"/>
        </w:rPr>
        <w:tab/>
      </w:r>
      <w:r w:rsidRPr="00EA2985">
        <w:rPr>
          <w:rFonts w:ascii="Times New Roman" w:hAnsi="Times New Roman" w:cs="Times New Roman"/>
          <w:i/>
          <w:sz w:val="24"/>
          <w:szCs w:val="24"/>
        </w:rPr>
        <w:br/>
      </w:r>
      <m:oMathPara>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i,p,r,</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2</m:t>
                  </m:r>
                </m:sub>
              </m:sSub>
            </m:sub>
          </m:sSub>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γ</m:t>
              </m:r>
            </m:e>
            <m:sub>
              <m:r>
                <w:rPr>
                  <w:rFonts w:ascii="Cambria Math" w:hAnsi="Cambria Math" w:cs="Times New Roman"/>
                  <w:sz w:val="24"/>
                  <w:szCs w:val="24"/>
                </w:rPr>
                <m:t>1,r</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DIA</m:t>
              </m:r>
            </m:e>
            <m:sub>
              <m:r>
                <w:rPr>
                  <w:rFonts w:ascii="Cambria Math" w:hAnsi="Cambria Math" w:cs="Times New Roman"/>
                  <w:sz w:val="24"/>
                  <w:szCs w:val="24"/>
                </w:rPr>
                <m:t>i,</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m:t>
                  </m:r>
                </m:sub>
              </m:sSub>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2</m:t>
              </m:r>
            </m:sub>
          </m:sSub>
          <m:sSub>
            <m:sSubPr>
              <m:ctrlPr>
                <w:rPr>
                  <w:rFonts w:ascii="Cambria Math" w:hAnsi="Cambria Math" w:cs="Times New Roman"/>
                  <w:i/>
                  <w:sz w:val="24"/>
                  <w:szCs w:val="24"/>
                </w:rPr>
              </m:ctrlPr>
            </m:sSubPr>
            <m:e>
              <m:r>
                <w:rPr>
                  <w:rFonts w:ascii="Cambria Math" w:hAnsi="Cambria Math" w:cs="Times New Roman"/>
                  <w:sz w:val="24"/>
                  <w:szCs w:val="24"/>
                </w:rPr>
                <m:t>CR</m:t>
              </m:r>
            </m:e>
            <m:sub>
              <m:r>
                <w:rPr>
                  <w:rFonts w:ascii="Cambria Math" w:hAnsi="Cambria Math" w:cs="Times New Roman"/>
                  <w:sz w:val="24"/>
                  <w:szCs w:val="24"/>
                </w:rPr>
                <m:t>i,</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m:t>
                  </m:r>
                </m:sub>
              </m:sSub>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3</m:t>
              </m:r>
            </m:sub>
          </m:sSub>
          <m:sSub>
            <m:sSubPr>
              <m:ctrlPr>
                <w:rPr>
                  <w:rFonts w:ascii="Cambria Math" w:hAnsi="Cambria Math" w:cs="Times New Roman"/>
                  <w:i/>
                  <w:sz w:val="24"/>
                  <w:szCs w:val="24"/>
                </w:rPr>
              </m:ctrlPr>
            </m:sSubPr>
            <m:e>
              <m:r>
                <w:rPr>
                  <w:rFonts w:ascii="Cambria Math" w:hAnsi="Cambria Math" w:cs="Times New Roman"/>
                  <w:sz w:val="24"/>
                  <w:szCs w:val="24"/>
                </w:rPr>
                <m:t>DAM</m:t>
              </m:r>
            </m:e>
            <m:sub>
              <m:r>
                <w:rPr>
                  <w:rFonts w:ascii="Cambria Math" w:hAnsi="Cambria Math" w:cs="Times New Roman"/>
                  <w:sz w:val="24"/>
                  <w:szCs w:val="24"/>
                </w:rPr>
                <m:t>i,</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m:t>
                  </m:r>
                </m:sub>
              </m:sSub>
            </m:sub>
          </m:sSub>
          <m:r>
            <w:rPr>
              <w:rFonts w:ascii="Cambria Math" w:hAnsi="Cambria Math" w:cs="Times New Roman"/>
              <w:sz w:val="24"/>
              <w:szCs w:val="24"/>
            </w:rPr>
            <m:t>+</m:t>
          </m:r>
        </m:oMath>
      </m:oMathPara>
    </w:p>
    <w:p w14:paraId="61272A8D" w14:textId="77777777" w:rsidR="005A713D" w:rsidRPr="00EA2985" w:rsidRDefault="00000000" w:rsidP="005A713D">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4-28</m:t>
              </m:r>
            </m:sub>
          </m:sSub>
          <m:sSub>
            <m:sSubPr>
              <m:ctrlPr>
                <w:rPr>
                  <w:rFonts w:ascii="Cambria Math" w:hAnsi="Cambria Math" w:cs="Times New Roman"/>
                  <w:i/>
                  <w:sz w:val="24"/>
                  <w:szCs w:val="24"/>
                </w:rPr>
              </m:ctrlPr>
            </m:sSubPr>
            <m:e>
              <m:r>
                <w:rPr>
                  <w:rFonts w:ascii="Cambria Math" w:hAnsi="Cambria Math" w:cs="Times New Roman"/>
                  <w:sz w:val="24"/>
                  <w:szCs w:val="24"/>
                </w:rPr>
                <m:t>CN</m:t>
              </m:r>
            </m:e>
            <m:sub>
              <m:r>
                <w:rPr>
                  <w:rFonts w:ascii="Cambria Math" w:hAnsi="Cambria Math" w:cs="Times New Roman"/>
                  <w:sz w:val="24"/>
                  <w:szCs w:val="24"/>
                </w:rPr>
                <m:t>j,p</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CA</m:t>
              </m:r>
            </m:e>
            <m:sub>
              <m:r>
                <w:rPr>
                  <w:rFonts w:ascii="Cambria Math" w:hAnsi="Cambria Math" w:cs="Times New Roman"/>
                  <w:sz w:val="24"/>
                  <w:szCs w:val="24"/>
                </w:rPr>
                <m:t xml:space="preserve">k,p,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m:t>
                  </m:r>
                </m:sub>
              </m:sSub>
            </m:sub>
          </m:sSub>
          <m:r>
            <w:rPr>
              <w:rFonts w:ascii="Cambria Math" w:hAnsi="Cambria Math" w:cs="Times New Roman"/>
              <w:sz w:val="24"/>
              <w:szCs w:val="24"/>
            </w:rPr>
            <m:t>+</m:t>
          </m:r>
        </m:oMath>
      </m:oMathPara>
    </w:p>
    <w:p w14:paraId="369852DE" w14:textId="77777777" w:rsidR="005A713D" w:rsidRPr="00EA2985" w:rsidRDefault="00000000" w:rsidP="005A713D">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29-31</m:t>
              </m:r>
            </m:sub>
          </m:sSub>
          <m:sSub>
            <m:sSubPr>
              <m:ctrlPr>
                <w:rPr>
                  <w:rFonts w:ascii="Cambria Math" w:hAnsi="Cambria Math" w:cs="Times New Roman"/>
                  <w:i/>
                  <w:sz w:val="24"/>
                  <w:szCs w:val="24"/>
                </w:rPr>
              </m:ctrlPr>
            </m:sSubPr>
            <m:e>
              <m:r>
                <w:rPr>
                  <w:rFonts w:ascii="Cambria Math" w:hAnsi="Cambria Math" w:cs="Times New Roman"/>
                  <w:sz w:val="24"/>
                  <w:szCs w:val="24"/>
                </w:rPr>
                <m:t>AF</m:t>
              </m:r>
            </m:e>
            <m:sub>
              <m:r>
                <w:rPr>
                  <w:rFonts w:ascii="Cambria Math" w:hAnsi="Cambria Math" w:cs="Times New Roman"/>
                  <w:sz w:val="24"/>
                  <w:szCs w:val="24"/>
                </w:rPr>
                <m:t xml:space="preserve">r,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m:t>
                  </m:r>
                </m:sub>
              </m:sSub>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AB</m:t>
              </m:r>
            </m:e>
            <m:sub>
              <m:r>
                <w:rPr>
                  <w:rFonts w:ascii="Cambria Math" w:hAnsi="Cambria Math" w:cs="Times New Roman"/>
                  <w:sz w:val="24"/>
                  <w:szCs w:val="24"/>
                </w:rPr>
                <m:t xml:space="preserve">r,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m:t>
                  </m:r>
                </m:sub>
              </m:sSub>
            </m:sub>
          </m:sSub>
          <m:r>
            <w:rPr>
              <w:rFonts w:ascii="Cambria Math" w:hAnsi="Cambria Math" w:cs="Times New Roman"/>
              <w:sz w:val="24"/>
              <w:szCs w:val="24"/>
            </w:rPr>
            <m:t>+ε</m:t>
          </m:r>
        </m:oMath>
      </m:oMathPara>
    </w:p>
    <w:p w14:paraId="0CAFDADB" w14:textId="77777777" w:rsidR="005A713D" w:rsidRPr="00EA2985" w:rsidRDefault="005A713D" w:rsidP="005A713D">
      <w:pPr>
        <w:ind w:left="720"/>
        <w:rPr>
          <w:rFonts w:ascii="Times New Roman" w:eastAsiaTheme="minorEastAsia" w:hAnsi="Times New Roman" w:cs="Times New Roman"/>
          <w:sz w:val="24"/>
          <w:szCs w:val="24"/>
        </w:rPr>
      </w:pPr>
      <w:r w:rsidRPr="00EA2985">
        <w:rPr>
          <w:rFonts w:ascii="Times New Roman" w:eastAsiaTheme="minorEastAsia" w:hAnsi="Times New Roman" w:cs="Times New Roman"/>
          <w:sz w:val="24"/>
          <w:szCs w:val="24"/>
        </w:rPr>
        <w:t xml:space="preserve">Where the survival </w:t>
      </w:r>
      <w:r w:rsidRPr="00EA2985">
        <w:rPr>
          <w:rFonts w:ascii="Times New Roman" w:eastAsiaTheme="minorEastAsia" w:hAnsi="Times New Roman" w:cs="Times New Roman"/>
          <w:i/>
          <w:iCs/>
          <w:sz w:val="24"/>
          <w:szCs w:val="24"/>
        </w:rPr>
        <w:t>S</w:t>
      </w:r>
      <w:r w:rsidRPr="00EA2985">
        <w:rPr>
          <w:rFonts w:ascii="Times New Roman" w:eastAsiaTheme="minorEastAsia" w:hAnsi="Times New Roman" w:cs="Times New Roman"/>
          <w:sz w:val="24"/>
          <w:szCs w:val="24"/>
        </w:rPr>
        <w:t xml:space="preserve"> of individual </w:t>
      </w:r>
      <w:proofErr w:type="spellStart"/>
      <w:r w:rsidRPr="00EA2985">
        <w:rPr>
          <w:rFonts w:ascii="Times New Roman" w:eastAsiaTheme="minorEastAsia" w:hAnsi="Times New Roman" w:cs="Times New Roman"/>
          <w:i/>
          <w:iCs/>
          <w:sz w:val="24"/>
          <w:szCs w:val="24"/>
        </w:rPr>
        <w:t>i</w:t>
      </w:r>
      <w:proofErr w:type="spellEnd"/>
      <w:r w:rsidRPr="00EA2985">
        <w:rPr>
          <w:rFonts w:ascii="Times New Roman" w:eastAsiaTheme="minorEastAsia" w:hAnsi="Times New Roman" w:cs="Times New Roman"/>
          <w:sz w:val="24"/>
          <w:szCs w:val="24"/>
        </w:rPr>
        <w:t xml:space="preserve"> in plot </w:t>
      </w:r>
      <w:r w:rsidRPr="00EA2985">
        <w:rPr>
          <w:rFonts w:ascii="Times New Roman" w:eastAsiaTheme="minorEastAsia" w:hAnsi="Times New Roman" w:cs="Times New Roman"/>
          <w:i/>
          <w:iCs/>
          <w:sz w:val="24"/>
          <w:szCs w:val="24"/>
        </w:rPr>
        <w:t>p</w:t>
      </w:r>
      <w:r w:rsidRPr="00EA2985">
        <w:rPr>
          <w:rFonts w:ascii="Times New Roman" w:eastAsiaTheme="minorEastAsia" w:hAnsi="Times New Roman" w:cs="Times New Roman"/>
          <w:sz w:val="24"/>
          <w:szCs w:val="24"/>
        </w:rPr>
        <w:t xml:space="preserve"> nested in ecoregion </w:t>
      </w:r>
      <w:proofErr w:type="spellStart"/>
      <w:r w:rsidRPr="00EA2985">
        <w:rPr>
          <w:rFonts w:ascii="Times New Roman" w:eastAsiaTheme="minorEastAsia" w:hAnsi="Times New Roman" w:cs="Times New Roman"/>
          <w:i/>
          <w:iCs/>
          <w:sz w:val="24"/>
          <w:szCs w:val="24"/>
        </w:rPr>
        <w:t>r</w:t>
      </w:r>
      <w:r w:rsidRPr="00EA2985">
        <w:rPr>
          <w:rFonts w:ascii="Times New Roman" w:eastAsiaTheme="minorEastAsia" w:hAnsi="Times New Roman" w:cs="Times New Roman"/>
          <w:sz w:val="24"/>
          <w:szCs w:val="24"/>
        </w:rPr>
        <w:t xml:space="preserve"> at</w:t>
      </w:r>
      <w:proofErr w:type="spellEnd"/>
      <w:r w:rsidRPr="00EA2985">
        <w:rPr>
          <w:rFonts w:ascii="Times New Roman" w:eastAsiaTheme="minorEastAsia" w:hAnsi="Times New Roman" w:cs="Times New Roman"/>
          <w:sz w:val="24"/>
          <w:szCs w:val="24"/>
        </w:rPr>
        <w:t xml:space="preserve"> time </w:t>
      </w:r>
      <w:r w:rsidRPr="00EA2985">
        <w:rPr>
          <w:rFonts w:ascii="Times New Roman" w:eastAsiaTheme="minorEastAsia" w:hAnsi="Times New Roman" w:cs="Times New Roman"/>
          <w:i/>
          <w:iCs/>
          <w:sz w:val="24"/>
          <w:szCs w:val="24"/>
        </w:rPr>
        <w:t>t2</w:t>
      </w:r>
      <w:r w:rsidRPr="00EA2985">
        <w:rPr>
          <w:rFonts w:ascii="Times New Roman" w:eastAsiaTheme="minorEastAsia" w:hAnsi="Times New Roman" w:cs="Times New Roman"/>
          <w:sz w:val="24"/>
          <w:szCs w:val="24"/>
        </w:rPr>
        <w:t xml:space="preserve"> is modeled as a linear function of a fixed intercept b0 modified by a random term g1 varying between ecoregions </w:t>
      </w:r>
      <w:r w:rsidRPr="00EA2985">
        <w:rPr>
          <w:rFonts w:ascii="Times New Roman" w:eastAsiaTheme="minorEastAsia" w:hAnsi="Times New Roman" w:cs="Times New Roman"/>
          <w:i/>
          <w:iCs/>
          <w:sz w:val="24"/>
          <w:szCs w:val="24"/>
        </w:rPr>
        <w:t>r</w:t>
      </w:r>
      <w:r w:rsidRPr="00EA2985">
        <w:rPr>
          <w:rFonts w:ascii="Times New Roman" w:eastAsiaTheme="minorEastAsia" w:hAnsi="Times New Roman" w:cs="Times New Roman"/>
          <w:sz w:val="24"/>
          <w:szCs w:val="24"/>
        </w:rPr>
        <w:t xml:space="preserve">, and predictors varying between individuals </w:t>
      </w:r>
      <w:proofErr w:type="spellStart"/>
      <w:r w:rsidRPr="00EA2985">
        <w:rPr>
          <w:rFonts w:ascii="Times New Roman" w:eastAsiaTheme="minorEastAsia" w:hAnsi="Times New Roman" w:cs="Times New Roman"/>
          <w:i/>
          <w:iCs/>
          <w:sz w:val="24"/>
          <w:szCs w:val="24"/>
        </w:rPr>
        <w:t>i</w:t>
      </w:r>
      <w:proofErr w:type="spellEnd"/>
      <w:r w:rsidRPr="00EA2985">
        <w:rPr>
          <w:rFonts w:ascii="Times New Roman" w:eastAsiaTheme="minorEastAsia" w:hAnsi="Times New Roman" w:cs="Times New Roman"/>
          <w:sz w:val="24"/>
          <w:szCs w:val="24"/>
        </w:rPr>
        <w:t xml:space="preserve">, plots </w:t>
      </w:r>
      <w:r w:rsidRPr="00EA2985">
        <w:rPr>
          <w:rFonts w:ascii="Times New Roman" w:eastAsiaTheme="minorEastAsia" w:hAnsi="Times New Roman" w:cs="Times New Roman"/>
          <w:i/>
          <w:iCs/>
          <w:sz w:val="24"/>
          <w:szCs w:val="24"/>
        </w:rPr>
        <w:t>p,</w:t>
      </w:r>
      <w:r w:rsidRPr="00EA2985">
        <w:rPr>
          <w:rFonts w:ascii="Times New Roman" w:eastAsiaTheme="minorEastAsia" w:hAnsi="Times New Roman" w:cs="Times New Roman"/>
          <w:sz w:val="24"/>
          <w:szCs w:val="24"/>
        </w:rPr>
        <w:t xml:space="preserve"> and ecoregions </w:t>
      </w:r>
      <w:r w:rsidRPr="00EA2985">
        <w:rPr>
          <w:rFonts w:ascii="Times New Roman" w:eastAsiaTheme="minorEastAsia" w:hAnsi="Times New Roman" w:cs="Times New Roman"/>
          <w:i/>
          <w:iCs/>
          <w:sz w:val="24"/>
          <w:szCs w:val="24"/>
        </w:rPr>
        <w:t>r</w:t>
      </w:r>
      <w:r w:rsidRPr="00EA2985">
        <w:rPr>
          <w:rFonts w:ascii="Times New Roman" w:eastAsiaTheme="minorEastAsia" w:hAnsi="Times New Roman" w:cs="Times New Roman"/>
          <w:sz w:val="24"/>
          <w:szCs w:val="24"/>
        </w:rPr>
        <w:t xml:space="preserve">. Individual-level predictors include the diameter of tree </w:t>
      </w:r>
      <w:proofErr w:type="spellStart"/>
      <w:r w:rsidRPr="00EA2985">
        <w:rPr>
          <w:rFonts w:ascii="Times New Roman" w:eastAsiaTheme="minorEastAsia" w:hAnsi="Times New Roman" w:cs="Times New Roman"/>
          <w:i/>
          <w:iCs/>
          <w:sz w:val="24"/>
          <w:szCs w:val="24"/>
        </w:rPr>
        <w:t>i</w:t>
      </w:r>
      <w:proofErr w:type="spellEnd"/>
      <w:r w:rsidRPr="00EA2985">
        <w:rPr>
          <w:rFonts w:ascii="Times New Roman" w:eastAsiaTheme="minorEastAsia" w:hAnsi="Times New Roman" w:cs="Times New Roman"/>
          <w:sz w:val="24"/>
          <w:szCs w:val="24"/>
        </w:rPr>
        <w:t xml:space="preserve"> at time </w:t>
      </w:r>
      <w:r w:rsidRPr="00EA2985">
        <w:rPr>
          <w:rFonts w:ascii="Times New Roman" w:eastAsiaTheme="minorEastAsia" w:hAnsi="Times New Roman" w:cs="Times New Roman"/>
          <w:i/>
          <w:iCs/>
          <w:sz w:val="24"/>
          <w:szCs w:val="24"/>
        </w:rPr>
        <w:t>t1</w:t>
      </w:r>
      <w:r w:rsidRPr="00EA2985">
        <w:rPr>
          <w:rFonts w:ascii="Times New Roman" w:eastAsiaTheme="minorEastAsia" w:hAnsi="Times New Roman" w:cs="Times New Roman"/>
          <w:sz w:val="24"/>
          <w:szCs w:val="24"/>
        </w:rPr>
        <w:t xml:space="preserve">, crown ratio of tree </w:t>
      </w:r>
      <w:r w:rsidRPr="00EA2985">
        <w:rPr>
          <w:rFonts w:ascii="Times New Roman" w:eastAsiaTheme="minorEastAsia" w:hAnsi="Times New Roman" w:cs="Times New Roman"/>
          <w:i/>
          <w:iCs/>
          <w:sz w:val="24"/>
          <w:szCs w:val="24"/>
        </w:rPr>
        <w:t>I</w:t>
      </w:r>
      <w:r w:rsidRPr="00EA2985">
        <w:rPr>
          <w:rFonts w:ascii="Times New Roman" w:eastAsiaTheme="minorEastAsia" w:hAnsi="Times New Roman" w:cs="Times New Roman"/>
          <w:sz w:val="24"/>
          <w:szCs w:val="24"/>
        </w:rPr>
        <w:t xml:space="preserve"> at time </w:t>
      </w:r>
      <w:r w:rsidRPr="00EA2985">
        <w:rPr>
          <w:rFonts w:ascii="Times New Roman" w:eastAsiaTheme="minorEastAsia" w:hAnsi="Times New Roman" w:cs="Times New Roman"/>
          <w:i/>
          <w:iCs/>
          <w:sz w:val="24"/>
          <w:szCs w:val="24"/>
        </w:rPr>
        <w:t>t1</w:t>
      </w:r>
      <w:r w:rsidRPr="00EA2985">
        <w:rPr>
          <w:rFonts w:ascii="Times New Roman" w:eastAsiaTheme="minorEastAsia" w:hAnsi="Times New Roman" w:cs="Times New Roman"/>
          <w:sz w:val="24"/>
          <w:szCs w:val="24"/>
        </w:rPr>
        <w:t xml:space="preserve">, and the damage status of tree </w:t>
      </w:r>
      <w:proofErr w:type="spellStart"/>
      <w:r w:rsidRPr="00EA2985">
        <w:rPr>
          <w:rFonts w:ascii="Times New Roman" w:eastAsiaTheme="minorEastAsia" w:hAnsi="Times New Roman" w:cs="Times New Roman"/>
          <w:i/>
          <w:iCs/>
          <w:sz w:val="24"/>
          <w:szCs w:val="24"/>
        </w:rPr>
        <w:t>i</w:t>
      </w:r>
      <w:proofErr w:type="spellEnd"/>
      <w:r w:rsidRPr="00EA2985">
        <w:rPr>
          <w:rFonts w:ascii="Times New Roman" w:eastAsiaTheme="minorEastAsia" w:hAnsi="Times New Roman" w:cs="Times New Roman"/>
          <w:sz w:val="24"/>
          <w:szCs w:val="24"/>
        </w:rPr>
        <w:t xml:space="preserve"> at time </w:t>
      </w:r>
      <w:r w:rsidRPr="00EA2985">
        <w:rPr>
          <w:rFonts w:ascii="Times New Roman" w:eastAsiaTheme="minorEastAsia" w:hAnsi="Times New Roman" w:cs="Times New Roman"/>
          <w:i/>
          <w:iCs/>
          <w:sz w:val="24"/>
          <w:szCs w:val="24"/>
        </w:rPr>
        <w:t>t1</w:t>
      </w:r>
      <w:r w:rsidRPr="00EA2985">
        <w:rPr>
          <w:rFonts w:ascii="Times New Roman" w:eastAsiaTheme="minorEastAsia" w:hAnsi="Times New Roman" w:cs="Times New Roman"/>
          <w:sz w:val="24"/>
          <w:szCs w:val="24"/>
        </w:rPr>
        <w:t xml:space="preserve">. Damage status was coded as 0 if the tree was undamaged, and 1 if any fire, insect, or disease damage was recorded. Plot-level predictors included climate </w:t>
      </w:r>
      <w:proofErr w:type="spellStart"/>
      <w:r w:rsidRPr="00EA2985">
        <w:rPr>
          <w:rFonts w:ascii="Times New Roman" w:eastAsiaTheme="minorEastAsia" w:hAnsi="Times New Roman" w:cs="Times New Roman"/>
          <w:sz w:val="24"/>
          <w:szCs w:val="24"/>
        </w:rPr>
        <w:t>normals</w:t>
      </w:r>
      <w:proofErr w:type="spellEnd"/>
      <w:r w:rsidRPr="00EA2985">
        <w:rPr>
          <w:rFonts w:ascii="Times New Roman" w:eastAsiaTheme="minorEastAsia" w:hAnsi="Times New Roman" w:cs="Times New Roman"/>
          <w:sz w:val="24"/>
          <w:szCs w:val="24"/>
        </w:rPr>
        <w:t xml:space="preserve"> </w:t>
      </w:r>
      <w:r w:rsidRPr="00EA2985">
        <w:rPr>
          <w:rFonts w:ascii="Times New Roman" w:eastAsiaTheme="minorEastAsia" w:hAnsi="Times New Roman" w:cs="Times New Roman"/>
          <w:i/>
          <w:iCs/>
          <w:sz w:val="24"/>
          <w:szCs w:val="24"/>
        </w:rPr>
        <w:t xml:space="preserve">CN </w:t>
      </w:r>
      <w:r w:rsidRPr="00EA2985">
        <w:rPr>
          <w:rFonts w:ascii="Times New Roman" w:eastAsiaTheme="minorEastAsia" w:hAnsi="Times New Roman" w:cs="Times New Roman"/>
          <w:sz w:val="24"/>
          <w:szCs w:val="24"/>
        </w:rPr>
        <w:t xml:space="preserve">between 1980 and 2010 (the time period corresponding to plot establishment), recent climate anomalies </w:t>
      </w:r>
      <w:r w:rsidRPr="00EA2985">
        <w:rPr>
          <w:rFonts w:ascii="Times New Roman" w:eastAsiaTheme="minorEastAsia" w:hAnsi="Times New Roman" w:cs="Times New Roman"/>
          <w:i/>
          <w:iCs/>
          <w:sz w:val="24"/>
          <w:szCs w:val="24"/>
        </w:rPr>
        <w:t>CA</w:t>
      </w:r>
      <w:r w:rsidRPr="00EA2985">
        <w:rPr>
          <w:rFonts w:ascii="Times New Roman" w:eastAsiaTheme="minorEastAsia" w:hAnsi="Times New Roman" w:cs="Times New Roman"/>
          <w:sz w:val="24"/>
          <w:szCs w:val="24"/>
        </w:rPr>
        <w:t xml:space="preserve"> observed between time </w:t>
      </w:r>
      <w:r w:rsidRPr="00EA2985">
        <w:rPr>
          <w:rFonts w:ascii="Times New Roman" w:eastAsiaTheme="minorEastAsia" w:hAnsi="Times New Roman" w:cs="Times New Roman"/>
          <w:i/>
          <w:iCs/>
          <w:sz w:val="24"/>
          <w:szCs w:val="24"/>
        </w:rPr>
        <w:t xml:space="preserve">t1 </w:t>
      </w:r>
      <w:r w:rsidRPr="00EA2985">
        <w:rPr>
          <w:rFonts w:ascii="Times New Roman" w:eastAsiaTheme="minorEastAsia" w:hAnsi="Times New Roman" w:cs="Times New Roman"/>
          <w:sz w:val="24"/>
          <w:szCs w:val="24"/>
        </w:rPr>
        <w:t xml:space="preserve">and time </w:t>
      </w:r>
      <w:r w:rsidRPr="00EA2985">
        <w:rPr>
          <w:rFonts w:ascii="Times New Roman" w:eastAsiaTheme="minorEastAsia" w:hAnsi="Times New Roman" w:cs="Times New Roman"/>
          <w:i/>
          <w:iCs/>
          <w:sz w:val="24"/>
          <w:szCs w:val="24"/>
        </w:rPr>
        <w:t>t2,</w:t>
      </w:r>
      <w:r w:rsidRPr="00EA2985">
        <w:rPr>
          <w:rFonts w:ascii="Times New Roman" w:eastAsiaTheme="minorEastAsia" w:hAnsi="Times New Roman" w:cs="Times New Roman"/>
          <w:sz w:val="24"/>
          <w:szCs w:val="24"/>
        </w:rPr>
        <w:t xml:space="preserve"> and interactions between normal and anomalies. The index </w:t>
      </w:r>
      <w:r w:rsidRPr="00EA2985">
        <w:rPr>
          <w:rFonts w:ascii="Times New Roman" w:eastAsiaTheme="minorEastAsia" w:hAnsi="Times New Roman" w:cs="Times New Roman"/>
          <w:i/>
          <w:iCs/>
          <w:sz w:val="24"/>
          <w:szCs w:val="24"/>
        </w:rPr>
        <w:t>j</w:t>
      </w:r>
      <w:r w:rsidRPr="00EA2985">
        <w:rPr>
          <w:rFonts w:ascii="Times New Roman" w:eastAsiaTheme="minorEastAsia" w:hAnsi="Times New Roman" w:cs="Times New Roman"/>
          <w:sz w:val="24"/>
          <w:szCs w:val="24"/>
        </w:rPr>
        <w:t xml:space="preserve"> </w:t>
      </w:r>
      <w:r w:rsidRPr="00EA2985">
        <w:rPr>
          <w:rFonts w:ascii="Times New Roman" w:eastAsiaTheme="minorEastAsia" w:hAnsi="Times New Roman" w:cs="Times New Roman"/>
          <w:sz w:val="24"/>
          <w:szCs w:val="24"/>
        </w:rPr>
        <w:lastRenderedPageBreak/>
        <w:t xml:space="preserve">indicates the climate normal variable (mean annual temperature or mean annual precipitation), whereas the index </w:t>
      </w:r>
      <w:r w:rsidRPr="00EA2985">
        <w:rPr>
          <w:rFonts w:ascii="Times New Roman" w:eastAsiaTheme="minorEastAsia" w:hAnsi="Times New Roman" w:cs="Times New Roman"/>
          <w:i/>
          <w:iCs/>
          <w:sz w:val="24"/>
          <w:szCs w:val="24"/>
        </w:rPr>
        <w:t>k</w:t>
      </w:r>
      <w:r w:rsidRPr="00EA2985">
        <w:rPr>
          <w:rFonts w:ascii="Times New Roman" w:eastAsiaTheme="minorEastAsia" w:hAnsi="Times New Roman" w:cs="Times New Roman"/>
          <w:sz w:val="24"/>
          <w:szCs w:val="24"/>
        </w:rPr>
        <w:t xml:space="preserve"> indicates the climate anomaly variable (mean annual temperature, mean annual precipitation, or climatic moisture deficit). Ecoregion-level predictors include the proportion of spruce-fir forest in each ecoregion impacted by fire mortality </w:t>
      </w:r>
      <w:r w:rsidRPr="00EA2985">
        <w:rPr>
          <w:rFonts w:ascii="Times New Roman" w:eastAsiaTheme="minorEastAsia" w:hAnsi="Times New Roman" w:cs="Times New Roman"/>
          <w:i/>
          <w:iCs/>
          <w:sz w:val="24"/>
          <w:szCs w:val="24"/>
        </w:rPr>
        <w:t>AF</w:t>
      </w:r>
      <w:r w:rsidRPr="00EA2985">
        <w:rPr>
          <w:rFonts w:ascii="Times New Roman" w:eastAsiaTheme="minorEastAsia" w:hAnsi="Times New Roman" w:cs="Times New Roman"/>
          <w:sz w:val="24"/>
          <w:szCs w:val="24"/>
        </w:rPr>
        <w:t xml:space="preserve"> or biological disturbance agent mortality </w:t>
      </w:r>
      <w:r w:rsidRPr="00EA2985">
        <w:rPr>
          <w:rFonts w:ascii="Times New Roman" w:eastAsiaTheme="minorEastAsia" w:hAnsi="Times New Roman" w:cs="Times New Roman"/>
          <w:i/>
          <w:iCs/>
          <w:sz w:val="24"/>
          <w:szCs w:val="24"/>
        </w:rPr>
        <w:t>AB</w:t>
      </w:r>
      <w:r w:rsidRPr="00EA2985">
        <w:rPr>
          <w:rFonts w:ascii="Times New Roman" w:eastAsiaTheme="minorEastAsia" w:hAnsi="Times New Roman" w:cs="Times New Roman"/>
          <w:sz w:val="24"/>
          <w:szCs w:val="24"/>
        </w:rPr>
        <w:t xml:space="preserve"> between time</w:t>
      </w:r>
      <w:r w:rsidRPr="00EA2985">
        <w:rPr>
          <w:rFonts w:ascii="Times New Roman" w:eastAsiaTheme="minorEastAsia" w:hAnsi="Times New Roman" w:cs="Times New Roman"/>
          <w:i/>
          <w:iCs/>
          <w:sz w:val="24"/>
          <w:szCs w:val="24"/>
        </w:rPr>
        <w:t xml:space="preserve"> t1</w:t>
      </w:r>
      <w:r w:rsidRPr="00EA2985">
        <w:rPr>
          <w:rFonts w:ascii="Times New Roman" w:eastAsiaTheme="minorEastAsia" w:hAnsi="Times New Roman" w:cs="Times New Roman"/>
          <w:sz w:val="24"/>
          <w:szCs w:val="24"/>
        </w:rPr>
        <w:t xml:space="preserve"> and time </w:t>
      </w:r>
      <w:r w:rsidRPr="00EA2985">
        <w:rPr>
          <w:rFonts w:ascii="Times New Roman" w:eastAsiaTheme="minorEastAsia" w:hAnsi="Times New Roman" w:cs="Times New Roman"/>
          <w:i/>
          <w:iCs/>
          <w:sz w:val="24"/>
          <w:szCs w:val="24"/>
        </w:rPr>
        <w:t>t2</w:t>
      </w:r>
      <w:r w:rsidRPr="00EA2985">
        <w:rPr>
          <w:rFonts w:ascii="Times New Roman" w:eastAsiaTheme="minorEastAsia" w:hAnsi="Times New Roman" w:cs="Times New Roman"/>
          <w:sz w:val="24"/>
          <w:szCs w:val="24"/>
        </w:rPr>
        <w:t xml:space="preserve">. The model also included selected cross-scale interactions, namely between tree size </w:t>
      </w:r>
      <w:r w:rsidRPr="00EA2985">
        <w:rPr>
          <w:rFonts w:ascii="Times New Roman" w:eastAsiaTheme="minorEastAsia" w:hAnsi="Times New Roman" w:cs="Times New Roman"/>
          <w:i/>
          <w:iCs/>
          <w:sz w:val="24"/>
          <w:szCs w:val="24"/>
        </w:rPr>
        <w:t>DIA,</w:t>
      </w:r>
      <w:r w:rsidRPr="00EA2985">
        <w:rPr>
          <w:rFonts w:ascii="Times New Roman" w:eastAsiaTheme="minorEastAsia" w:hAnsi="Times New Roman" w:cs="Times New Roman"/>
          <w:sz w:val="24"/>
          <w:szCs w:val="24"/>
        </w:rPr>
        <w:t xml:space="preserve"> climate anomalies </w:t>
      </w:r>
      <w:r w:rsidRPr="00EA2985">
        <w:rPr>
          <w:rFonts w:ascii="Times New Roman" w:eastAsiaTheme="minorEastAsia" w:hAnsi="Times New Roman" w:cs="Times New Roman"/>
          <w:i/>
          <w:iCs/>
          <w:sz w:val="24"/>
          <w:szCs w:val="24"/>
        </w:rPr>
        <w:t>CA</w:t>
      </w:r>
      <w:r w:rsidRPr="00EA2985">
        <w:rPr>
          <w:rFonts w:ascii="Times New Roman" w:eastAsiaTheme="minorEastAsia" w:hAnsi="Times New Roman" w:cs="Times New Roman"/>
          <w:sz w:val="24"/>
          <w:szCs w:val="24"/>
        </w:rPr>
        <w:t xml:space="preserve">, and disturbed area </w:t>
      </w:r>
      <w:r w:rsidRPr="00EA2985">
        <w:rPr>
          <w:rFonts w:ascii="Times New Roman" w:eastAsiaTheme="minorEastAsia" w:hAnsi="Times New Roman" w:cs="Times New Roman"/>
          <w:i/>
          <w:iCs/>
          <w:sz w:val="24"/>
          <w:szCs w:val="24"/>
        </w:rPr>
        <w:t>AF</w:t>
      </w:r>
      <w:r w:rsidRPr="00EA2985">
        <w:rPr>
          <w:rFonts w:ascii="Times New Roman" w:eastAsiaTheme="minorEastAsia" w:hAnsi="Times New Roman" w:cs="Times New Roman"/>
          <w:sz w:val="24"/>
          <w:szCs w:val="24"/>
        </w:rPr>
        <w:t xml:space="preserve"> and </w:t>
      </w:r>
      <w:r w:rsidRPr="00EA2985">
        <w:rPr>
          <w:rFonts w:ascii="Times New Roman" w:eastAsiaTheme="minorEastAsia" w:hAnsi="Times New Roman" w:cs="Times New Roman"/>
          <w:i/>
          <w:iCs/>
          <w:sz w:val="24"/>
          <w:szCs w:val="24"/>
        </w:rPr>
        <w:t>AB</w:t>
      </w:r>
      <w:r w:rsidRPr="00EA2985">
        <w:rPr>
          <w:rFonts w:ascii="Times New Roman" w:eastAsiaTheme="minorEastAsia" w:hAnsi="Times New Roman" w:cs="Times New Roman"/>
          <w:sz w:val="24"/>
          <w:szCs w:val="24"/>
        </w:rPr>
        <w:t>.</w:t>
      </w:r>
    </w:p>
    <w:p w14:paraId="4558EC35" w14:textId="516BAC9E" w:rsidR="005A713D" w:rsidRPr="00EA2985" w:rsidRDefault="005A713D" w:rsidP="00E25466">
      <w:pPr>
        <w:ind w:left="720" w:hanging="720"/>
        <w:rPr>
          <w:rFonts w:ascii="Times New Roman" w:hAnsi="Times New Roman" w:cs="Times New Roman"/>
          <w:sz w:val="24"/>
          <w:szCs w:val="24"/>
        </w:rPr>
      </w:pPr>
    </w:p>
    <w:p w14:paraId="218C7510" w14:textId="10A8F469" w:rsidR="00B310F9" w:rsidRPr="00EA2985" w:rsidRDefault="00B310F9" w:rsidP="00E25466">
      <w:pPr>
        <w:ind w:left="720" w:hanging="720"/>
        <w:rPr>
          <w:rFonts w:ascii="Times New Roman" w:hAnsi="Times New Roman" w:cs="Times New Roman"/>
          <w:sz w:val="24"/>
          <w:szCs w:val="24"/>
        </w:rPr>
      </w:pPr>
      <w:r w:rsidRPr="00EA2985">
        <w:rPr>
          <w:rFonts w:ascii="Times New Roman" w:hAnsi="Times New Roman" w:cs="Times New Roman"/>
          <w:sz w:val="24"/>
          <w:szCs w:val="24"/>
        </w:rPr>
        <w:tab/>
      </w:r>
      <w:r w:rsidR="00EA2985" w:rsidRPr="00EA2985">
        <w:rPr>
          <w:rFonts w:ascii="Times New Roman" w:hAnsi="Times New Roman" w:cs="Times New Roman"/>
          <w:sz w:val="24"/>
          <w:szCs w:val="24"/>
          <w:u w:val="single"/>
        </w:rPr>
        <w:t>Recruitment</w:t>
      </w:r>
      <w:r w:rsidRPr="00EA2985">
        <w:rPr>
          <w:rFonts w:ascii="Times New Roman" w:hAnsi="Times New Roman" w:cs="Times New Roman"/>
          <w:sz w:val="24"/>
          <w:szCs w:val="24"/>
          <w:u w:val="single"/>
        </w:rPr>
        <w:t xml:space="preserve"> model</w:t>
      </w:r>
    </w:p>
    <w:p w14:paraId="00545F66" w14:textId="05666248" w:rsidR="00B310F9" w:rsidRPr="00EA2985" w:rsidRDefault="00B310F9" w:rsidP="00E25466">
      <w:pPr>
        <w:ind w:left="720" w:hanging="720"/>
        <w:rPr>
          <w:rFonts w:ascii="Times New Roman" w:hAnsi="Times New Roman" w:cs="Times New Roman"/>
          <w:sz w:val="24"/>
          <w:szCs w:val="24"/>
        </w:rPr>
      </w:pPr>
      <w:r w:rsidRPr="00EA2985">
        <w:rPr>
          <w:rFonts w:ascii="Times New Roman" w:hAnsi="Times New Roman" w:cs="Times New Roman"/>
          <w:sz w:val="24"/>
          <w:szCs w:val="24"/>
        </w:rPr>
        <w:tab/>
      </w:r>
      <w:r w:rsidR="0092425C" w:rsidRPr="00EA2985">
        <w:rPr>
          <w:rFonts w:ascii="Times New Roman" w:hAnsi="Times New Roman" w:cs="Times New Roman"/>
          <w:sz w:val="24"/>
          <w:szCs w:val="24"/>
        </w:rPr>
        <w:t xml:space="preserve"> </w:t>
      </w:r>
    </w:p>
    <w:p w14:paraId="0B0BFD6F" w14:textId="77777777" w:rsidR="00EA2985" w:rsidRPr="00EA2985" w:rsidRDefault="00EA2985" w:rsidP="00E25466">
      <w:pPr>
        <w:ind w:left="720" w:hanging="720"/>
        <w:rPr>
          <w:rFonts w:ascii="Times New Roman" w:hAnsi="Times New Roman" w:cs="Times New Roman"/>
          <w:sz w:val="24"/>
          <w:szCs w:val="24"/>
        </w:rPr>
      </w:pPr>
    </w:p>
    <w:p w14:paraId="1BAC2D3B" w14:textId="2A714415" w:rsidR="00EA2985" w:rsidRPr="00EA2985" w:rsidRDefault="00EA2985" w:rsidP="00EA2985">
      <w:pPr>
        <w:ind w:left="720"/>
        <w:rPr>
          <w:rFonts w:ascii="Times New Roman" w:hAnsi="Times New Roman" w:cs="Times New Roman"/>
          <w:sz w:val="24"/>
          <w:szCs w:val="24"/>
          <w:u w:val="single"/>
        </w:rPr>
      </w:pPr>
      <w:r w:rsidRPr="00EA2985">
        <w:rPr>
          <w:rFonts w:ascii="Times New Roman" w:hAnsi="Times New Roman" w:cs="Times New Roman"/>
          <w:sz w:val="24"/>
          <w:szCs w:val="24"/>
          <w:u w:val="single"/>
        </w:rPr>
        <w:t>Regeneration model</w:t>
      </w:r>
    </w:p>
    <w:p w14:paraId="0ED0345B" w14:textId="43D5171C" w:rsidR="00EA2985" w:rsidRPr="00EA2985" w:rsidRDefault="00EA2985" w:rsidP="00EA2985">
      <w:pPr>
        <w:ind w:left="720"/>
        <w:rPr>
          <w:rFonts w:ascii="Times New Roman" w:hAnsi="Times New Roman" w:cs="Times New Roman"/>
          <w:sz w:val="24"/>
          <w:szCs w:val="24"/>
        </w:rPr>
      </w:pPr>
      <w:r w:rsidRPr="00EA2985">
        <w:rPr>
          <w:rFonts w:ascii="Times New Roman" w:hAnsi="Times New Roman" w:cs="Times New Roman"/>
          <w:sz w:val="24"/>
          <w:szCs w:val="24"/>
        </w:rPr>
        <w:t>Modeled regeneration as the probability of seedling presence (from SEED table) at the plot level during the most recent inventory period, as a function of plot and landscape-level predictors. Plot-level predictors include climate normal and recent anomalies, estimated fire severity, BDA severity, slope, aspect, elevation. Landscape-level predictors are the proportion of ecoregion impacted by fire or BDA. We again built a binomial GLMM in a Bayesian framework for each species. (build out equation).</w:t>
      </w:r>
    </w:p>
    <w:p w14:paraId="3287CFD6" w14:textId="77777777" w:rsidR="00EA2985" w:rsidRPr="00EA2985" w:rsidRDefault="00EA2985" w:rsidP="00EA2985">
      <w:pPr>
        <w:ind w:left="720"/>
        <w:rPr>
          <w:rFonts w:ascii="Times New Roman" w:hAnsi="Times New Roman" w:cs="Times New Roman"/>
          <w:sz w:val="24"/>
          <w:szCs w:val="24"/>
        </w:rPr>
      </w:pPr>
    </w:p>
    <w:p w14:paraId="04A8E460" w14:textId="77777777" w:rsidR="00EA2985" w:rsidRPr="00EA2985" w:rsidRDefault="00EA2985" w:rsidP="00EA2985">
      <w:pPr>
        <w:ind w:left="720"/>
        <w:rPr>
          <w:rFonts w:ascii="Times New Roman" w:hAnsi="Times New Roman" w:cs="Times New Roman"/>
          <w:sz w:val="24"/>
          <w:szCs w:val="24"/>
        </w:rPr>
      </w:pPr>
    </w:p>
    <w:p w14:paraId="46E29836" w14:textId="72CF44BC" w:rsidR="0092425C" w:rsidRPr="00EA2985" w:rsidRDefault="0092425C" w:rsidP="0092425C">
      <w:pPr>
        <w:rPr>
          <w:rFonts w:ascii="Times New Roman" w:hAnsi="Times New Roman" w:cs="Times New Roman"/>
          <w:sz w:val="24"/>
          <w:szCs w:val="24"/>
          <w:u w:val="single"/>
        </w:rPr>
      </w:pPr>
      <w:r w:rsidRPr="00EA2985">
        <w:rPr>
          <w:rFonts w:ascii="Times New Roman" w:hAnsi="Times New Roman" w:cs="Times New Roman"/>
          <w:sz w:val="24"/>
          <w:szCs w:val="24"/>
        </w:rPr>
        <w:tab/>
      </w:r>
      <w:r w:rsidRPr="00EA2985">
        <w:rPr>
          <w:rFonts w:ascii="Times New Roman" w:hAnsi="Times New Roman" w:cs="Times New Roman"/>
          <w:sz w:val="24"/>
          <w:szCs w:val="24"/>
          <w:u w:val="single"/>
        </w:rPr>
        <w:t>Community trajectory categorization</w:t>
      </w:r>
    </w:p>
    <w:p w14:paraId="78460602" w14:textId="1C10EF3D" w:rsidR="0092425C" w:rsidRPr="00EA2985" w:rsidRDefault="0092425C" w:rsidP="00B84865">
      <w:pPr>
        <w:ind w:left="720"/>
        <w:rPr>
          <w:rFonts w:ascii="Times New Roman" w:hAnsi="Times New Roman" w:cs="Times New Roman"/>
          <w:sz w:val="24"/>
          <w:szCs w:val="24"/>
        </w:rPr>
      </w:pPr>
      <w:r w:rsidRPr="00EA2985">
        <w:rPr>
          <w:rFonts w:ascii="Times New Roman" w:hAnsi="Times New Roman" w:cs="Times New Roman"/>
          <w:sz w:val="24"/>
          <w:szCs w:val="24"/>
        </w:rPr>
        <w:t xml:space="preserve">Potentially another part here saying we took model-predicted mortality and regen, aggregated them to the ecoregion subsection level, and compared them across community trajectory categories to get a sense </w:t>
      </w:r>
      <w:r w:rsidR="00B84865" w:rsidRPr="00EA2985">
        <w:rPr>
          <w:rFonts w:ascii="Times New Roman" w:hAnsi="Times New Roman" w:cs="Times New Roman"/>
          <w:sz w:val="24"/>
          <w:szCs w:val="24"/>
        </w:rPr>
        <w:t>of what combinations of demographic rates area associated with coexistence.</w:t>
      </w:r>
    </w:p>
    <w:p w14:paraId="5B0F4045" w14:textId="51581345" w:rsidR="00EA2985" w:rsidRDefault="00E25466" w:rsidP="00E25466">
      <w:pPr>
        <w:ind w:left="720" w:hanging="720"/>
        <w:rPr>
          <w:rFonts w:ascii="Times New Roman" w:hAnsi="Times New Roman" w:cs="Times New Roman"/>
          <w:i/>
          <w:iCs/>
          <w:sz w:val="24"/>
          <w:szCs w:val="24"/>
        </w:rPr>
      </w:pPr>
      <w:r w:rsidRPr="00EA2985">
        <w:rPr>
          <w:rFonts w:ascii="Times New Roman" w:hAnsi="Times New Roman" w:cs="Times New Roman"/>
          <w:i/>
          <w:iCs/>
          <w:sz w:val="24"/>
          <w:szCs w:val="24"/>
        </w:rPr>
        <w:t>Future Projections</w:t>
      </w:r>
    </w:p>
    <w:p w14:paraId="3AE823F8" w14:textId="77777777" w:rsidR="00EA2985" w:rsidRDefault="00EA2985">
      <w:pPr>
        <w:rPr>
          <w:rFonts w:ascii="Times New Roman" w:hAnsi="Times New Roman" w:cs="Times New Roman"/>
          <w:i/>
          <w:iCs/>
          <w:sz w:val="24"/>
          <w:szCs w:val="24"/>
        </w:rPr>
      </w:pPr>
      <w:r>
        <w:rPr>
          <w:rFonts w:ascii="Times New Roman" w:hAnsi="Times New Roman" w:cs="Times New Roman"/>
          <w:i/>
          <w:iCs/>
          <w:sz w:val="24"/>
          <w:szCs w:val="24"/>
        </w:rPr>
        <w:br w:type="page"/>
      </w:r>
    </w:p>
    <w:p w14:paraId="76B8BC21" w14:textId="77777777" w:rsidR="00EA2985" w:rsidRPr="00A154A6" w:rsidRDefault="00EA2985" w:rsidP="00EA2985">
      <w:pPr>
        <w:rPr>
          <w:rFonts w:ascii="Times New Roman" w:hAnsi="Times New Roman" w:cs="Times New Roman"/>
        </w:rPr>
      </w:pPr>
      <w:r>
        <w:rPr>
          <w:rFonts w:ascii="Times New Roman" w:hAnsi="Times New Roman" w:cs="Times New Roman"/>
          <w:b/>
          <w:bCs/>
        </w:rPr>
        <w:lastRenderedPageBreak/>
        <w:t>Preliminary results</w:t>
      </w:r>
    </w:p>
    <w:p w14:paraId="2816326E" w14:textId="77777777" w:rsidR="00EA2985" w:rsidRPr="001D62A7" w:rsidRDefault="00EA2985" w:rsidP="00EA2985">
      <w:pPr>
        <w:rPr>
          <w:rFonts w:ascii="Times New Roman" w:hAnsi="Times New Roman" w:cs="Times New Roman"/>
          <w:i/>
          <w:iCs/>
        </w:rPr>
      </w:pPr>
      <w:r>
        <w:rPr>
          <w:rFonts w:ascii="Times New Roman" w:hAnsi="Times New Roman" w:cs="Times New Roman"/>
          <w:i/>
          <w:iCs/>
        </w:rPr>
        <w:t>Population estimation and categorization</w:t>
      </w:r>
    </w:p>
    <w:p w14:paraId="769963EC" w14:textId="77777777" w:rsidR="00EA2985" w:rsidRPr="00090D92" w:rsidRDefault="00EA2985" w:rsidP="00EA2985">
      <w:pPr>
        <w:rPr>
          <w:rFonts w:ascii="Times New Roman" w:hAnsi="Times New Roman" w:cs="Times New Roman"/>
        </w:rPr>
      </w:pPr>
      <w:r>
        <w:rPr>
          <w:rFonts w:ascii="Times New Roman" w:hAnsi="Times New Roman" w:cs="Times New Roman"/>
        </w:rPr>
        <w:tab/>
        <w:t xml:space="preserve">Figure 1 shows the conceptual framework for comparing population trajectories of multiple coexisting species, based on basal area and stem density trends. I’ve created four bins of possibilities with respect to the likelihood of future coexistence: (1) </w:t>
      </w:r>
      <w:r>
        <w:rPr>
          <w:rFonts w:ascii="Times New Roman" w:hAnsi="Times New Roman" w:cs="Times New Roman"/>
          <w:i/>
          <w:iCs/>
        </w:rPr>
        <w:t>persistence/resilience</w:t>
      </w:r>
      <w:r>
        <w:rPr>
          <w:rFonts w:ascii="Times New Roman" w:hAnsi="Times New Roman" w:cs="Times New Roman"/>
        </w:rPr>
        <w:t xml:space="preserve"> – both species are either undergoing changes corresponding with normal stand development or are actively increasing in density; (2) </w:t>
      </w:r>
      <w:r>
        <w:rPr>
          <w:rFonts w:ascii="Times New Roman" w:hAnsi="Times New Roman" w:cs="Times New Roman"/>
          <w:i/>
          <w:iCs/>
        </w:rPr>
        <w:t>structural change</w:t>
      </w:r>
      <w:r>
        <w:rPr>
          <w:rFonts w:ascii="Times New Roman" w:hAnsi="Times New Roman" w:cs="Times New Roman"/>
        </w:rPr>
        <w:t xml:space="preserve"> – one or both species have experienced significant turnover of individuals, indicating that future trajectories may depend on post-disturbance recovery and survival of new recruits; (3) </w:t>
      </w:r>
      <w:r>
        <w:rPr>
          <w:rFonts w:ascii="Times New Roman" w:hAnsi="Times New Roman" w:cs="Times New Roman"/>
          <w:i/>
          <w:iCs/>
        </w:rPr>
        <w:t xml:space="preserve">compositional change </w:t>
      </w:r>
      <w:r>
        <w:rPr>
          <w:rFonts w:ascii="Times New Roman" w:hAnsi="Times New Roman" w:cs="Times New Roman"/>
        </w:rPr>
        <w:t>– one species is in decline while the other is either undergoing normal stand development or increasing in density, suggesting that one species will become dominant over the other; and (4)</w:t>
      </w:r>
      <w:r>
        <w:rPr>
          <w:rFonts w:ascii="Times New Roman" w:hAnsi="Times New Roman" w:cs="Times New Roman"/>
          <w:i/>
          <w:iCs/>
        </w:rPr>
        <w:t xml:space="preserve"> replacement</w:t>
      </w:r>
      <w:r>
        <w:rPr>
          <w:rFonts w:ascii="Times New Roman" w:hAnsi="Times New Roman" w:cs="Times New Roman"/>
        </w:rPr>
        <w:t xml:space="preserve"> – indicating that both species are in decline or experiencing significant turnover. </w:t>
      </w:r>
      <w:r w:rsidRPr="00090D92">
        <w:rPr>
          <w:rFonts w:ascii="Times New Roman" w:hAnsi="Times New Roman" w:cs="Times New Roman"/>
          <w:highlight w:val="yellow"/>
        </w:rPr>
        <w:t>Note that ecoregion subsections for which either basal area or stem density trends were statistically indistinguishable from zero (</w:t>
      </w:r>
      <w:r w:rsidRPr="00090D92">
        <w:rPr>
          <w:rFonts w:ascii="Times New Roman" w:hAnsi="Times New Roman" w:cs="Times New Roman"/>
          <w:i/>
          <w:iCs/>
          <w:highlight w:val="yellow"/>
        </w:rPr>
        <w:t>i.e.,</w:t>
      </w:r>
      <w:r w:rsidRPr="00090D92">
        <w:rPr>
          <w:rFonts w:ascii="Times New Roman" w:hAnsi="Times New Roman" w:cs="Times New Roman"/>
          <w:highlight w:val="yellow"/>
        </w:rPr>
        <w:t xml:space="preserve"> sampling error was equal or greater to the magnitude of the estimated change) were treated as though the trend in question was positive.</w:t>
      </w:r>
    </w:p>
    <w:p w14:paraId="759B5D40" w14:textId="77777777" w:rsidR="00EA2985" w:rsidRPr="00BD1467" w:rsidRDefault="00EA2985" w:rsidP="00EA2985">
      <w:pPr>
        <w:rPr>
          <w:rFonts w:ascii="Times New Roman" w:hAnsi="Times New Roman" w:cs="Times New Roman"/>
        </w:rPr>
      </w:pPr>
      <w:r>
        <w:rPr>
          <w:rFonts w:ascii="Times New Roman" w:hAnsi="Times New Roman" w:cs="Times New Roman"/>
        </w:rPr>
        <w:tab/>
        <w:t xml:space="preserve">When we categorize ecoregion subsections using this scheme, as in Figure 2a, we find that 38.4% of the species’ shared distribution falls in the </w:t>
      </w:r>
      <w:r>
        <w:rPr>
          <w:rFonts w:ascii="Times New Roman" w:hAnsi="Times New Roman" w:cs="Times New Roman"/>
          <w:i/>
          <w:iCs/>
        </w:rPr>
        <w:t>persistence/resilience</w:t>
      </w:r>
      <w:r>
        <w:rPr>
          <w:rFonts w:ascii="Times New Roman" w:hAnsi="Times New Roman" w:cs="Times New Roman"/>
        </w:rPr>
        <w:t xml:space="preserve"> category, 13.0% in the </w:t>
      </w:r>
      <w:r>
        <w:rPr>
          <w:rFonts w:ascii="Times New Roman" w:hAnsi="Times New Roman" w:cs="Times New Roman"/>
          <w:i/>
          <w:iCs/>
        </w:rPr>
        <w:t>structural change</w:t>
      </w:r>
      <w:r>
        <w:rPr>
          <w:rFonts w:ascii="Times New Roman" w:hAnsi="Times New Roman" w:cs="Times New Roman"/>
        </w:rPr>
        <w:t xml:space="preserve"> category, 38.6% in </w:t>
      </w:r>
      <w:r>
        <w:rPr>
          <w:rFonts w:ascii="Times New Roman" w:hAnsi="Times New Roman" w:cs="Times New Roman"/>
          <w:i/>
          <w:iCs/>
        </w:rPr>
        <w:t xml:space="preserve">compositional change, </w:t>
      </w:r>
      <w:r>
        <w:rPr>
          <w:rFonts w:ascii="Times New Roman" w:hAnsi="Times New Roman" w:cs="Times New Roman"/>
        </w:rPr>
        <w:t xml:space="preserve">and 10.1% in </w:t>
      </w:r>
      <w:r>
        <w:rPr>
          <w:rFonts w:ascii="Times New Roman" w:hAnsi="Times New Roman" w:cs="Times New Roman"/>
          <w:i/>
          <w:iCs/>
        </w:rPr>
        <w:t>replacement</w:t>
      </w:r>
      <w:r>
        <w:rPr>
          <w:rFonts w:ascii="Times New Roman" w:hAnsi="Times New Roman" w:cs="Times New Roman"/>
        </w:rPr>
        <w:t xml:space="preserve">. This suggests that, based on population trends estimated between 2000-2009 and 2010-2019 inventory periods, it is unlikely that subalpine fir-Engelmann spruce systems will persist across ~50% of their current distribution. The major sources of mortality for each species differ between categories, shown in Figure 2b. Notably, insect mortality dominates across all categories except </w:t>
      </w:r>
      <w:r>
        <w:rPr>
          <w:rFonts w:ascii="Times New Roman" w:hAnsi="Times New Roman" w:cs="Times New Roman"/>
          <w:i/>
          <w:iCs/>
        </w:rPr>
        <w:t>persistence/resilience</w:t>
      </w:r>
      <w:r>
        <w:rPr>
          <w:rFonts w:ascii="Times New Roman" w:hAnsi="Times New Roman" w:cs="Times New Roman"/>
        </w:rPr>
        <w:t xml:space="preserve"> for Engelmann spruce, probably reflecting severe spruce beetle outbreaks in parts of the species’ range. Subalpine fir mortality from insects and diseases is fairly consistent across categories, ranging from 2-3 trees per hectare for diseases and 1-3 trees per hectare for insects. Fire mortality was more variable, however, and was the dominant mortality agent for subalpine fir in the </w:t>
      </w:r>
      <w:r>
        <w:rPr>
          <w:rFonts w:ascii="Times New Roman" w:hAnsi="Times New Roman" w:cs="Times New Roman"/>
          <w:i/>
          <w:iCs/>
        </w:rPr>
        <w:t xml:space="preserve">compositional change </w:t>
      </w:r>
      <w:r>
        <w:rPr>
          <w:rFonts w:ascii="Times New Roman" w:hAnsi="Times New Roman" w:cs="Times New Roman"/>
        </w:rPr>
        <w:t>and</w:t>
      </w:r>
      <w:r>
        <w:rPr>
          <w:rFonts w:ascii="Times New Roman" w:hAnsi="Times New Roman" w:cs="Times New Roman"/>
          <w:i/>
          <w:iCs/>
        </w:rPr>
        <w:t xml:space="preserve"> replacement</w:t>
      </w:r>
      <w:r>
        <w:rPr>
          <w:rFonts w:ascii="Times New Roman" w:hAnsi="Times New Roman" w:cs="Times New Roman"/>
        </w:rPr>
        <w:t xml:space="preserve"> categories. </w:t>
      </w:r>
    </w:p>
    <w:p w14:paraId="64555EA7" w14:textId="77777777" w:rsidR="00EA2985" w:rsidRDefault="00EA2985" w:rsidP="00EA2985">
      <w:pPr>
        <w:rPr>
          <w:rFonts w:ascii="Times New Roman" w:hAnsi="Times New Roman" w:cs="Times New Roman"/>
        </w:rPr>
      </w:pPr>
    </w:p>
    <w:p w14:paraId="3A1D16FE" w14:textId="77777777" w:rsidR="00EA2985" w:rsidRDefault="00EA2985" w:rsidP="00EA2985">
      <w:pPr>
        <w:rPr>
          <w:rFonts w:ascii="Times New Roman" w:hAnsi="Times New Roman" w:cs="Times New Roman"/>
          <w:iCs/>
        </w:rPr>
      </w:pPr>
      <w:r>
        <w:rPr>
          <w:rFonts w:ascii="Times New Roman" w:hAnsi="Times New Roman" w:cs="Times New Roman"/>
        </w:rPr>
        <w:t xml:space="preserve">Mortality is more evenly distributed between fire, disease, and insect agents for subalpine fir, except in the </w:t>
      </w:r>
      <w:r>
        <w:rPr>
          <w:rFonts w:ascii="Times New Roman" w:hAnsi="Times New Roman" w:cs="Times New Roman"/>
          <w:i/>
        </w:rPr>
        <w:t xml:space="preserve">replacement </w:t>
      </w:r>
      <w:r>
        <w:rPr>
          <w:rFonts w:ascii="Times New Roman" w:hAnsi="Times New Roman" w:cs="Times New Roman"/>
          <w:iCs/>
        </w:rPr>
        <w:t>category, where it seems to be mostly driven by fire. These differences suggest that global change drivers that indirectly cause mortality by acting on these proximate mortality agents may impact the two species differently across their shared distribution.</w:t>
      </w:r>
    </w:p>
    <w:p w14:paraId="0907DE73" w14:textId="77777777" w:rsidR="00EA2985" w:rsidRDefault="00EA2985" w:rsidP="00EA2985">
      <w:pPr>
        <w:rPr>
          <w:rFonts w:ascii="Times New Roman" w:hAnsi="Times New Roman" w:cs="Times New Roman"/>
          <w:i/>
        </w:rPr>
      </w:pPr>
    </w:p>
    <w:p w14:paraId="0DEDA2E5" w14:textId="77777777" w:rsidR="00EA2985" w:rsidRDefault="00EA2985" w:rsidP="00EA2985">
      <w:pPr>
        <w:rPr>
          <w:rFonts w:ascii="Times New Roman" w:hAnsi="Times New Roman" w:cs="Times New Roman"/>
          <w:iCs/>
        </w:rPr>
      </w:pPr>
      <w:commentRangeStart w:id="0"/>
      <w:r>
        <w:rPr>
          <w:rFonts w:ascii="Times New Roman" w:hAnsi="Times New Roman" w:cs="Times New Roman"/>
          <w:i/>
        </w:rPr>
        <w:t>Mortality models</w:t>
      </w:r>
      <w:commentRangeEnd w:id="0"/>
      <w:r w:rsidR="00F96D2A">
        <w:rPr>
          <w:rStyle w:val="CommentReference"/>
        </w:rPr>
        <w:commentReference w:id="0"/>
      </w:r>
    </w:p>
    <w:p w14:paraId="51ADD38C" w14:textId="44977702" w:rsidR="00F96D2A" w:rsidRDefault="00F96D2A" w:rsidP="00EA2985">
      <w:pPr>
        <w:rPr>
          <w:rFonts w:ascii="Times New Roman" w:hAnsi="Times New Roman" w:cs="Times New Roman"/>
          <w:b/>
          <w:bCs/>
          <w:iCs/>
        </w:rPr>
      </w:pPr>
      <w:r>
        <w:rPr>
          <w:rFonts w:ascii="Times New Roman" w:hAnsi="Times New Roman" w:cs="Times New Roman"/>
          <w:iCs/>
        </w:rPr>
        <w:tab/>
      </w:r>
      <w:r>
        <w:rPr>
          <w:rFonts w:ascii="Times New Roman" w:hAnsi="Times New Roman" w:cs="Times New Roman"/>
          <w:b/>
          <w:bCs/>
          <w:iCs/>
        </w:rPr>
        <w:t>Effects</w:t>
      </w:r>
    </w:p>
    <w:p w14:paraId="2F408C63" w14:textId="730EF88C" w:rsidR="00F96D2A" w:rsidRDefault="00F96D2A" w:rsidP="00EA2985">
      <w:pPr>
        <w:rPr>
          <w:rFonts w:ascii="Times New Roman" w:hAnsi="Times New Roman" w:cs="Times New Roman"/>
          <w:iCs/>
        </w:rPr>
      </w:pPr>
      <w:r>
        <w:rPr>
          <w:rFonts w:ascii="Times New Roman" w:hAnsi="Times New Roman" w:cs="Times New Roman"/>
          <w:b/>
          <w:bCs/>
          <w:iCs/>
        </w:rPr>
        <w:tab/>
      </w:r>
      <w:r>
        <w:rPr>
          <w:rFonts w:ascii="Times New Roman" w:hAnsi="Times New Roman" w:cs="Times New Roman"/>
          <w:iCs/>
        </w:rPr>
        <w:t xml:space="preserve">ABLA – negative effect of mean temps on survival but positive effect of temperature anomalies (check interactions between anomalies and refs), super strong negative effect of fire area (with </w:t>
      </w:r>
      <w:proofErr w:type="spellStart"/>
      <w:r>
        <w:rPr>
          <w:rFonts w:ascii="Times New Roman" w:hAnsi="Times New Roman" w:cs="Times New Roman"/>
          <w:iCs/>
        </w:rPr>
        <w:t>anom</w:t>
      </w:r>
      <w:proofErr w:type="spellEnd"/>
      <w:r>
        <w:rPr>
          <w:rFonts w:ascii="Times New Roman" w:hAnsi="Times New Roman" w:cs="Times New Roman"/>
          <w:iCs/>
        </w:rPr>
        <w:t xml:space="preserve"> interactions), moderate tree size effect that interacts with lots of terms significantly</w:t>
      </w:r>
    </w:p>
    <w:p w14:paraId="64810AF3" w14:textId="2F039774" w:rsidR="00F96D2A" w:rsidRDefault="00F96D2A" w:rsidP="00EA2985">
      <w:pPr>
        <w:rPr>
          <w:rFonts w:ascii="Times New Roman" w:hAnsi="Times New Roman" w:cs="Times New Roman"/>
          <w:iCs/>
        </w:rPr>
      </w:pPr>
      <w:r>
        <w:rPr>
          <w:rFonts w:ascii="Times New Roman" w:hAnsi="Times New Roman" w:cs="Times New Roman"/>
          <w:iCs/>
        </w:rPr>
        <w:tab/>
        <w:t xml:space="preserve">PIEN </w:t>
      </w:r>
      <w:r w:rsidR="00C665AA">
        <w:rPr>
          <w:rFonts w:ascii="Times New Roman" w:hAnsi="Times New Roman" w:cs="Times New Roman"/>
          <w:iCs/>
        </w:rPr>
        <w:t>–</w:t>
      </w:r>
      <w:r>
        <w:rPr>
          <w:rFonts w:ascii="Times New Roman" w:hAnsi="Times New Roman" w:cs="Times New Roman"/>
          <w:iCs/>
        </w:rPr>
        <w:t xml:space="preserve"> </w:t>
      </w:r>
      <w:r w:rsidR="00C665AA">
        <w:rPr>
          <w:rFonts w:ascii="Times New Roman" w:hAnsi="Times New Roman" w:cs="Times New Roman"/>
          <w:iCs/>
        </w:rPr>
        <w:t xml:space="preserve">no significant tree size effect! Small/moderate positive effect of temp </w:t>
      </w:r>
      <w:proofErr w:type="spellStart"/>
      <w:r w:rsidR="00C665AA">
        <w:rPr>
          <w:rFonts w:ascii="Times New Roman" w:hAnsi="Times New Roman" w:cs="Times New Roman"/>
          <w:iCs/>
        </w:rPr>
        <w:t>anoms</w:t>
      </w:r>
      <w:proofErr w:type="spellEnd"/>
      <w:r w:rsidR="00C665AA">
        <w:rPr>
          <w:rFonts w:ascii="Times New Roman" w:hAnsi="Times New Roman" w:cs="Times New Roman"/>
          <w:iCs/>
        </w:rPr>
        <w:t xml:space="preserve">, very negative effect of CMD </w:t>
      </w:r>
      <w:proofErr w:type="spellStart"/>
      <w:r w:rsidR="00C665AA">
        <w:rPr>
          <w:rFonts w:ascii="Times New Roman" w:hAnsi="Times New Roman" w:cs="Times New Roman"/>
          <w:iCs/>
        </w:rPr>
        <w:t>anoms</w:t>
      </w:r>
      <w:proofErr w:type="spellEnd"/>
      <w:r w:rsidR="00C665AA">
        <w:rPr>
          <w:rFonts w:ascii="Times New Roman" w:hAnsi="Times New Roman" w:cs="Times New Roman"/>
          <w:iCs/>
        </w:rPr>
        <w:t xml:space="preserve"> (and strong interaction). No effect of MAT reference, moderate neg effect of MAP reference, check interactions with </w:t>
      </w:r>
      <w:proofErr w:type="spellStart"/>
      <w:r w:rsidR="00C665AA">
        <w:rPr>
          <w:rFonts w:ascii="Times New Roman" w:hAnsi="Times New Roman" w:cs="Times New Roman"/>
          <w:iCs/>
        </w:rPr>
        <w:t>anoms</w:t>
      </w:r>
      <w:proofErr w:type="spellEnd"/>
      <w:r w:rsidR="00C665AA">
        <w:rPr>
          <w:rFonts w:ascii="Times New Roman" w:hAnsi="Times New Roman" w:cs="Times New Roman"/>
          <w:iCs/>
        </w:rPr>
        <w:t>. Strong fire area effect. Strong disturbance x anomaly interactions.</w:t>
      </w:r>
    </w:p>
    <w:p w14:paraId="2662A4BA" w14:textId="77777777" w:rsidR="00C665AA" w:rsidRDefault="00C665AA" w:rsidP="00EA2985">
      <w:pPr>
        <w:rPr>
          <w:rFonts w:ascii="Times New Roman" w:hAnsi="Times New Roman" w:cs="Times New Roman"/>
          <w:iCs/>
        </w:rPr>
      </w:pPr>
    </w:p>
    <w:p w14:paraId="53696EE8" w14:textId="734DB4B1" w:rsidR="00C665AA" w:rsidRDefault="00C665AA" w:rsidP="00EA2985">
      <w:pPr>
        <w:rPr>
          <w:rFonts w:ascii="Times New Roman" w:hAnsi="Times New Roman" w:cs="Times New Roman"/>
          <w:iCs/>
        </w:rPr>
      </w:pPr>
      <w:r>
        <w:rPr>
          <w:rFonts w:ascii="Times New Roman" w:hAnsi="Times New Roman" w:cs="Times New Roman"/>
          <w:i/>
        </w:rPr>
        <w:lastRenderedPageBreak/>
        <w:t>Regeneration models</w:t>
      </w:r>
    </w:p>
    <w:p w14:paraId="08182AAF" w14:textId="0C3E474F" w:rsidR="00C665AA" w:rsidRDefault="00C665AA" w:rsidP="00EA2985">
      <w:pPr>
        <w:rPr>
          <w:rFonts w:ascii="Times New Roman" w:hAnsi="Times New Roman" w:cs="Times New Roman"/>
          <w:b/>
          <w:bCs/>
          <w:iCs/>
        </w:rPr>
      </w:pPr>
      <w:r>
        <w:rPr>
          <w:rFonts w:ascii="Times New Roman" w:hAnsi="Times New Roman" w:cs="Times New Roman"/>
          <w:iCs/>
        </w:rPr>
        <w:tab/>
      </w:r>
      <w:r>
        <w:rPr>
          <w:rFonts w:ascii="Times New Roman" w:hAnsi="Times New Roman" w:cs="Times New Roman"/>
          <w:b/>
          <w:bCs/>
          <w:iCs/>
        </w:rPr>
        <w:t>Effects</w:t>
      </w:r>
    </w:p>
    <w:p w14:paraId="2831EC5E" w14:textId="6BA1D2A2" w:rsidR="00C665AA" w:rsidRPr="00C665AA" w:rsidRDefault="00C665AA" w:rsidP="00EA2985">
      <w:pPr>
        <w:rPr>
          <w:rFonts w:ascii="Times New Roman" w:hAnsi="Times New Roman" w:cs="Times New Roman"/>
          <w:iCs/>
        </w:rPr>
      </w:pPr>
      <w:r>
        <w:rPr>
          <w:rFonts w:ascii="Times New Roman" w:hAnsi="Times New Roman" w:cs="Times New Roman"/>
          <w:b/>
          <w:bCs/>
          <w:iCs/>
        </w:rPr>
        <w:tab/>
      </w:r>
      <w:r>
        <w:rPr>
          <w:rFonts w:ascii="Times New Roman" w:hAnsi="Times New Roman" w:cs="Times New Roman"/>
          <w:iCs/>
        </w:rPr>
        <w:t xml:space="preserve">ABLA -- </w:t>
      </w:r>
    </w:p>
    <w:p w14:paraId="7478A7CA" w14:textId="3DB35C4D" w:rsidR="00C665AA" w:rsidRPr="00F96D2A" w:rsidRDefault="002600A2" w:rsidP="00EA2985">
      <w:pPr>
        <w:rPr>
          <w:rFonts w:ascii="Times New Roman" w:hAnsi="Times New Roman" w:cs="Times New Roman"/>
          <w:iCs/>
        </w:rPr>
      </w:pPr>
      <w:r>
        <w:rPr>
          <w:rFonts w:ascii="Times New Roman" w:hAnsi="Times New Roman" w:cs="Times New Roman"/>
          <w:iCs/>
        </w:rPr>
        <w:tab/>
        <w:t xml:space="preserve">PIEN -- </w:t>
      </w:r>
    </w:p>
    <w:p w14:paraId="619DF781" w14:textId="77777777" w:rsidR="00F96D2A" w:rsidRPr="00F96D2A" w:rsidRDefault="00F96D2A" w:rsidP="00EA2985">
      <w:pPr>
        <w:rPr>
          <w:rFonts w:ascii="Times New Roman" w:hAnsi="Times New Roman" w:cs="Times New Roman"/>
          <w:iCs/>
        </w:rPr>
      </w:pPr>
    </w:p>
    <w:p w14:paraId="708ED8BF" w14:textId="77777777" w:rsidR="00EA2985" w:rsidRDefault="00EA2985" w:rsidP="00EA2985">
      <w:pPr>
        <w:rPr>
          <w:rFonts w:ascii="Times New Roman" w:hAnsi="Times New Roman" w:cs="Times New Roman"/>
          <w:iCs/>
        </w:rPr>
      </w:pPr>
      <w:r>
        <w:rPr>
          <w:rFonts w:ascii="Times New Roman" w:hAnsi="Times New Roman" w:cs="Times New Roman"/>
          <w:iCs/>
        </w:rPr>
        <w:tab/>
        <w:t>Mortality and regeneration models are still in development. Mortality models are binomial GLMMs with the response variable being tree status (</w:t>
      </w:r>
      <w:r>
        <w:rPr>
          <w:rFonts w:ascii="Times New Roman" w:hAnsi="Times New Roman" w:cs="Times New Roman"/>
          <w:i/>
        </w:rPr>
        <w:t xml:space="preserve">i.e., </w:t>
      </w:r>
      <w:r>
        <w:rPr>
          <w:rFonts w:ascii="Times New Roman" w:hAnsi="Times New Roman" w:cs="Times New Roman"/>
          <w:iCs/>
        </w:rPr>
        <w:t>alive or dead) at the second plot visit for trees that were alive during the initial inventory (</w:t>
      </w:r>
      <w:r>
        <w:rPr>
          <w:rFonts w:ascii="Times New Roman" w:hAnsi="Times New Roman" w:cs="Times New Roman"/>
          <w:i/>
        </w:rPr>
        <w:t>i.e.,</w:t>
      </w:r>
      <w:r>
        <w:rPr>
          <w:rFonts w:ascii="Times New Roman" w:hAnsi="Times New Roman" w:cs="Times New Roman"/>
          <w:iCs/>
        </w:rPr>
        <w:t xml:space="preserve"> individual probability of survival over a 10-year period). The model incorporates predictors at three levels of organization: tree (tree size, crown ratio, and the presence/absence of insect or disease damage), plot (climate normal and recent anomalies, stand density), and landscape (proportion of ecoregion subsection impacted by fire and biological disturbances); as well as cross-scale interactions (</w:t>
      </w:r>
      <w:r>
        <w:rPr>
          <w:rFonts w:ascii="Times New Roman" w:hAnsi="Times New Roman" w:cs="Times New Roman"/>
          <w:i/>
        </w:rPr>
        <w:t>e.g.,</w:t>
      </w:r>
      <w:r>
        <w:rPr>
          <w:rFonts w:ascii="Times New Roman" w:hAnsi="Times New Roman" w:cs="Times New Roman"/>
          <w:iCs/>
        </w:rPr>
        <w:t xml:space="preserve"> between tree size, climate anomalies, and disturbance) and ecoregion subsection-level random intercepts. I built a separate model for each species, though I also explored joint models that incorporate interactions between species identity and various other predictors, or species-level random effects; ultimately, separate models performed better and are easier to interpret. I’ve been evaluating model performance in a variety of ways – in short, the models evaluate well at larger scales of organization (</w:t>
      </w:r>
      <w:r>
        <w:rPr>
          <w:rFonts w:ascii="Times New Roman" w:hAnsi="Times New Roman" w:cs="Times New Roman"/>
          <w:i/>
        </w:rPr>
        <w:t>e.g.,</w:t>
      </w:r>
      <w:r>
        <w:rPr>
          <w:rFonts w:ascii="Times New Roman" w:hAnsi="Times New Roman" w:cs="Times New Roman"/>
          <w:iCs/>
        </w:rPr>
        <w:t xml:space="preserve"> at ecoregion subsection scales), though differentiation between living and dead trees is more difficult at individual scale. The single best predictor of mortality is whether a plot burned between remeasurements; I opted to omit this from the model in order to make larger-scale predictions without trying to model the probability of fire itself.</w:t>
      </w:r>
    </w:p>
    <w:p w14:paraId="331E0203" w14:textId="77777777" w:rsidR="00EA2985" w:rsidRDefault="00EA2985" w:rsidP="00EA2985">
      <w:pPr>
        <w:rPr>
          <w:rFonts w:ascii="Times New Roman" w:hAnsi="Times New Roman" w:cs="Times New Roman"/>
          <w:iCs/>
        </w:rPr>
      </w:pPr>
      <w:r>
        <w:rPr>
          <w:rFonts w:ascii="Times New Roman" w:hAnsi="Times New Roman" w:cs="Times New Roman"/>
          <w:iCs/>
        </w:rPr>
        <w:tab/>
      </w:r>
    </w:p>
    <w:p w14:paraId="213FF2DA" w14:textId="77777777" w:rsidR="00EA2985" w:rsidRPr="00FD4823" w:rsidRDefault="00EA2985" w:rsidP="00EA2985">
      <w:pPr>
        <w:rPr>
          <w:rFonts w:ascii="Times New Roman" w:hAnsi="Times New Roman" w:cs="Times New Roman"/>
          <w:i/>
        </w:rPr>
      </w:pPr>
      <w:r>
        <w:rPr>
          <w:rFonts w:ascii="Times New Roman" w:hAnsi="Times New Roman" w:cs="Times New Roman"/>
          <w:i/>
        </w:rPr>
        <w:t>Regeneration models</w:t>
      </w:r>
    </w:p>
    <w:p w14:paraId="2D544CCB" w14:textId="77777777" w:rsidR="00EA2985" w:rsidRDefault="00EA2985" w:rsidP="00EA2985">
      <w:pPr>
        <w:ind w:firstLine="720"/>
        <w:rPr>
          <w:rFonts w:ascii="Times New Roman" w:hAnsi="Times New Roman" w:cs="Times New Roman"/>
          <w:iCs/>
        </w:rPr>
      </w:pPr>
      <w:r>
        <w:rPr>
          <w:rFonts w:ascii="Times New Roman" w:hAnsi="Times New Roman" w:cs="Times New Roman"/>
          <w:iCs/>
        </w:rPr>
        <w:t xml:space="preserve">I chose to model regeneration as the probability of seedling presence at the plot level during the most recent inventory period, again using a binomial GLMM. These models are newer and I haven’t yet done as much work evaluating their performance or exploring the estimated effects. They currently incorporate predictors at the plot (climate normal and recent anomalies, estimated fire severity, estimated BDA severity, slope, aspect, elevation) and landscape (proportion of ecoregion impacted by fire or biological disturbances) level. Ideally, climate and disturbance predictors should correspond to those in the mortality models so that predictions from both models can be evaluated jointly. </w:t>
      </w:r>
    </w:p>
    <w:p w14:paraId="207C0853" w14:textId="61624EAC" w:rsidR="00EA2985" w:rsidRDefault="00EA2985">
      <w:pPr>
        <w:rPr>
          <w:rFonts w:ascii="Times New Roman" w:hAnsi="Times New Roman" w:cs="Times New Roman"/>
          <w:b/>
          <w:bCs/>
          <w:sz w:val="24"/>
          <w:szCs w:val="24"/>
        </w:rPr>
      </w:pPr>
      <w:r>
        <w:rPr>
          <w:rFonts w:ascii="Times New Roman" w:hAnsi="Times New Roman" w:cs="Times New Roman"/>
          <w:b/>
          <w:bCs/>
          <w:sz w:val="24"/>
          <w:szCs w:val="24"/>
        </w:rPr>
        <w:br w:type="page"/>
      </w:r>
    </w:p>
    <w:p w14:paraId="70D1925F" w14:textId="77777777" w:rsidR="00EA2985" w:rsidRDefault="00EA2985" w:rsidP="00EA2985">
      <w:pPr>
        <w:rPr>
          <w:rFonts w:ascii="Times New Roman" w:hAnsi="Times New Roman" w:cs="Times New Roman"/>
        </w:rPr>
      </w:pPr>
    </w:p>
    <w:p w14:paraId="32E93FAC" w14:textId="77777777" w:rsidR="00EA2985" w:rsidRDefault="00EA2985" w:rsidP="00EA2985">
      <w:pPr>
        <w:rPr>
          <w:rFonts w:ascii="Times New Roman" w:hAnsi="Times New Roman" w:cs="Times New Roman"/>
          <w:b/>
          <w:bCs/>
        </w:rPr>
      </w:pPr>
    </w:p>
    <w:p w14:paraId="393C7862" w14:textId="77777777" w:rsidR="00EA2985" w:rsidRDefault="00EA2985" w:rsidP="00EA2985">
      <w:pPr>
        <w:rPr>
          <w:rFonts w:ascii="Times New Roman" w:hAnsi="Times New Roman" w:cs="Times New Roman"/>
          <w:b/>
          <w:bCs/>
        </w:rPr>
      </w:pPr>
      <w:r>
        <w:rPr>
          <w:rFonts w:ascii="Times New Roman" w:hAnsi="Times New Roman" w:cs="Times New Roman"/>
          <w:b/>
          <w:bCs/>
        </w:rPr>
        <w:br w:type="page"/>
      </w:r>
    </w:p>
    <w:p w14:paraId="5FE32BB4" w14:textId="77777777" w:rsidR="00EA2985" w:rsidRPr="0071447B" w:rsidRDefault="00EA2985" w:rsidP="00EA2985">
      <w:pPr>
        <w:rPr>
          <w:rFonts w:ascii="Times New Roman" w:hAnsi="Times New Roman" w:cs="Times New Roman"/>
          <w:b/>
          <w:bCs/>
        </w:rPr>
      </w:pPr>
      <w:r>
        <w:rPr>
          <w:rFonts w:ascii="Times New Roman" w:hAnsi="Times New Roman" w:cs="Times New Roman"/>
          <w:b/>
          <w:bCs/>
          <w:noProof/>
        </w:rPr>
        <w:lastRenderedPageBreak/>
        <w:drawing>
          <wp:anchor distT="0" distB="0" distL="114300" distR="114300" simplePos="0" relativeHeight="251659264" behindDoc="0" locked="0" layoutInCell="1" allowOverlap="1" wp14:anchorId="08580539" wp14:editId="33CD0C90">
            <wp:simplePos x="0" y="0"/>
            <wp:positionH relativeFrom="column">
              <wp:posOffset>23495</wp:posOffset>
            </wp:positionH>
            <wp:positionV relativeFrom="paragraph">
              <wp:posOffset>342265</wp:posOffset>
            </wp:positionV>
            <wp:extent cx="5886450" cy="2837815"/>
            <wp:effectExtent l="0" t="0" r="0" b="0"/>
            <wp:wrapTopAndBottom/>
            <wp:docPr id="14160487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048726"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86450" cy="283781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rPr>
        <w:t>Figures</w:t>
      </w:r>
    </w:p>
    <w:p w14:paraId="29108C02" w14:textId="77777777" w:rsidR="00EA2985" w:rsidRPr="0071447B" w:rsidRDefault="00EA2985" w:rsidP="00EA2985">
      <w:pPr>
        <w:rPr>
          <w:rFonts w:ascii="Times New Roman" w:hAnsi="Times New Roman" w:cs="Times New Roman"/>
          <w:b/>
          <w:bCs/>
        </w:rPr>
      </w:pPr>
    </w:p>
    <w:p w14:paraId="7AD7E69D" w14:textId="77777777" w:rsidR="00EA2985" w:rsidRPr="00065763" w:rsidRDefault="00EA2985" w:rsidP="00EA2985">
      <w:pPr>
        <w:rPr>
          <w:rFonts w:ascii="Times New Roman" w:hAnsi="Times New Roman" w:cs="Times New Roman"/>
        </w:rPr>
      </w:pPr>
      <w:r>
        <w:rPr>
          <w:rFonts w:ascii="Times New Roman" w:hAnsi="Times New Roman" w:cs="Times New Roman"/>
          <w:b/>
          <w:bCs/>
        </w:rPr>
        <w:t>Figure 1.</w:t>
      </w:r>
      <w:r>
        <w:rPr>
          <w:rFonts w:ascii="Times New Roman" w:hAnsi="Times New Roman" w:cs="Times New Roman"/>
        </w:rPr>
        <w:t xml:space="preserve"> Conceptual diagram of single-species population trajectories (a) and how they combine for two species (b). Panel (a) shows how combinations of basal area and stem density trends suggest differing population trajectories: </w:t>
      </w:r>
      <w:r>
        <w:rPr>
          <w:rFonts w:ascii="Times New Roman" w:hAnsi="Times New Roman" w:cs="Times New Roman"/>
          <w:i/>
          <w:iCs/>
        </w:rPr>
        <w:t>decline</w:t>
      </w:r>
      <w:r>
        <w:rPr>
          <w:rFonts w:ascii="Times New Roman" w:hAnsi="Times New Roman" w:cs="Times New Roman"/>
        </w:rPr>
        <w:t xml:space="preserve">, where both basal area and stem density are decreasing; </w:t>
      </w:r>
      <w:r>
        <w:rPr>
          <w:rFonts w:ascii="Times New Roman" w:hAnsi="Times New Roman" w:cs="Times New Roman"/>
          <w:i/>
          <w:iCs/>
        </w:rPr>
        <w:t>turnover</w:t>
      </w:r>
      <w:r>
        <w:rPr>
          <w:rFonts w:ascii="Times New Roman" w:hAnsi="Times New Roman" w:cs="Times New Roman"/>
        </w:rPr>
        <w:t xml:space="preserve">, where basal area is decreasing but stem density is increasing; </w:t>
      </w:r>
      <w:r>
        <w:rPr>
          <w:rFonts w:ascii="Times New Roman" w:hAnsi="Times New Roman" w:cs="Times New Roman"/>
          <w:i/>
          <w:iCs/>
        </w:rPr>
        <w:t>development</w:t>
      </w:r>
      <w:r>
        <w:rPr>
          <w:rFonts w:ascii="Times New Roman" w:hAnsi="Times New Roman" w:cs="Times New Roman"/>
        </w:rPr>
        <w:t xml:space="preserve">, where increasing basal area and decreasing stem density suggest self-thinning stand development; and </w:t>
      </w:r>
      <w:r>
        <w:rPr>
          <w:rFonts w:ascii="Times New Roman" w:hAnsi="Times New Roman" w:cs="Times New Roman"/>
          <w:i/>
          <w:iCs/>
        </w:rPr>
        <w:t>densification</w:t>
      </w:r>
      <w:r>
        <w:rPr>
          <w:rFonts w:ascii="Times New Roman" w:hAnsi="Times New Roman" w:cs="Times New Roman"/>
        </w:rPr>
        <w:t xml:space="preserve">, where both basal area and stem density are increasing. For two species (b), these four categories combine to suggest different likelihoods that species’ coexistence will persist: </w:t>
      </w:r>
      <w:r>
        <w:rPr>
          <w:rFonts w:ascii="Times New Roman" w:hAnsi="Times New Roman" w:cs="Times New Roman"/>
          <w:i/>
          <w:iCs/>
        </w:rPr>
        <w:t>persistence/resilience</w:t>
      </w:r>
      <w:r>
        <w:rPr>
          <w:rFonts w:ascii="Times New Roman" w:hAnsi="Times New Roman" w:cs="Times New Roman"/>
        </w:rPr>
        <w:t xml:space="preserve">, where both species are either experiencing stand development or densification; </w:t>
      </w:r>
      <w:r>
        <w:rPr>
          <w:rFonts w:ascii="Times New Roman" w:hAnsi="Times New Roman" w:cs="Times New Roman"/>
          <w:i/>
          <w:iCs/>
        </w:rPr>
        <w:t>structural change,</w:t>
      </w:r>
      <w:r>
        <w:rPr>
          <w:rFonts w:ascii="Times New Roman" w:hAnsi="Times New Roman" w:cs="Times New Roman"/>
        </w:rPr>
        <w:t xml:space="preserve"> where one of the two species is experiencing high turnover associated with mortality, suggesting that future coexistence depends on increased recruitment and survival; </w:t>
      </w:r>
      <w:r>
        <w:rPr>
          <w:rFonts w:ascii="Times New Roman" w:hAnsi="Times New Roman" w:cs="Times New Roman"/>
          <w:i/>
          <w:iCs/>
        </w:rPr>
        <w:t>compositional change</w:t>
      </w:r>
      <w:r>
        <w:rPr>
          <w:rFonts w:ascii="Times New Roman" w:hAnsi="Times New Roman" w:cs="Times New Roman"/>
        </w:rPr>
        <w:t xml:space="preserve">, where one species is in decline and the other is flourishing, suggesting that one species will likely dominate over the other; and </w:t>
      </w:r>
      <w:r>
        <w:rPr>
          <w:rFonts w:ascii="Times New Roman" w:hAnsi="Times New Roman" w:cs="Times New Roman"/>
          <w:i/>
          <w:iCs/>
        </w:rPr>
        <w:t>replacement</w:t>
      </w:r>
      <w:r>
        <w:rPr>
          <w:rFonts w:ascii="Times New Roman" w:hAnsi="Times New Roman" w:cs="Times New Roman"/>
        </w:rPr>
        <w:t xml:space="preserve">, in which both species are experiencing population declines concurrently. </w:t>
      </w:r>
    </w:p>
    <w:p w14:paraId="47B71696" w14:textId="77777777" w:rsidR="00EA2985" w:rsidRDefault="00EA2985" w:rsidP="00EA2985">
      <w:pPr>
        <w:rPr>
          <w:rFonts w:ascii="Times New Roman" w:hAnsi="Times New Roman" w:cs="Times New Roman"/>
        </w:rPr>
      </w:pPr>
      <w:r>
        <w:rPr>
          <w:rFonts w:ascii="Times New Roman" w:hAnsi="Times New Roman" w:cs="Times New Roman"/>
        </w:rPr>
        <w:br w:type="page"/>
      </w:r>
    </w:p>
    <w:p w14:paraId="55EA5494" w14:textId="77777777" w:rsidR="00EA2985" w:rsidRPr="00065763" w:rsidRDefault="00EA2985" w:rsidP="00EA2985">
      <w:pPr>
        <w:rPr>
          <w:rFonts w:ascii="Times New Roman" w:hAnsi="Times New Roman" w:cs="Times New Roman"/>
        </w:rPr>
      </w:pPr>
    </w:p>
    <w:p w14:paraId="19BB94AC" w14:textId="77777777" w:rsidR="00EA2985" w:rsidRDefault="00EA2985" w:rsidP="00EA2985">
      <w:pPr>
        <w:rPr>
          <w:rFonts w:ascii="Times New Roman" w:hAnsi="Times New Roman" w:cs="Times New Roman"/>
          <w:b/>
          <w:bCs/>
        </w:rPr>
      </w:pPr>
      <w:r>
        <w:rPr>
          <w:rFonts w:ascii="Times New Roman" w:hAnsi="Times New Roman" w:cs="Times New Roman"/>
          <w:b/>
          <w:bCs/>
          <w:noProof/>
        </w:rPr>
        <w:drawing>
          <wp:inline distT="0" distB="0" distL="0" distR="0" wp14:anchorId="5C67B445" wp14:editId="117BB19B">
            <wp:extent cx="5592181" cy="3704987"/>
            <wp:effectExtent l="0" t="0" r="0" b="0"/>
            <wp:docPr id="7383137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313706"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92181" cy="3704987"/>
                    </a:xfrm>
                    <a:prstGeom prst="rect">
                      <a:avLst/>
                    </a:prstGeom>
                  </pic:spPr>
                </pic:pic>
              </a:graphicData>
            </a:graphic>
          </wp:inline>
        </w:drawing>
      </w:r>
    </w:p>
    <w:p w14:paraId="4C435B55" w14:textId="77777777" w:rsidR="00EA2985" w:rsidRDefault="00EA2985" w:rsidP="00EA2985">
      <w:pPr>
        <w:spacing w:before="240"/>
        <w:rPr>
          <w:rFonts w:ascii="Times New Roman" w:hAnsi="Times New Roman" w:cs="Times New Roman"/>
        </w:rPr>
      </w:pPr>
      <w:r>
        <w:rPr>
          <w:rFonts w:ascii="Times New Roman" w:hAnsi="Times New Roman" w:cs="Times New Roman"/>
          <w:b/>
          <w:bCs/>
        </w:rPr>
        <w:t>Figure 2.</w:t>
      </w:r>
      <w:r>
        <w:rPr>
          <w:rFonts w:ascii="Times New Roman" w:hAnsi="Times New Roman" w:cs="Times New Roman"/>
        </w:rPr>
        <w:t xml:space="preserve"> Distribution of different population trajectory categories, as estimated at the ecoregion subsection level across the shared range of subalpine fir and Engelmann spruce (a), and the estimated mortality of both species in each category caused by broad classes of mortality agents (b). Colors correspond with the categories in Figure 1. </w:t>
      </w:r>
    </w:p>
    <w:p w14:paraId="4F13A558" w14:textId="77777777" w:rsidR="00EA2985" w:rsidRDefault="00EA2985" w:rsidP="00EA2985">
      <w:pPr>
        <w:rPr>
          <w:rFonts w:ascii="Times New Roman" w:hAnsi="Times New Roman" w:cs="Times New Roman"/>
        </w:rPr>
      </w:pPr>
      <w:r>
        <w:rPr>
          <w:rFonts w:ascii="Times New Roman" w:hAnsi="Times New Roman" w:cs="Times New Roman"/>
        </w:rPr>
        <w:br w:type="page"/>
      </w:r>
    </w:p>
    <w:p w14:paraId="3FBAF62A" w14:textId="77777777" w:rsidR="00EA2985" w:rsidRPr="00065763" w:rsidRDefault="00EA2985" w:rsidP="00EA2985">
      <w:pPr>
        <w:spacing w:before="240"/>
        <w:rPr>
          <w:rFonts w:ascii="Times New Roman" w:hAnsi="Times New Roman" w:cs="Times New Roman"/>
        </w:rPr>
      </w:pPr>
      <w:r>
        <w:rPr>
          <w:rFonts w:ascii="Times New Roman" w:hAnsi="Times New Roman" w:cs="Times New Roman"/>
          <w:b/>
          <w:bCs/>
          <w:noProof/>
        </w:rPr>
        <w:lastRenderedPageBreak/>
        <w:drawing>
          <wp:anchor distT="0" distB="0" distL="114300" distR="114300" simplePos="0" relativeHeight="251661312" behindDoc="0" locked="0" layoutInCell="1" allowOverlap="1" wp14:anchorId="5159486C" wp14:editId="693C2B27">
            <wp:simplePos x="0" y="0"/>
            <wp:positionH relativeFrom="column">
              <wp:posOffset>0</wp:posOffset>
            </wp:positionH>
            <wp:positionV relativeFrom="paragraph">
              <wp:posOffset>267970</wp:posOffset>
            </wp:positionV>
            <wp:extent cx="5942965" cy="3152775"/>
            <wp:effectExtent l="0" t="0" r="0" b="0"/>
            <wp:wrapTopAndBottom/>
            <wp:docPr id="1795602238" name="Picture 1" descr="A comparison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602238" name="Picture 1" descr="A comparison of a diagram&#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2965" cy="3152775"/>
                    </a:xfrm>
                    <a:prstGeom prst="rect">
                      <a:avLst/>
                    </a:prstGeom>
                  </pic:spPr>
                </pic:pic>
              </a:graphicData>
            </a:graphic>
          </wp:anchor>
        </w:drawing>
      </w:r>
    </w:p>
    <w:p w14:paraId="028270E5" w14:textId="77777777" w:rsidR="00EA2985" w:rsidRDefault="00EA2985" w:rsidP="00EA2985">
      <w:pPr>
        <w:rPr>
          <w:rFonts w:ascii="Times New Roman" w:hAnsi="Times New Roman" w:cs="Times New Roman"/>
          <w:b/>
          <w:bCs/>
        </w:rPr>
      </w:pPr>
    </w:p>
    <w:p w14:paraId="6131A72E" w14:textId="77777777" w:rsidR="00EA2985" w:rsidRDefault="00EA2985" w:rsidP="00EA2985">
      <w:pPr>
        <w:rPr>
          <w:rFonts w:ascii="Times New Roman" w:hAnsi="Times New Roman" w:cs="Times New Roman"/>
          <w:b/>
          <w:bCs/>
        </w:rPr>
      </w:pPr>
      <w:r>
        <w:rPr>
          <w:rFonts w:ascii="Times New Roman" w:hAnsi="Times New Roman" w:cs="Times New Roman"/>
          <w:b/>
          <w:bCs/>
        </w:rPr>
        <w:br w:type="page"/>
      </w:r>
    </w:p>
    <w:p w14:paraId="48E76D13" w14:textId="77777777" w:rsidR="00EA2985" w:rsidRDefault="00EA2985" w:rsidP="00EA2985">
      <w:pPr>
        <w:rPr>
          <w:rFonts w:ascii="Times New Roman" w:hAnsi="Times New Roman" w:cs="Times New Roman"/>
          <w:b/>
          <w:bCs/>
        </w:rPr>
      </w:pPr>
    </w:p>
    <w:p w14:paraId="715048D1" w14:textId="3A2B888A" w:rsidR="00EA2985" w:rsidRPr="00361C79" w:rsidRDefault="00A96A09" w:rsidP="00EA2985">
      <w:pPr>
        <w:rPr>
          <w:rFonts w:ascii="Times New Roman" w:hAnsi="Times New Roman" w:cs="Times New Roman"/>
        </w:rPr>
      </w:pPr>
      <w:r>
        <w:rPr>
          <w:rFonts w:ascii="Times New Roman" w:hAnsi="Times New Roman" w:cs="Times New Roman"/>
          <w:b/>
          <w:bCs/>
          <w:noProof/>
        </w:rPr>
        <w:drawing>
          <wp:anchor distT="0" distB="0" distL="114300" distR="114300" simplePos="0" relativeHeight="251662336" behindDoc="0" locked="0" layoutInCell="1" allowOverlap="1" wp14:anchorId="4F2A79EA" wp14:editId="7581673B">
            <wp:simplePos x="0" y="0"/>
            <wp:positionH relativeFrom="margin">
              <wp:align>left</wp:align>
            </wp:positionH>
            <wp:positionV relativeFrom="paragraph">
              <wp:posOffset>635</wp:posOffset>
            </wp:positionV>
            <wp:extent cx="3590925" cy="5918200"/>
            <wp:effectExtent l="0" t="0" r="9525"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90925" cy="5918200"/>
                    </a:xfrm>
                    <a:prstGeom prst="rect">
                      <a:avLst/>
                    </a:prstGeom>
                    <a:noFill/>
                  </pic:spPr>
                </pic:pic>
              </a:graphicData>
            </a:graphic>
            <wp14:sizeRelH relativeFrom="margin">
              <wp14:pctWidth>0</wp14:pctWidth>
            </wp14:sizeRelH>
            <wp14:sizeRelV relativeFrom="margin">
              <wp14:pctHeight>0</wp14:pctHeight>
            </wp14:sizeRelV>
          </wp:anchor>
        </w:drawing>
      </w:r>
      <w:r w:rsidR="00EA2985">
        <w:rPr>
          <w:rFonts w:ascii="Times New Roman" w:hAnsi="Times New Roman" w:cs="Times New Roman"/>
          <w:b/>
          <w:bCs/>
        </w:rPr>
        <w:t>Figure 3.</w:t>
      </w:r>
      <w:r w:rsidR="00EA2985">
        <w:rPr>
          <w:rFonts w:ascii="Times New Roman" w:hAnsi="Times New Roman" w:cs="Times New Roman"/>
        </w:rPr>
        <w:t xml:space="preserve"> Model-predicted mortality (x-axis) and probability of seedling presence (y-axis) for subalpine fir (blue lines and points) and Engelmann spruce (red lines and points) in each of the population trajectory categories shown in Figure 1. Points indicate the mean predicted rates in an ecoregion subsection, and lines indicate their density distribution. </w:t>
      </w:r>
    </w:p>
    <w:p w14:paraId="30066EBE" w14:textId="77777777" w:rsidR="00EA2985" w:rsidRDefault="00EA2985" w:rsidP="00EA2985">
      <w:pPr>
        <w:rPr>
          <w:rFonts w:ascii="Times New Roman" w:hAnsi="Times New Roman" w:cs="Times New Roman"/>
          <w:b/>
          <w:bCs/>
        </w:rPr>
      </w:pPr>
    </w:p>
    <w:p w14:paraId="01D32966" w14:textId="77777777" w:rsidR="00EA2985" w:rsidRDefault="00EA2985" w:rsidP="00EA2985">
      <w:pPr>
        <w:rPr>
          <w:rFonts w:ascii="Times New Roman" w:hAnsi="Times New Roman" w:cs="Times New Roman"/>
          <w:b/>
          <w:bCs/>
        </w:rPr>
      </w:pPr>
    </w:p>
    <w:p w14:paraId="1CE7CE47" w14:textId="77777777" w:rsidR="00EA2985" w:rsidRDefault="00EA2985" w:rsidP="00EA2985">
      <w:pPr>
        <w:rPr>
          <w:rFonts w:ascii="Times New Roman" w:hAnsi="Times New Roman" w:cs="Times New Roman"/>
          <w:b/>
          <w:bCs/>
        </w:rPr>
      </w:pPr>
    </w:p>
    <w:p w14:paraId="03E13152" w14:textId="77777777" w:rsidR="00EA2985" w:rsidRDefault="00EA2985" w:rsidP="00EA2985">
      <w:pPr>
        <w:rPr>
          <w:rFonts w:ascii="Times New Roman" w:hAnsi="Times New Roman" w:cs="Times New Roman"/>
          <w:b/>
          <w:bCs/>
        </w:rPr>
      </w:pPr>
    </w:p>
    <w:p w14:paraId="712DD1C1" w14:textId="77777777" w:rsidR="00EA2985" w:rsidRDefault="00EA2985" w:rsidP="00EA2985">
      <w:pPr>
        <w:rPr>
          <w:rFonts w:ascii="Times New Roman" w:hAnsi="Times New Roman" w:cs="Times New Roman"/>
          <w:b/>
          <w:bCs/>
        </w:rPr>
      </w:pPr>
    </w:p>
    <w:p w14:paraId="05D4D772" w14:textId="77777777" w:rsidR="00EA2985" w:rsidRDefault="00EA2985" w:rsidP="00EA2985">
      <w:pPr>
        <w:rPr>
          <w:rFonts w:ascii="Times New Roman" w:hAnsi="Times New Roman" w:cs="Times New Roman"/>
          <w:b/>
          <w:bCs/>
        </w:rPr>
      </w:pPr>
    </w:p>
    <w:p w14:paraId="5159ED7B" w14:textId="77777777" w:rsidR="00EA2985" w:rsidRDefault="00EA2985" w:rsidP="00EA2985">
      <w:pPr>
        <w:rPr>
          <w:rFonts w:ascii="Times New Roman" w:hAnsi="Times New Roman" w:cs="Times New Roman"/>
          <w:b/>
          <w:bCs/>
        </w:rPr>
      </w:pPr>
    </w:p>
    <w:p w14:paraId="01F862F3" w14:textId="77777777" w:rsidR="00EA2985" w:rsidRDefault="00EA2985" w:rsidP="00EA2985">
      <w:pPr>
        <w:rPr>
          <w:rFonts w:ascii="Times New Roman" w:hAnsi="Times New Roman" w:cs="Times New Roman"/>
          <w:b/>
          <w:bCs/>
        </w:rPr>
      </w:pPr>
    </w:p>
    <w:p w14:paraId="30F8C0E5" w14:textId="77777777" w:rsidR="00EA2985" w:rsidRDefault="00EA2985" w:rsidP="00EA2985">
      <w:pPr>
        <w:rPr>
          <w:rFonts w:ascii="Times New Roman" w:hAnsi="Times New Roman" w:cs="Times New Roman"/>
          <w:b/>
          <w:bCs/>
        </w:rPr>
      </w:pPr>
    </w:p>
    <w:p w14:paraId="520CE902" w14:textId="77777777" w:rsidR="00EA2985" w:rsidRDefault="00EA2985" w:rsidP="00EA2985">
      <w:pPr>
        <w:rPr>
          <w:rFonts w:ascii="Times New Roman" w:hAnsi="Times New Roman" w:cs="Times New Roman"/>
          <w:b/>
          <w:bCs/>
        </w:rPr>
      </w:pPr>
    </w:p>
    <w:p w14:paraId="5453DE12" w14:textId="77777777" w:rsidR="00EA2985" w:rsidRDefault="00EA2985" w:rsidP="00EA2985">
      <w:pPr>
        <w:rPr>
          <w:rFonts w:ascii="Times New Roman" w:hAnsi="Times New Roman" w:cs="Times New Roman"/>
          <w:b/>
          <w:bCs/>
        </w:rPr>
      </w:pPr>
    </w:p>
    <w:p w14:paraId="307B4B68" w14:textId="77777777" w:rsidR="00EA2985" w:rsidRDefault="00EA2985" w:rsidP="00EA2985">
      <w:pPr>
        <w:rPr>
          <w:rFonts w:ascii="Times New Roman" w:hAnsi="Times New Roman" w:cs="Times New Roman"/>
          <w:b/>
          <w:bCs/>
        </w:rPr>
      </w:pPr>
    </w:p>
    <w:p w14:paraId="050899B8" w14:textId="77777777" w:rsidR="00EA2985" w:rsidRDefault="00EA2985" w:rsidP="00EA2985">
      <w:pPr>
        <w:rPr>
          <w:rFonts w:ascii="Times New Roman" w:hAnsi="Times New Roman" w:cs="Times New Roman"/>
          <w:b/>
          <w:bCs/>
        </w:rPr>
      </w:pPr>
    </w:p>
    <w:p w14:paraId="35FDDF84" w14:textId="77777777" w:rsidR="00EA2985" w:rsidRDefault="00EA2985" w:rsidP="00EA2985">
      <w:pPr>
        <w:rPr>
          <w:rFonts w:ascii="Times New Roman" w:hAnsi="Times New Roman" w:cs="Times New Roman"/>
          <w:b/>
          <w:bCs/>
        </w:rPr>
      </w:pPr>
    </w:p>
    <w:p w14:paraId="6774A337" w14:textId="77777777" w:rsidR="00EA2985" w:rsidRDefault="00EA2985" w:rsidP="00EA2985">
      <w:pPr>
        <w:rPr>
          <w:rFonts w:ascii="Times New Roman" w:hAnsi="Times New Roman" w:cs="Times New Roman"/>
          <w:b/>
          <w:bCs/>
        </w:rPr>
      </w:pPr>
    </w:p>
    <w:p w14:paraId="00A67423" w14:textId="77777777" w:rsidR="00EA2985" w:rsidRDefault="00EA2985" w:rsidP="00EA2985">
      <w:pPr>
        <w:rPr>
          <w:rFonts w:ascii="Times New Roman" w:hAnsi="Times New Roman" w:cs="Times New Roman"/>
          <w:b/>
          <w:bCs/>
        </w:rPr>
      </w:pPr>
    </w:p>
    <w:p w14:paraId="0CC21F8F" w14:textId="77777777" w:rsidR="00EA2985" w:rsidRDefault="00EA2985" w:rsidP="00EA2985">
      <w:pPr>
        <w:rPr>
          <w:rFonts w:ascii="Times New Roman" w:hAnsi="Times New Roman" w:cs="Times New Roman"/>
          <w:b/>
          <w:bCs/>
        </w:rPr>
      </w:pPr>
    </w:p>
    <w:p w14:paraId="0E417750" w14:textId="77777777" w:rsidR="00EA2985" w:rsidRDefault="00EA2985" w:rsidP="00EA2985">
      <w:pPr>
        <w:rPr>
          <w:rFonts w:ascii="Times New Roman" w:hAnsi="Times New Roman" w:cs="Times New Roman"/>
          <w:b/>
          <w:bCs/>
        </w:rPr>
      </w:pPr>
    </w:p>
    <w:p w14:paraId="008AE62F" w14:textId="77777777" w:rsidR="00EA2985" w:rsidRDefault="00EA2985" w:rsidP="00EA2985">
      <w:pPr>
        <w:rPr>
          <w:rFonts w:ascii="Times New Roman" w:hAnsi="Times New Roman" w:cs="Times New Roman"/>
          <w:b/>
          <w:bCs/>
        </w:rPr>
      </w:pPr>
    </w:p>
    <w:p w14:paraId="6BAD580D" w14:textId="77777777" w:rsidR="00EA2985" w:rsidRDefault="00EA2985" w:rsidP="00EA2985">
      <w:pPr>
        <w:rPr>
          <w:rFonts w:ascii="Times New Roman" w:hAnsi="Times New Roman" w:cs="Times New Roman"/>
          <w:b/>
          <w:bCs/>
        </w:rPr>
      </w:pPr>
    </w:p>
    <w:p w14:paraId="7417CB0B" w14:textId="77777777" w:rsidR="00EA2985" w:rsidRDefault="00EA2985" w:rsidP="00EA2985">
      <w:pPr>
        <w:rPr>
          <w:rFonts w:ascii="Times New Roman" w:hAnsi="Times New Roman" w:cs="Times New Roman"/>
          <w:b/>
          <w:bCs/>
        </w:rPr>
      </w:pPr>
    </w:p>
    <w:p w14:paraId="4FD54A60" w14:textId="77777777" w:rsidR="00EA2985" w:rsidRDefault="00EA2985" w:rsidP="00EA2985">
      <w:pPr>
        <w:rPr>
          <w:rFonts w:ascii="Times New Roman" w:hAnsi="Times New Roman" w:cs="Times New Roman"/>
          <w:b/>
          <w:bCs/>
        </w:rPr>
      </w:pPr>
      <w:r>
        <w:rPr>
          <w:rFonts w:ascii="Times New Roman" w:hAnsi="Times New Roman" w:cs="Times New Roman"/>
          <w:b/>
          <w:bCs/>
          <w:noProof/>
        </w:rPr>
        <w:lastRenderedPageBreak/>
        <w:drawing>
          <wp:inline distT="0" distB="0" distL="0" distR="0" wp14:anchorId="3CCD48F4" wp14:editId="2A748E0F">
            <wp:extent cx="5943600" cy="3054350"/>
            <wp:effectExtent l="0" t="0" r="0" b="0"/>
            <wp:docPr id="510979392" name="Picture 6"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979392" name="Picture 6" descr="A picture containing map&#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054350"/>
                    </a:xfrm>
                    <a:prstGeom prst="rect">
                      <a:avLst/>
                    </a:prstGeom>
                  </pic:spPr>
                </pic:pic>
              </a:graphicData>
            </a:graphic>
          </wp:inline>
        </w:drawing>
      </w:r>
    </w:p>
    <w:p w14:paraId="44931593" w14:textId="77777777" w:rsidR="00EA2985" w:rsidRPr="00361C79" w:rsidRDefault="00EA2985" w:rsidP="00EA2985">
      <w:pPr>
        <w:rPr>
          <w:rFonts w:ascii="Times New Roman" w:hAnsi="Times New Roman" w:cs="Times New Roman"/>
        </w:rPr>
      </w:pPr>
      <w:r>
        <w:rPr>
          <w:rFonts w:ascii="Times New Roman" w:hAnsi="Times New Roman" w:cs="Times New Roman"/>
          <w:b/>
          <w:bCs/>
        </w:rPr>
        <w:t>Figure 4.</w:t>
      </w:r>
      <w:r>
        <w:rPr>
          <w:rFonts w:ascii="Times New Roman" w:hAnsi="Times New Roman" w:cs="Times New Roman"/>
        </w:rPr>
        <w:t xml:space="preserve"> Example of using models to project changes in mortality under future scenarios for subalpine fir (a) and Engelmann spruce (b). Maps show the difference between future predicted mortality and current estimated mortality for 2041-2060 under the SSP3-7.0 climate scenario. Predictions assume current landscape levels of disturbance and observed tree sizes.</w:t>
      </w:r>
    </w:p>
    <w:p w14:paraId="59AF73EE" w14:textId="77777777" w:rsidR="00EA2985" w:rsidRDefault="00EA2985" w:rsidP="00EA2985">
      <w:pPr>
        <w:rPr>
          <w:rFonts w:ascii="Times New Roman" w:hAnsi="Times New Roman" w:cs="Times New Roman"/>
          <w:b/>
          <w:bCs/>
        </w:rPr>
      </w:pPr>
    </w:p>
    <w:p w14:paraId="3AFF4EE6" w14:textId="77777777" w:rsidR="00EA2985" w:rsidRDefault="00EA2985" w:rsidP="00EA2985">
      <w:pPr>
        <w:rPr>
          <w:rFonts w:ascii="Times New Roman" w:hAnsi="Times New Roman" w:cs="Times New Roman"/>
          <w:b/>
          <w:bCs/>
        </w:rPr>
      </w:pPr>
    </w:p>
    <w:p w14:paraId="6F82946F" w14:textId="77777777" w:rsidR="00EA2985" w:rsidRDefault="00EA2985" w:rsidP="00EA2985">
      <w:pPr>
        <w:rPr>
          <w:rFonts w:ascii="Times New Roman" w:hAnsi="Times New Roman" w:cs="Times New Roman"/>
          <w:b/>
          <w:bCs/>
        </w:rPr>
      </w:pPr>
    </w:p>
    <w:p w14:paraId="7F856014" w14:textId="77777777" w:rsidR="00EA2985" w:rsidRDefault="00EA2985" w:rsidP="00EA2985">
      <w:pPr>
        <w:rPr>
          <w:rFonts w:ascii="Times New Roman" w:hAnsi="Times New Roman" w:cs="Times New Roman"/>
          <w:b/>
          <w:bCs/>
        </w:rPr>
      </w:pPr>
    </w:p>
    <w:p w14:paraId="3AC3E5EA" w14:textId="77777777" w:rsidR="00EA2985" w:rsidRDefault="00EA2985" w:rsidP="00EA2985">
      <w:pPr>
        <w:rPr>
          <w:rFonts w:ascii="Times New Roman" w:hAnsi="Times New Roman" w:cs="Times New Roman"/>
          <w:b/>
          <w:bCs/>
        </w:rPr>
      </w:pPr>
    </w:p>
    <w:p w14:paraId="1370FE1E" w14:textId="77777777" w:rsidR="00E25466" w:rsidRPr="00EA2985" w:rsidRDefault="00E25466" w:rsidP="00E25466">
      <w:pPr>
        <w:ind w:left="720" w:hanging="720"/>
        <w:rPr>
          <w:rFonts w:ascii="Times New Roman" w:hAnsi="Times New Roman" w:cs="Times New Roman"/>
          <w:b/>
          <w:bCs/>
          <w:sz w:val="24"/>
          <w:szCs w:val="24"/>
        </w:rPr>
      </w:pPr>
    </w:p>
    <w:sectPr w:rsidR="00E25466" w:rsidRPr="00EA298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erret, Daniel - FS, OR" w:date="2024-03-08T09:48:00Z" w:initials="PDFO">
    <w:p w14:paraId="6159E671" w14:textId="2F19CD70" w:rsidR="00F96D2A" w:rsidRDefault="00F96D2A">
      <w:pPr>
        <w:pStyle w:val="CommentText"/>
      </w:pPr>
      <w:r>
        <w:rPr>
          <w:rStyle w:val="CommentReference"/>
        </w:rPr>
        <w:annotationRef/>
      </w:r>
      <w:r>
        <w:t>Probably need to re-run with PREV_BAH in there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159E67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955D6D" w16cex:dateUtc="2024-03-08T16: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159E671" w16cid:durableId="29955D6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erret, Daniel - FS, OR">
    <w15:presenceInfo w15:providerId="AD" w15:userId="S::Daniel.Perret@usda.gov::d131f6c6-2017-4144-bb27-22b6482da11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oNotDisplayPageBoundarie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5466"/>
    <w:rsid w:val="00052599"/>
    <w:rsid w:val="00096485"/>
    <w:rsid w:val="00145D25"/>
    <w:rsid w:val="001C5867"/>
    <w:rsid w:val="002600A2"/>
    <w:rsid w:val="003549F3"/>
    <w:rsid w:val="003A5D1E"/>
    <w:rsid w:val="004163B8"/>
    <w:rsid w:val="00442F38"/>
    <w:rsid w:val="004A2D9B"/>
    <w:rsid w:val="004A43FE"/>
    <w:rsid w:val="004E291C"/>
    <w:rsid w:val="00521050"/>
    <w:rsid w:val="0055003E"/>
    <w:rsid w:val="005A713D"/>
    <w:rsid w:val="006364CD"/>
    <w:rsid w:val="009062CC"/>
    <w:rsid w:val="0092425C"/>
    <w:rsid w:val="00954B7B"/>
    <w:rsid w:val="009F6CF1"/>
    <w:rsid w:val="00A05DF6"/>
    <w:rsid w:val="00A308A3"/>
    <w:rsid w:val="00A358E4"/>
    <w:rsid w:val="00A96A09"/>
    <w:rsid w:val="00AD3E3D"/>
    <w:rsid w:val="00B310F9"/>
    <w:rsid w:val="00B41B30"/>
    <w:rsid w:val="00B84865"/>
    <w:rsid w:val="00C665AA"/>
    <w:rsid w:val="00D57DDE"/>
    <w:rsid w:val="00DA5C76"/>
    <w:rsid w:val="00E22AE5"/>
    <w:rsid w:val="00E25466"/>
    <w:rsid w:val="00EA2985"/>
    <w:rsid w:val="00F96D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A1C94F"/>
  <w15:chartTrackingRefBased/>
  <w15:docId w15:val="{3668EA4F-5AB4-40B9-9E7D-7A71365EB8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F96D2A"/>
    <w:rPr>
      <w:sz w:val="16"/>
      <w:szCs w:val="16"/>
    </w:rPr>
  </w:style>
  <w:style w:type="paragraph" w:styleId="CommentText">
    <w:name w:val="annotation text"/>
    <w:basedOn w:val="Normal"/>
    <w:link w:val="CommentTextChar"/>
    <w:uiPriority w:val="99"/>
    <w:semiHidden/>
    <w:unhideWhenUsed/>
    <w:rsid w:val="00F96D2A"/>
    <w:pPr>
      <w:spacing w:line="240" w:lineRule="auto"/>
    </w:pPr>
    <w:rPr>
      <w:sz w:val="20"/>
      <w:szCs w:val="20"/>
    </w:rPr>
  </w:style>
  <w:style w:type="character" w:customStyle="1" w:styleId="CommentTextChar">
    <w:name w:val="Comment Text Char"/>
    <w:basedOn w:val="DefaultParagraphFont"/>
    <w:link w:val="CommentText"/>
    <w:uiPriority w:val="99"/>
    <w:semiHidden/>
    <w:rsid w:val="00F96D2A"/>
    <w:rPr>
      <w:sz w:val="20"/>
      <w:szCs w:val="20"/>
    </w:rPr>
  </w:style>
  <w:style w:type="paragraph" w:styleId="CommentSubject">
    <w:name w:val="annotation subject"/>
    <w:basedOn w:val="CommentText"/>
    <w:next w:val="CommentText"/>
    <w:link w:val="CommentSubjectChar"/>
    <w:uiPriority w:val="99"/>
    <w:semiHidden/>
    <w:unhideWhenUsed/>
    <w:rsid w:val="00F96D2A"/>
    <w:rPr>
      <w:b/>
      <w:bCs/>
    </w:rPr>
  </w:style>
  <w:style w:type="character" w:customStyle="1" w:styleId="CommentSubjectChar">
    <w:name w:val="Comment Subject Char"/>
    <w:basedOn w:val="CommentTextChar"/>
    <w:link w:val="CommentSubject"/>
    <w:uiPriority w:val="99"/>
    <w:semiHidden/>
    <w:rsid w:val="00F96D2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webSettings" Target="webSettings.xml"/><Relationship Id="rId7" Type="http://schemas.microsoft.com/office/2018/08/relationships/commentsExtensible" Target="commentsExtensible.xml"/><Relationship Id="rId12" Type="http://schemas.openxmlformats.org/officeDocument/2006/relationships/image" Target="media/image5.png"/><Relationship Id="rId2" Type="http://schemas.openxmlformats.org/officeDocument/2006/relationships/settings" Target="settings.xml"/><Relationship Id="rId1" Type="http://schemas.openxmlformats.org/officeDocument/2006/relationships/styles" Target="styles.xml"/><Relationship Id="rId6" Type="http://schemas.microsoft.com/office/2016/09/relationships/commentsIds" Target="commentsIds.xml"/><Relationship Id="rId11" Type="http://schemas.openxmlformats.org/officeDocument/2006/relationships/image" Target="media/image4.png"/><Relationship Id="rId5" Type="http://schemas.microsoft.com/office/2011/relationships/commentsExtended" Target="commentsExtended.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comments" Target="comments.xml"/><Relationship Id="rId9" Type="http://schemas.openxmlformats.org/officeDocument/2006/relationships/image" Target="media/image2.png"/><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TotalTime>
  <Pages>13</Pages>
  <Words>3167</Words>
  <Characters>18054</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Perret, Daniel - FS, CORVALLIS, OR</dc:creator>
  <cp:keywords/>
  <dc:description/>
  <cp:lastModifiedBy>Perret, Daniel - FS, OR</cp:lastModifiedBy>
  <cp:revision>3</cp:revision>
  <dcterms:created xsi:type="dcterms:W3CDTF">2024-03-19T22:10:00Z</dcterms:created>
  <dcterms:modified xsi:type="dcterms:W3CDTF">2024-03-19T22:12:00Z</dcterms:modified>
</cp:coreProperties>
</file>