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D35" w:rsidRPr="00394D35" w:rsidRDefault="009F1E07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PROPUESTA TÉCNICA Y ECONÓMICA</w:t>
      </w:r>
      <w:r w:rsidR="00394D35"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="00394D35"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Plataforma de Venta de Arte con </w:t>
      </w:r>
      <w:proofErr w:type="spellStart"/>
      <w:r w:rsidR="00394D35"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Criptomonedas</w:t>
      </w:r>
      <w:proofErr w:type="spellEnd"/>
      <w:r w:rsidR="00394D35"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="00394D35"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Para: ONG Pont </w:t>
      </w:r>
      <w:proofErr w:type="spellStart"/>
      <w:r w:rsidR="00394D35"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Culturel</w:t>
      </w:r>
      <w:proofErr w:type="spellEnd"/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3"/>
        <w:gridCol w:w="5557"/>
      </w:tblGrid>
      <w:tr w:rsidR="00394D35" w:rsidRPr="009F1E07" w:rsidTr="009F1E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Versión</w:t>
            </w:r>
            <w:proofErr w:type="spellEnd"/>
          </w:p>
        </w:tc>
        <w:tc>
          <w:tcPr>
            <w:tcW w:w="55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9F1E07" w:rsidRDefault="009F1E07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2.0</w:t>
            </w:r>
            <w:r w:rsidR="00394D35" w:rsidRPr="009F1E07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– Equilibrada</w:t>
            </w:r>
          </w:p>
        </w:tc>
      </w:tr>
      <w:tr w:rsidR="00394D35" w:rsidRPr="009F1E07" w:rsidTr="009F1E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9F1E07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F1E0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Fecha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9F1E07" w:rsidRDefault="009F1E07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1 de </w:t>
            </w:r>
            <w:r w:rsidR="00394D35" w:rsidRPr="009F1E07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Mayo </w:t>
            </w:r>
            <w:r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del </w:t>
            </w:r>
            <w:r w:rsidR="00394D35" w:rsidRPr="009F1E07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2026</w:t>
            </w:r>
            <w:r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                    12:26 AM</w:t>
            </w:r>
          </w:p>
        </w:tc>
      </w:tr>
      <w:tr w:rsidR="00394D35" w:rsidRPr="009F1E07" w:rsidTr="009F1E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9F1E07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9F1E0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Preparado por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9F1E07" w:rsidP="009F1E0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Daniel R. Crespo</w:t>
            </w:r>
          </w:p>
        </w:tc>
      </w:tr>
    </w:tbl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9F1E07" w:rsidRPr="009F1E07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.75pt" o:hralign="center" o:hrstd="t" o:hr="t" fillcolor="#a0a0a0" stroked="f"/>
        </w:pict>
      </w:r>
    </w:p>
    <w:p w:rsidR="00394D35" w:rsidRPr="009F1E07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F1E07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ÍNDICE</w:t>
      </w:r>
    </w:p>
    <w:p w:rsidR="00394D35" w:rsidRPr="009F1E07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F1E07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Resumen Ejecutivo</w:t>
      </w:r>
    </w:p>
    <w:p w:rsidR="00394D35" w:rsidRPr="009F1E07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F1E07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Infraestructura y Presupuesto Mensual</w:t>
      </w:r>
    </w:p>
    <w:p w:rsidR="00394D35" w:rsidRPr="009F1E07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9F1E07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Moneda y Red: Justificación Técnica</w:t>
      </w:r>
    </w:p>
    <w:p w:rsidR="00394D35" w:rsidRPr="00394D35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Funcionamiento de la API y Flujo de Compra</w:t>
      </w:r>
    </w:p>
    <w:p w:rsidR="00394D35" w:rsidRPr="00394D35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Arquitectura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Técnica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del Sistema</w:t>
      </w:r>
    </w:p>
    <w:p w:rsidR="00394D35" w:rsidRPr="00394D35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Hoja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Ruta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Desarrollo</w:t>
      </w:r>
      <w:proofErr w:type="spellEnd"/>
    </w:p>
    <w:p w:rsidR="00394D35" w:rsidRPr="00394D35" w:rsidRDefault="00394D35" w:rsidP="00394D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Conclusión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Próximos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Pasos</w:t>
      </w:r>
      <w:proofErr w:type="spellEnd"/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394D35" w:rsidRPr="00394D35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1. RESUMEN EJECUTIVO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Este documento describe la solución técnica completa para la plataforma de venta de arte de la </w:t>
      </w: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ONG Pont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Culturel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La plataforma funcionará durante el festival de septiembre de 2026 y, posteriormente, como un mercado permanente de arte digital.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propuesta se sostiene sobre tres pilares complementarios.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Eficiencia económica.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Utilizar la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USDC sobre la red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reduce el costo de cada transacción a 0,002 dólares, una cifra 42 veces inferior a la de la red principal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Ethereum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Para un volumen estimado de 225 ventas durante el festival, el gasto total en comisiones de red no superará los 20 dólares.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Infraestructura ligera y escalable.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La plataforma emplea servicios en la nube por un costo mensual de 36,25 dólares, una conexión gratuita a la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mediante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Alchemy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almacenamiento de imágenes sin costo con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Cloudinary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Arquitectura moderna y segura.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sistema se compone de un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FastAPI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base de datos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PostgreSQL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un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React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un contrato inteligente de custodia desplegado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autenticación mediante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JWT y monitoreo continuo de la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plataforma permite a coleccionistas de cualquier parte del mundo comprar obras de artistas cubanos pagando con USDC (u opcionalmente con ETH), con liquidación instantánea, custodia segura de los fondos y liberación del pago controlada por la ONG.</w:t>
      </w: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.75pt" o:hralign="center" o:hrstd="t" o:hr="t" fillcolor="#a0a0a0" stroked="f"/>
        </w:pict>
      </w:r>
    </w:p>
    <w:p w:rsidR="00394D35" w:rsidRPr="00394D35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2. INFRAESTRUCTURA Y PRESUPUESTO MENSUAL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2.1 Arquitectura de servidores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La infraestructura se organiza en capas comunicadas entre sí: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recibe las peticiones de los usuarios,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procesa la lógica de negocio y coordina los distintos servicios, y la capa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ejecuta las transacciones de custodia.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flujo de datos es el siguiente: las aplicaciones de los usuarios se comunican con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 través de una API REST.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lee y escribe en la base de datos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PostgreSQL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envía tareas asíncronas 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Redis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monitorea los eventos del contrato inteligente mediante una conexión RPC 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Las imágenes de las obras se almacenan y sirven desde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Cloudinary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 xml:space="preserve">2.2 Servicios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cloud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 y costos mensuales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374"/>
        <w:gridCol w:w="2179"/>
        <w:gridCol w:w="1958"/>
        <w:gridCol w:w="1808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Función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Proveedor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mensual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(USD)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Servidor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API y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monitoreo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Railway.app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2 vCPU, 4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25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Base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Railway (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integrado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2 GB +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10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Cola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tareas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Railway (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integrado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256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RPC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Conexión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a la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blockchain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gratuita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Almacenamiento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imágenes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Obras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de 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25 GB +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Dominio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URL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pública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Namecheap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/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Cloudflare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.org o .art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1,25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Correo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transaccional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Notificaciones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Resend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100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correos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/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Monitoreo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Registro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errores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Plan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gratuito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36,25</w:t>
            </w:r>
          </w:p>
        </w:tc>
      </w:tr>
    </w:tbl>
    <w:p w:rsidR="009F1E07" w:rsidRDefault="009F1E07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La plataforma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Railway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incluye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PostgreSQL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Redis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dentro del mismo plan, lo que simplifica la administración. Si el tráfico durante el festival supera las previsiones, se puede escalar a un plan superior por solo 20 dólares adicionales al mes.</w:t>
      </w: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 xml:space="preserve">2.3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Costos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únicos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iniciales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5"/>
        <w:gridCol w:w="2385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(USD)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Despliegue del contrato inteligente en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15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Verificación del contrato en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Arbiscan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Configuración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inicial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servidores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Auditoría de seguridad del contrato (opcional, recomendada)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3.000 a 5.000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Total sin </w:t>
            </w:r>
            <w:proofErr w:type="spellStart"/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auditoría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15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Total con </w:t>
            </w:r>
            <w:proofErr w:type="spellStart"/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auditoría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3.015 a 5.015</w:t>
            </w:r>
          </w:p>
        </w:tc>
      </w:tr>
    </w:tbl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394D35" w:rsidRPr="00394D35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 MONEDA Y RED: JUSTIFICACIÓN TÉCNICA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3.1 Moneda de pago principal: USDC en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proofErr w:type="spellEnd"/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USDC es una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stablecoin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emitida por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Circle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cuyo valor se mantiene estable en una relación de 1:1 con el dólar estadounidense. Su respaldo está verificado por auditorías mensuales publicadas durante más de 41 meses consecutivos. Es un activo regulado en Estados Unidos y cumple con las normativas internacionales aplicables. En Canadá, la adopción de USDC es creciente: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Coinbase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Canadá ofrece un rendimiento anual del 4,5% por mantenerla y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Paytrie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ha ampliado su infraestructura para facilitar su uso.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es una capa 2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Ethereum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que agrupa múltiples transacciones y las registra en la red principal de forma periódica, lo que reduce drásticamente los costos. Es la capa 2 con mayor valor total bloqueado (16.640 millones de dólares) y ha procesado más de 2.100 millones de transacciones acumuladas. El precio de cada transferencia en esta red es de apenas 0,002 dólares. Su solidez está respaldada por instituciones como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BlackRock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Franklin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Templeton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Robinhood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3.2 Comparativa de costos por transacción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69"/>
        <w:gridCol w:w="2430"/>
        <w:gridCol w:w="2561"/>
        <w:gridCol w:w="2817"/>
      </w:tblGrid>
      <w:tr w:rsidR="00394D35" w:rsidRPr="009F1E07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Moneda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por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Costo de intercambio a ETH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Porcentaje sobre venta de 50 USD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0,002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0,08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0,16%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Ethereum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0,25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3,20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6,9%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USDT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0,08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0,16%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0,004%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Bitcoin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1,50 a 5,00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3% a 10%</w:t>
            </w:r>
          </w:p>
        </w:tc>
      </w:tr>
    </w:tbl>
    <w:p w:rsidR="009F1E07" w:rsidRDefault="009F1E07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Proyección para 225 transacciones (un festival):</w:t>
      </w:r>
    </w:p>
    <w:p w:rsidR="00394D35" w:rsidRPr="00394D35" w:rsidRDefault="00394D35" w:rsidP="00394D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USDC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18,45 USD en comisiones totales.</w:t>
      </w:r>
    </w:p>
    <w:p w:rsidR="00394D35" w:rsidRPr="00394D35" w:rsidRDefault="00394D35" w:rsidP="00394D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USDC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en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Ethereum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>capa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</w:rPr>
        <w:t xml:space="preserve"> 1: 776,25 USD.</w:t>
      </w:r>
    </w:p>
    <w:p w:rsidR="00394D35" w:rsidRPr="00394D35" w:rsidRDefault="00394D35" w:rsidP="00394D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Ahorro de 757,80 USD por festival solo en comisiones de red.</w:t>
      </w: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 xml:space="preserve">3.3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Volatilidad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y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estabilidad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5325"/>
        <w:gridCol w:w="4492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Activo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Volatilidad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diaria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promedio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¿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Apto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para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comercio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?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Excelente</w:t>
            </w:r>
            <w:proofErr w:type="spellEnd"/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USDT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0,01%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Bueno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3% a 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Riesgo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alto</w:t>
            </w:r>
          </w:p>
        </w:tc>
      </w:tr>
      <w:tr w:rsidR="00394D35" w:rsidRPr="00394D35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2% a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Inaceptable</w:t>
            </w:r>
            <w:proofErr w:type="spellEnd"/>
          </w:p>
        </w:tc>
      </w:tr>
    </w:tbl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USDC garantiza que el comprador pague exactamente el precio acordado y que el artista reciba el valor esperado, sin que las fluctuaciones del mercado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afecten la operación.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3.4 Opción secundaria: ETH en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proofErr w:type="spellEnd"/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Se puede aceptar ETH como método de pago alternativo. Para evitar la exposición a la volatilidad, el sistema puede convertir automáticamente el ETH recibido a USDC mediante un intercambio descentralizado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un costo adicional de aproximadamente 0,08 dólares por operación.</w:t>
      </w: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394D35" w:rsidRPr="00394D35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4. FUNCIONAMIENTO DE LA API Y FLUJO DE COMPRA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4.1 Flujo completo de una compra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proceso de compra se desarrolla en nueve pasos: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visitante explora el catálogo, donde cada obra muestra su precio en dólares estadounidenses y su equivalente exacto en USDC.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Al decidir la compra, pulsa el botón correspondiente.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envía una solicitud de creación de orden al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registra la orden con estado «pendiente» y devuelve los datos necesarios para que el comprador ejecute la transacción en la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 un identificador único, la dirección del contrato inteligente de custodia y los parámetros requeridos.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comprador, a través de su billetera digital, firma y envía la transacción al contrato inteligente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Si el pago es en USDC, primero autoriza la transferencia del monto al contrato.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contrato inteligente bloquea los fondos y emite un evento confirmando la creación del depósito.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monitor del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detecta el evento, actualiza la orden al estado «pagado» y guarda el identificador de la transacción.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ONG entrega la obra física al comprador. Una vez confirmada la recepción, accede al panel de administración y autoriza la liberación del pago. Esta autorización se firma con una billetera hardware, sin que la clave privada salga del dispositivo.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contrato inteligente transfiere los fondos en USDC (o ETH) directamente a la billetera del artista.</w:t>
      </w:r>
    </w:p>
    <w:p w:rsidR="00394D35" w:rsidRPr="00394D35" w:rsidRDefault="00394D35" w:rsidP="00394D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artista recibe el pago en su billetera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Si desea convertir los fondos a moneda local, puede hacerlo mediante servicios de intercambio entre pares disponibles en Cuba.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4.2 Descripción de los servicios de la API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interfaz de programación de aplicaciones expone varios puntos de acceso públicos y protegidos.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Catálogo público.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Una petición de tipo GET a la ruta de obras devuelve una lista con los datos de cada pieza: identificador único, título, nombre y dirección de billetera del artista, precio en dólares estadounidenses, equivalente en USDC, y las direcciones de las imágenes optimizadas servidas desde la red de distribución de contenido.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Creación de órdenes.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Al enviar una petición de tipo POST con los datos de la obra, la dirección del artista, la dirección del comprador, el importe y la moneda seleccionada, el sistema responde con un identificador único de orden y un identificador de 32 bytes para la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También devuelve la dirección del contrato inteligente de custodia, el método que debe invocarse y los parámetros exactos que el comprador utilizará en su transacción.</w:t>
      </w:r>
    </w:p>
    <w:p w:rsidR="009F1E07" w:rsidRDefault="009F1E07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Confirmación de pago.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Una vez que el comprador ha enviado la transacción, puede notificar al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el identificador de la misma mediante una petición POST. El sistema marca la orden como pagada y la deja a la espera de la liberación por parte de la ONG. Adicionalmente, el monitor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confirma la operación de forma automática.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Liberación de pago.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Un punto de acceso protegido con autenticación JWT permite a la ONG liberar los fondos.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prepara la transacción, que debe ser firmada por la billetera hardware del administrador. Una vez emitida la firma,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envía la transacción a la red y actualiza la orden con el estado «liberado».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Autenticación de administradores.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inicio de sesión se realiza mediante una petición POST con nombre de usuario y contraseña, que devuelve un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acceso con validez de 30 minutos.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Panel del artista.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una fase posterior al producto mínimo viable, se habilitará un punto de acceso que permita al artista consultar el estado de sus obras vendidas, los importes y las fechas de liberación.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aplicación móvil que se desarrollará en paralelo deberá integrar una biblioteca de conexión a billeteras digitales para construir y enviar las transacciones al contrato inteligente usando los datos proporcionados por la API.</w:t>
      </w: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394D35" w:rsidRPr="00394D35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5. ARQUITECTURA TÉCNICA DEL SISTEMA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5.1 Organización de los componentes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El sistema se estructura en tres niveles principales: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Nivel de presentación.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construido con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React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TailwindCSS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es el punto de contacto con los usuarios. Ofrece el catálogo de obras, el proceso de pago guiado con conexión directa a billeteras digitales, y los paneles de administración para la ONG. La interfaz está diseñada para funcionar como una aplicación web progresiva instalable en dispositivos móviles.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Nivel de negocio.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desarrollado con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FastAPI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sobre Python, expone la API REST, gestiona la autenticación y la lógica de negocio, y coordina la comunicación con la base de datos,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Redis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la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Se apoya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SQLAlchemy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para el acceso a datos y en Web3.py para interactuar con el contrato inteligente.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Nivel de datos y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blockchain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PostgreSQL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almacena la información de artistas, obras y órdenes, garantizando integridad referencial y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transaccionalidad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Redis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funciona como caché y como cola de mensajes para las tareas asíncronas de monitoreo ejecutadas con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Celery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El contrato inteligente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ArtEscrow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, desplegado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gestiona la custodia de los pagos en USDC y ETH, controlando el bloqueo y la liberación de fondos.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Las imágenes se almacenan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Cloudinary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se distribuyen a través de su red de distribución de contenido, lo que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aligera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la carga del servidor principal y acelera la visualización.</w:t>
      </w: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 xml:space="preserve">5.2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Tecnologías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utilizadas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943"/>
        <w:gridCol w:w="5286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Tecnología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Justificación</w:t>
            </w:r>
            <w:proofErr w:type="spellEnd"/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React 18,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Vite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,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TailwindCSS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, ethers.js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Aplicación rápida, diseño adaptable, conexión nativa a billeteras.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Python 3.12, FastAPI, Uvicorn, SQLAlchemy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Alto rendimiento,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tipado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fuerte, biblioteca madura para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Base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Transacciones ACID, integridad referencial, escalabilidad.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Caché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y 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Redis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+ Celery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Ejecución de monitoreo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en segundo plano.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Blockchain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One + Solidity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Costos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ultrabajos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seguridad heredada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Ethereum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alta velocidad.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Despliegue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Docker Compose, Railway,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Integración y despliegue continuos, escalado sin intervención manual.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Almacenamiento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Cloudinary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Imágenes adaptadas automáticamente, carga rápida global.</w:t>
            </w:r>
          </w:p>
        </w:tc>
      </w:tr>
    </w:tbl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9F1E07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lastRenderedPageBreak/>
        <w:t>5.3 Seguridad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Autenticación.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El acceso al panel de administración se realiza mediante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JWT con una validez de 30 minutos, acompañados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tokens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refresco para evitar reintroducir credenciales constantemente.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Gestión de claves privadas.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La clave privada de la ONG que permite liberar los pagos se almacena exclusivamente en una billetera de hardware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Ledger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nunca tiene acceso a esta clave. El panel de administración se conecta directamente a la billetera para solicitar la firma de la transacción; una vez firmada,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la transmite a la red.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Contrato inteligente.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Incluye protecciones contra ataques de reentrada mediante el estándar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ReentrancyGuard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de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OpenZeppelin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El código será verificado públicamente en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Arbiscan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se someterá a una auditoría externa antes del lanzamiento.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Se aplican políticas de intercambio de recursos de origen cruzado restringidas, limitación de velocidad en los puntos de acceso públicos, validación estricta de todas las entradas y análisis periódico de dependencias.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Base de datos.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Solo es accesible desde el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mediante la API. Las credenciales de acceso se almacenan en variables de entorno y se realizan copias de seguridad diarias.</w:t>
      </w: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5.4 Escalabilidad</w:t>
      </w:r>
    </w:p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El sistema está dimensionado para soportar el tráfico previsto durante el festival: 500 usuarios concurrentes y un ritmo aproximado de dos compras por minuto.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Railway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permite aumentar los recursos verticalmente con un solo clic si la demanda supera las proyecciones. Para un crecimiento a largo plazo, se puede migrar la infraestructura a un clúster con balanceador de carga sin modificar la lógica de la aplicación.</w:t>
      </w: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394D35" w:rsidRPr="00394D35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6. HOJA DE RUTA DE DESARROLLO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563"/>
        <w:gridCol w:w="4079"/>
        <w:gridCol w:w="3016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Fase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Duración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Actividades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Entregables</w:t>
            </w:r>
            <w:proofErr w:type="spellEnd"/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F1: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Configuración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Semana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Desplegar el contrato en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One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crear el proyecto en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Railway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configurar la base de datos y las migraciones.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Contrato verificado en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Arbiscan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operativo con puntos de acceso de prueba.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F2: Núcleo del producto mínimo viable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2 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Desarrollar la gestión de obras y artistas, la creación y consulta de órdenes, y el monitor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API funcional, panel de administración básico y panel para artistas con estado de órdenes.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F3: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Integración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con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billeteras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5 a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Implementar el proceso de pago con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MetaMask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WalletConnect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incluyendo la autorización de USDC y la llamada al contrato de custodia.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Flujo de compra completo probado en la red de pruebas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F4: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Auditoría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Semana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Revisión externa del contrato inteligente por una firma especializada.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Informe de auditoría y correcciones aplicadas.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F5: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Pruebas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Semanas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8 y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Ejecutar pruebas de carga, validar la experiencia de usuario con personas reales y ajustar los detalles finales.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Informe de pruebas y versión estable candidata a producción.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F6: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Lanzamiento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Semana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Desplegar la versión final en producción, redactar la documentación y capacitar al personal de la ONG.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Plataforma lista para el festival.</w:t>
            </w:r>
          </w:p>
        </w:tc>
      </w:tr>
    </w:tbl>
    <w:p w:rsidR="00394D35" w:rsidRPr="00394D35" w:rsidRDefault="00394D35" w:rsidP="00394D35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 objetivo:</w:t>
      </w: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primera semana de septiembre de 2026.</w:t>
      </w:r>
    </w:p>
    <w:p w:rsidR="00394D35" w:rsidRPr="009F1E07" w:rsidRDefault="00394D35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94D35" w:rsidRPr="00394D35" w:rsidRDefault="009F1E07" w:rsidP="00394D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394D35" w:rsidRPr="009F1E07" w:rsidRDefault="00394D35" w:rsidP="00394D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9F1E07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7. CONCLUSIÓN Y PRÓXIMOS PASOS</w:t>
      </w: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  <w:r w:rsidRPr="009F1E07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7.1 Resumen de la propuesta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438"/>
        <w:gridCol w:w="6661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Decisión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Beneficio</w:t>
            </w:r>
            <w:proofErr w:type="spellEnd"/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Moneda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pago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Estabilidad 1:1 con el dólar, eliminación del riesgo de volatilidad.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Red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blockchain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Costo de 0,002 dólares por transacción, 42 veces más barato que la capa 1 de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Ethereum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FastAPI +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Alto rendimiento, ecosistema Python maduro,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tipado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fuerte.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Contrato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inteligente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ArtEscrow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Solidity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Custodia segura, liberación controlada por la ONG, posibilidad de reembolso automático.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Infraestructura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Railway + 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36,25 dólares mensuales, escalabilidad inmediata, administración mínima.</w:t>
            </w:r>
          </w:p>
        </w:tc>
      </w:tr>
    </w:tbl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9F1E07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</w:pPr>
    </w:p>
    <w:p w:rsidR="00394D35" w:rsidRPr="00394D35" w:rsidRDefault="00394D35" w:rsidP="00394D35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 xml:space="preserve">7.2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Riesgos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y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mitigaciones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8455"/>
      </w:tblGrid>
      <w:tr w:rsidR="00394D35" w:rsidRPr="00394D35" w:rsidTr="00394D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Riesgo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Mitigación</w:t>
            </w:r>
            <w:proofErr w:type="spellEnd"/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La ONG no obtiene financiamiento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Solo se ha invertido tiempo de estudio, no recursos económicos. El conocimiento generado se puede aplicar a futuros proyectos.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Plazos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ajustados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para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septiembre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La arquitectura modular y la separación clara de responsabilidades entre el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la aplicación permiten iniciar el desarrollo de inmediato una vez firmado el acuerdo.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Cambios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los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</w:rPr>
              <w:t>requisitos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La API y el contrato inteligente están diseñados de forma desacoplada, lo que permite modificar partes del sistema sin afectar al resto.</w:t>
            </w:r>
          </w:p>
        </w:tc>
      </w:tr>
      <w:tr w:rsidR="00394D35" w:rsidRPr="009F1E07" w:rsidTr="00394D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Sanciones internacionales relacionadas con Cuba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D35" w:rsidRPr="00394D35" w:rsidRDefault="00394D35" w:rsidP="00394D35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Asesoría legal especializada desde el inicio. Los pagos no transitan por el sistema bancario estadounidense: los artistas reciben </w:t>
            </w:r>
            <w:proofErr w:type="spellStart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stablecoins</w:t>
            </w:r>
            <w:proofErr w:type="spellEnd"/>
            <w:r w:rsidRPr="00394D35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directamente en sus billeteras y las convierten a pesos cubanos mediante servicios de intercambio locales.</w:t>
            </w:r>
          </w:p>
        </w:tc>
      </w:tr>
    </w:tbl>
    <w:p w:rsidR="009F1E07" w:rsidRDefault="009F1E07" w:rsidP="00394D3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</w:p>
    <w:p w:rsidR="00394D35" w:rsidRPr="00394D35" w:rsidRDefault="00394D35" w:rsidP="00394D35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</w:rPr>
      </w:pPr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7.3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Próximos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pasos</w:t>
      </w:r>
      <w:proofErr w:type="spellEnd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inmediatos</w:t>
      </w:r>
      <w:proofErr w:type="spellEnd"/>
    </w:p>
    <w:p w:rsidR="00394D35" w:rsidRPr="00394D35" w:rsidRDefault="00394D35" w:rsidP="00394D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Revisión y aprobación de esta propuesta por parte de la ONG Pont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Culturel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394D35" w:rsidRPr="00394D35" w:rsidRDefault="00394D35" w:rsidP="00394D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Despliegue de una demostración funcional en la red de pruebas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</w:t>
      </w:r>
      <w:proofErr w:type="spellStart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Sepolia</w:t>
      </w:r>
      <w:proofErr w:type="spellEnd"/>
      <w:r w:rsidRPr="00394D35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072042" w:rsidRPr="00394D35" w:rsidRDefault="00072042">
      <w:pPr>
        <w:rPr>
          <w:lang w:val="es-ES"/>
        </w:rPr>
      </w:pPr>
    </w:p>
    <w:sectPr w:rsidR="00072042" w:rsidRPr="00394D35" w:rsidSect="00394D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12781"/>
    <w:multiLevelType w:val="multilevel"/>
    <w:tmpl w:val="99B4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65ED1"/>
    <w:multiLevelType w:val="multilevel"/>
    <w:tmpl w:val="6050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9297D"/>
    <w:multiLevelType w:val="multilevel"/>
    <w:tmpl w:val="D548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52713"/>
    <w:multiLevelType w:val="multilevel"/>
    <w:tmpl w:val="9BC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631"/>
    <w:rsid w:val="00072042"/>
    <w:rsid w:val="00394D35"/>
    <w:rsid w:val="009F1E07"/>
    <w:rsid w:val="00B6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0EC1"/>
  <w15:chartTrackingRefBased/>
  <w15:docId w15:val="{67C6E4BD-3448-429B-9B4E-12236BD6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94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394D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94D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394D3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39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94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2503</Words>
  <Characters>14270</Characters>
  <Application>Microsoft Office Word</Application>
  <DocSecurity>0</DocSecurity>
  <Lines>118</Lines>
  <Paragraphs>33</Paragraphs>
  <ScaleCrop>false</ScaleCrop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2026-05-01T20:17:00Z</dcterms:created>
  <dcterms:modified xsi:type="dcterms:W3CDTF">2026-05-01T23:10:00Z</dcterms:modified>
</cp:coreProperties>
</file>