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PROPUEST</w:t>
      </w: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 TÉCNICA Y ECONÓMICA – PRESUPUESTO ELEVADO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Plataforma de Venta de Arte con Criptomonedas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Para: ONG Pont Culturel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961"/>
      </w:tblGrid>
      <w:tr w:rsidR="00451D85" w:rsidRPr="00451D85" w:rsidTr="00451D85">
        <w:trPr>
          <w:tblHeader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Versión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</w:rPr>
              <w:t>3</w:t>
            </w: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.0 – </w:t>
            </w:r>
            <w:r>
              <w:rPr>
                <w:rFonts w:ascii="Inter" w:eastAsia="Times New Roman" w:hAnsi="Inter" w:cs="Times New Roman"/>
                <w:sz w:val="23"/>
                <w:szCs w:val="23"/>
              </w:rPr>
              <w:t>Presupuesto Elevado</w:t>
            </w:r>
          </w:p>
        </w:tc>
      </w:tr>
      <w:tr w:rsidR="00451D85" w:rsidRPr="00451D85" w:rsidTr="00451D85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Fecha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C663E8" w:rsidP="00C663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</w:rPr>
              <w:t>1</w:t>
            </w:r>
            <w:r w:rsid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r>
              <w:rPr>
                <w:rFonts w:ascii="Inter" w:eastAsia="Times New Roman" w:hAnsi="Inter" w:cs="Times New Roman"/>
                <w:sz w:val="23"/>
                <w:szCs w:val="23"/>
              </w:rPr>
              <w:t>Mayo</w:t>
            </w:r>
            <w:r w:rsid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del 2026,                       3:23 AM</w:t>
            </w:r>
          </w:p>
        </w:tc>
      </w:tr>
      <w:tr w:rsidR="00451D85" w:rsidRPr="00451D85" w:rsidTr="00451D85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Preparado por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Daniel R. Crespo</w:t>
            </w:r>
          </w:p>
        </w:tc>
      </w:tr>
    </w:tbl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ÍNDICE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Resumen Ejecutivo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Introducción y Alcance del Proyecto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Requerimientos de Negocio y Partes Interesadas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Arquitectura de Pagos y Justificación de Mercado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Análisis Comparativo de Referencias de la Industria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Funcionamiento de la API y Flujo de Compra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Arquitectura</w:t>
      </w:r>
      <w:bookmarkStart w:id="0" w:name="_GoBack"/>
      <w:bookmarkEnd w:id="0"/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Técnica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del Sistema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Seguridad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Cumplimiento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Normativo</w:t>
      </w:r>
      <w:proofErr w:type="spellEnd"/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Hoja de Ruta y Plan de Desarrollo</w:t>
      </w:r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Riesgos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Mitigación</w:t>
      </w:r>
      <w:proofErr w:type="spellEnd"/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Conclusión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Próximos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Pasos</w:t>
      </w:r>
      <w:proofErr w:type="spellEnd"/>
    </w:p>
    <w:p w:rsidR="00451D85" w:rsidRPr="00451D85" w:rsidRDefault="00451D85" w:rsidP="00451D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Apéndice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 xml:space="preserve">: Fuentes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</w:rPr>
        <w:t>Referencia</w:t>
      </w:r>
      <w:proofErr w:type="spellEnd"/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1. RESUMEN EJECUTIVO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Este documento presenta la solución técnica completa para la plataforma de venta de arte de la </w:t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ONG Pont Culturel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que operará durante el festival de septiembre de 2026 y, posteriormente, como mercado permanente de arte digital. La propuesta ha sido diseñada siguiendo estándares internacionales como el marco IEEE 2140.5-2020 para custodia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criptoactivos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el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Standard en materia de transparencia y respaldo, así como las mejores prácticas en arquitectura de contratos inteligentes.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La solución se articula en torno a cuatro pilares estratégicos: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Rendimiento financiero óptimo.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La combinación de USDC sobre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reduce el costo de cada transacción a 0,002 dólares, lo que representa un ahorro del 98% frente a las pasarelas de pago tradicionales. El mercado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valorado en cerca de 250.000 millones de dólares a mayo de 2025, 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 xml:space="preserve">muestra un crecimiento sostenido: el uso de USDC aumentó un 337% interanual y hoy representa el 68% de todos los pagos con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Infraestructura de grado empresarial.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Railway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balanceo de carga,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réplicas de lectura y monitoreo continuo mediante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Sentry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El costo mensual completo asciende a 57,25 dólares, con capacidad de escalar sin intervención manual.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Seguridad de nivel institucional.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contrato inteligente de custodia, verificado públicamente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Arbiscan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incluye protección contra ataques de reentrada. Las claves privadas de la ONG se gestionan mediante una billetera de hardware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Ledger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que nunca se conecta a los servidores. La autenticación se realiza con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JWT de corta duración y rotación automática.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Validación de mercado.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procesa 1,5 millones de transacciones diarias con un valor total bloqueado de 2.800 millones de dólares. El 64% de los comerciantes prefiere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en soluciones de capa 2, y más de 32.000 negocios en el mundo ya aceptan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como medio de pago.</w:t>
      </w: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lastRenderedPageBreak/>
        <w:t>2. INTRODUCCIÓN Y ALCANCE DEL PROYECTO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2.1 Visión del proyecto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Crear una plataforma de comercio electrónico especializada que permita a la ONG Pont Culturel promocionar y vender las obras de los artistas cubanos asociados, tanto durante la feria de septiembre como en su operación posterior. La plataforma elimina las barreras financieras tradicionales al permitir pagos con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ofreciendo una solución rápida, segura y de alcance global.</w:t>
      </w:r>
    </w:p>
    <w:p w:rsidR="00451D85" w:rsidRPr="00451D85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2.2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Objetivos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clave</w:t>
      </w:r>
    </w:p>
    <w:p w:rsidR="00451D85" w:rsidRPr="00451D85" w:rsidRDefault="00451D85" w:rsidP="00451D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Lanzar para la feria.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Disponer de una versión funcional, estable y segura de la plataforma en la primera semana de septiembre de 2026.</w:t>
      </w:r>
    </w:p>
    <w:p w:rsidR="00451D85" w:rsidRPr="00451D85" w:rsidRDefault="00451D85" w:rsidP="00451D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Facilitar ventas globales.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Permitir la compra de obras por parte de coleccionistas de cualquier país, utilizando principalmente USDC y, de forma secundaria, ETH.</w:t>
      </w:r>
    </w:p>
    <w:p w:rsidR="00451D85" w:rsidRPr="00451D85" w:rsidRDefault="00451D85" w:rsidP="00451D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Empoderar a los artistas.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Proveer una vitrina digital profesional y un medio de cobro eficiente, evitando las demoras y los costos de la banca tradicional.</w:t>
      </w:r>
    </w:p>
    <w:p w:rsidR="00451D85" w:rsidRPr="00451D85" w:rsidRDefault="00451D85" w:rsidP="00451D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Demostrar tracción.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Validar el modelo de negocio durante la feria para atraer a más artistas, compradores y futuras rondas de inversión.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2.3 Valor aportado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la ONG.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Una herramienta innovadora que moderniza su propuesta, atrae a un nuevo perfil de coleccionista tecnológico y posiciona a la organización como referente en el sector cultural.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los artistas.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Acceso a un mercado global sin intermediarios costosos. Los pagos se reciben en minutos, con la opción de mantener los fondos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criptoactivos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o convertirlos a moneda local.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los coleccionistas.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Una experiencia de compra fluida, segura y cotidiana para el público que ya utiliza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con la certeza de que apoyan directamente una causa social.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el inversor.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 modelo de negocio respaldado por datos concretos de 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mercado que muestran un crecimiento del 337% en el uso de USDC y un ahorro del 98% en costos frente a los sistemas de pago tradicionales.</w:t>
      </w: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 REQUERIMIENTOS DE NEGOCIO Y PARTES INTERESADAS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3.1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Partes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interesadas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372"/>
        <w:gridCol w:w="6521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Parte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interesada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Interés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principal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ONG Pont Culturel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Operador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del festival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Recaudar fondos para los artistas y mostrar innovación tecnológica.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Artistas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cubanos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Beneficiarios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finales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Vender sus obras y recibir pagos de forma rápida y segura.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Coleccionistas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Compradores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Adquirir arte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criptomonedas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apoyar una causa social.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Equipo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desarrollo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Constructores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Implementar una solución robusta, escalable y segura.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Reguladores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canadienses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Supervisores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Garantizar el cumplimiento de normativas de prevención de lavado de dinero y sanciones internacionales.</w:t>
            </w:r>
          </w:p>
        </w:tc>
      </w:tr>
    </w:tbl>
    <w:p w:rsidR="00451D85" w:rsidRPr="00451D85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3.2 Requerimientos funcionales para el producto mínimo viable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Catálogo digital de artistas.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Perfiles curados con biografía, declaración artística y galería de obras. Cada pieza dispone de una página propia con imágenes de alta resolución, descripción, técnica, dimensiones y precio en dólares, con conversión en tiempo real a las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admitidas.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Pasarela de pago con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Integración directa con el contrato inteligente de custodia desplegado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El comprador conecta su billetera mediante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MetaMask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o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WalletConnect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completa la transacción en segundos.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Sistema de custodia.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Los fondos se bloquean en el contrato inteligente. Una vez que la ONG confirma la entrega de la obra y el comprador notifica la recepción satisfactoria —o transcurrido un plazo predefinido—, la ONG libera el pago al artista.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de administración para la ONG.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Permite gestionar artistas y obras, visualizar transacciones en tiempo real, controlar el proceso de custodia y generar informes de ventas.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para el artista.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Ofrece visibilidad sobre el estado de cada obra: disponible, vendida, con pago pendiente de liberación o liberado, así como el historial completo de ventas.</w:t>
      </w:r>
    </w:p>
    <w:p w:rsidR="00451D85" w:rsidRPr="00451D85" w:rsidRDefault="00451D85" w:rsidP="00451D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Diseño atractivo y adaptable.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Interfaz visualmente cuidada para la exhibición de arte, optimizada para dispositivos móviles y tabletas.</w:t>
      </w:r>
    </w:p>
    <w:p w:rsidR="00451D85" w:rsidRPr="00C663E8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3.3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Requerimientos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no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funcionales</w:t>
      </w:r>
      <w:proofErr w:type="spellEnd"/>
    </w:p>
    <w:p w:rsidR="00451D85" w:rsidRPr="00451D85" w:rsidRDefault="00451D85" w:rsidP="00451D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Rendimiento.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Soporte para 500 usuarios simultáneos, con un tiempo de carga de página inferior a dos segundos.</w:t>
      </w:r>
    </w:p>
    <w:p w:rsidR="00451D85" w:rsidRPr="00451D85" w:rsidRDefault="00451D85" w:rsidP="00451D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Disponibilidad.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99,9% de tiempo de actividad durante el festival, con monitoreo continuo.</w:t>
      </w:r>
    </w:p>
    <w:p w:rsidR="00451D85" w:rsidRPr="00451D85" w:rsidRDefault="00451D85" w:rsidP="00451D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Seguridad.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Cumplimiento de los estándares OWASP, claves privadas en billetera de hardware sin exposición a los servidores, y auditoría de seguridad externa.</w:t>
      </w:r>
    </w:p>
    <w:p w:rsidR="00451D85" w:rsidRPr="00451D85" w:rsidRDefault="00451D85" w:rsidP="00451D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Escalabilidad.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Infraestructura elástica que absorbe picos de tráfico sin degradar el servicio.</w:t>
      </w:r>
    </w:p>
    <w:p w:rsidR="00451D85" w:rsidRPr="00451D85" w:rsidRDefault="00451D85" w:rsidP="00451D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Cumplimiento normativo.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Alineación con la Ley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Canadá y con las regulaciones aplicables en materia de prevención de lavado de dinero.</w:t>
      </w: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 ARQUITECTURA DE PAGOS Y JUSTIFICACIÓN DE MERCADO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4.1 Moneda de pago principal: USDC en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USDC es una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respaldada por dólares estadounidenses y activos del Tesoro de Estados Unidos.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Circle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su emisor, publica auditorías mensuales desde hace más de 41 meses. La moneda está regulada en Estados Unidos y cumple con los requisitos de la normativa europea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MiCA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En Canadá, su adopción se acelera: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Coinbase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Canadá ofrece un rendimiento del 4,5% anual por mantenerla,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Paytrie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ha extendido su infraestructura para facilitar su uso.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es la capa 2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Ethereum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mayor valor total bloqueado (16.640 millones de dólares). Procesa 1,5 millones de transacciones al día y ha acumulado más de 2.100 millones de operaciones. El costo por transferencia es de 0,002 dólares, y la participación de USDC en la red ha pasado del 44% al 58% en meses recientes, con respaldo activo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BlackRock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Franklin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Templeton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Robinhood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4.2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Comparativa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costos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por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transacción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284"/>
        <w:gridCol w:w="2874"/>
        <w:gridCol w:w="3690"/>
      </w:tblGrid>
      <w:tr w:rsidR="00451D85" w:rsidRPr="00131B1C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Moneda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por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Porcentaje sobre venta de 50 USD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0,004%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Ethereum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0,25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0,5%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0,004%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0,004%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Bitcoin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1,50 a 5,00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3% a 10%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Tarjeta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crédito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Visa/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Mastercard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2,5% a 3,5% + 0,30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3,1% a 4,1%</w:t>
            </w:r>
          </w:p>
        </w:tc>
      </w:tr>
    </w:tbl>
    <w:p w:rsid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Proyección para 225 transacciones (un festival):</w:t>
      </w:r>
    </w:p>
    <w:p w:rsidR="00451D85" w:rsidRPr="00451D85" w:rsidRDefault="00451D85" w:rsidP="00451D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USDC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18,45 USD total (0,08% del ingreso bruto).</w:t>
      </w:r>
    </w:p>
    <w:p w:rsidR="00451D85" w:rsidRPr="00451D85" w:rsidRDefault="00451D85" w:rsidP="00451D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Tarjeta de crédito tradicional: entre 697,50 y 922,50 USD.</w:t>
      </w:r>
    </w:p>
    <w:p w:rsidR="00451D85" w:rsidRPr="00451D85" w:rsidRDefault="00451D85" w:rsidP="00451D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Ahorro con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cripto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: entre 679,05 y 904,05 USD por festival.</w:t>
      </w:r>
    </w:p>
    <w:p w:rsidR="00451D85" w:rsidRPr="00451D85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4.3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Tendencias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mercado</w:t>
      </w:r>
      <w:proofErr w:type="spellEnd"/>
    </w:p>
    <w:p w:rsidR="00451D85" w:rsidRPr="00451D85" w:rsidRDefault="00451D85" w:rsidP="00451D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Más de 7.800 millones de dólares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están depositados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con un volumen de transferencias de 74.000 millones de dólares en los últimos 30 días, lo que demuestra una liquidez y madurez suficientes para procesar pagos sin interrupciones.</w:t>
      </w:r>
    </w:p>
    <w:p w:rsidR="00451D85" w:rsidRPr="00451D85" w:rsidRDefault="00451D85" w:rsidP="00451D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Las empresas ahorrarán 26.000 millones de dólares hasta 2028 mediante pagos con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según Juniper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Research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451D85" w:rsidRPr="00451D85" w:rsidRDefault="00451D85" w:rsidP="00451D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41% de los comerciantes ya liquida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frente al 27% del año anterior, una tendencia que continuará acelerándose.</w:t>
      </w: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5. ANÁLISIS COMPARATIVO DE REFERENCIAS DE LA INDUSTRIA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5.1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Estándares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marcos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referencia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231"/>
        <w:gridCol w:w="6329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Estándar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Aplicación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proyecto</w:t>
            </w:r>
            <w:proofErr w:type="spellEnd"/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IEEE 2140.5-2020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Marco de custodia para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criptoactivos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El contrato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ArtEscrow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implementa custodia no custodiada con liberación condicional, en línea con la lógica de este estándar.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Stablecoin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Normas operativas y de transparencia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USDC cumple con todas las exigencias: auditorías mensuales y respaldo total uno a uno.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Circle Contracts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de contratos inteligentes para custodia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Nuestro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ArtEscrow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sigue el mismo modelo: crear depósito, verificar condición, liberar o reembolsar, una arquitectura ya validada por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Circle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para USDC.</w:t>
            </w:r>
          </w:p>
        </w:tc>
      </w:tr>
    </w:tbl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5.2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Casos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éxito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y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aprendizaje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540"/>
        <w:gridCol w:w="5493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Proyecto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Similitud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Lección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aprendida</w:t>
            </w:r>
            <w:proofErr w:type="spellEnd"/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One Ocean Foundation (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colección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NFT)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ONG que utilizó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para vender arte digital.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Vendieron la totalidad de los NFT en menos de un mes. Demuestra que el público responde de forma positiva a la unión de arte,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causa social.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Brush of Hope (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Malasia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Exposición de arte con NFT y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criptomonedas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para recaudar fondos.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Combinaron elementos Web2 y Web3, vendiendo el 100% de las obras.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Validan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modelo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híbrido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físico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y digital, que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aplicaremos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Ecosistema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Tezos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Art 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Más de 500.000 NFT vendidos en un año.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La adopción institucional del arte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es una realidad.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Museos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como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Musée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d'Orsay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ya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participan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activamente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</w:tbl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6. FUNCIONAMIENTO DE LA API Y FLUJO DE COMPRA</w:t>
      </w:r>
    </w:p>
    <w:p w:rsidR="00451D85" w:rsidRPr="00451D85" w:rsidRDefault="00451D85" w:rsidP="00451D8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 xml:space="preserve">6.1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Flujo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completo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una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compra</w:t>
      </w:r>
      <w:proofErr w:type="spellEnd"/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visitante accede al catálogo, donde cada obra muestra su precio en dólares y la conversión exacta a USDC y ETH.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Al decidir la compra, pulsa el botón correspondiente. El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solicita al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la creación de una orden.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registra la orden con estado «pendiente» y devuelve los datos necesarios para ejecutar la transacción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identificador único, dirección del contrato de custodia, método que debe llamarse y parámetros requeridos.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comprador, desde su billetera, firma la autorización del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USDC si es necesario y, a continuación, la transacción hacia el contrato de custodia.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contrato emite un evento confirmando la creación del depósito y los fondos quedan bloqueados.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monitor en segundo plano detecta el evento, actualiza el estado de la orden a «pagado» y registra el identificador de la transacción.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ONG entrega la obra y, una vez confirmada la recepción, el administrador autoriza la liberación desde el panel, firmando con la billetera de hardware.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contrato inteligente transfiere los fondos al artista y emite un evento de liberación.</w:t>
      </w:r>
    </w:p>
    <w:p w:rsidR="00451D85" w:rsidRPr="00451D85" w:rsidRDefault="00451D85" w:rsidP="00451D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artista recibe los fondos en su billetera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Si desea convertirlos a moneda local, utiliza servicios de intercambio entre pares disponibles en Cuba.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6.2 Descripción de los servicios de la API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Catálogo público.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Una petición GET a la ruta de obras devuelve una lista con los datos completos de cada pieza: identificador, título, datos del artista, precio en dólares, equivalente en USDC y ETH, e imágenes.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Creación de órdenes.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Al enviar una petición POST con el identificador de la obra, la dirección del artista, la dirección del comprador, el importe y la moneda, el sistema responde con el identificador único de la orden, un identificador de 32 bytes para la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la dirección del contrato de custodia y los parámetros que el comprador utilizará en su transacción.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Confirmación de pago.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Una petición POST con el identificador de la transacción permite al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notificar el envío del pago. El sistema actualiza la orden al estado «pagado».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Liberación de pago.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Accesible solo para administradores autenticados. Una petición POST a la ruta de liberación, acompañada de un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JWT y la firma de la billetera de hardware, ejecuta la transferencia de los fondos al artista.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Autenticación de administradores.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Una petición POST con credenciales devuelve un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acceso con 30 minutos de validez y un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refresco.</w:t>
      </w:r>
    </w:p>
    <w:p w:rsid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del artista.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la fase posterior al producto mínimo viable, una petición GET autenticada devolverá el listado de órdenes del artista con sus estados, importes y fechas.</w:t>
      </w:r>
    </w:p>
    <w:p w:rsidR="00451D85" w:rsidRPr="00451D85" w:rsidRDefault="00131B1C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7. ARQUITECTURA TÉCNICA DEL SISTEMA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7.1 Organización de los componentes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Nivel de presentación.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React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18 con Vite y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TailwindCSS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proporciona una aplicación de una sola página, rápida e instalable como aplicación progresiva. Las imágenes se entregan a través de la red de distribución de contenido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Cloudinary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que las optimiza dinámicamente en formato y resolución según el dispositivo.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Nivel de negocio.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FastAPI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sobre Python 3.12 gestiona la lógica de la plataforma. Los trabajadores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Uvicorn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procesan las peticiones de forma asíncrona. La comunicación con la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se realiza mediante la biblioteca Web3.py, y el acceso a datos mediante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SQLAlchemy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2.0.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Nivel de datos y procesamiento asíncrono.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almacena la información principal con réplicas de lectura opcionales.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Redis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funciona como caché y como cola de mensajes para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Celery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que ejecuta en segundo plano el monitoreo de la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las notificaciones.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 xml:space="preserve">Nivel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blockchain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contrato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ArtEscrow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programado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Solidity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las bibliotecas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OpenZeppelin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se despliega 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One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Gestiona depósitos en USDC y ETH, libera fondos bajo autorización de la ONG y permite el reembolso automático si el plazo de liberación se supera.</w:t>
      </w: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7.2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Tecnologías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utilizadas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867"/>
        <w:gridCol w:w="5793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Justificación</w:t>
            </w:r>
            <w:proofErr w:type="spellEnd"/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React 18,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Vite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TailwindCSS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, ethers.js v6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Aplicación rápida, diseño atractivo para galería, conexión nativa a billeteras.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Python 3.12, FastAPI, Uvicorn, 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Alto rendimiento,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tipado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fuerte, biblioteca Web3.py madura, programación asíncrona.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Base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PostgreSQL +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réplica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lectura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Integridad referencial, escalabilidad horizontal, copias de seguridad automatizadas.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Caché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y 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+ Celery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Monitoreo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en segundo plano sin bloquear la API.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One + Solidity (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OpenZeppelin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Costos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ultrabajos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seguridad heredada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Ethereum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protección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ReentrancyGuard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Despliegue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Docker Compose, Railway,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Integración y despliegue continuos, escalado automatizado.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Optimización dinámica de imágenes, carga diferida, adaptación a cada dispositivo.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Monitoreo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Sentry + UptimeRobot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Alertas en tiempo real, registro centralizado de errores.</w:t>
            </w:r>
          </w:p>
        </w:tc>
      </w:tr>
    </w:tbl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8. SEGURIDAD Y CUMPLIMIENTO NORMATIVO</w:t>
      </w: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8.1 Medidas de seguridad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7095"/>
        <w:gridCol w:w="2029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Medida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Estándar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referencia</w:t>
            </w:r>
            <w:proofErr w:type="spellEnd"/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Contrato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inteligente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ReentrancyGuard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auditoría externa previa al lanzamiento.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IEEE 2140.5-2020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Billeteras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Clave privada de la ONG en billetera de hardware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Ledger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. 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solo prepara la transacción; la firma se realiza desde el panel de administración.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NIST SP 800-63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Autenticación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Tokens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JWT con expiración de 30 minutos,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tokens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de refresco y autenticación de doble factor para el panel de administración.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OWASP ASVS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CORS restringido, limitación de velocidad, validación estricta de entradas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Pydantic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OWASP Top 10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Base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Acceso exclusivo desde la API, credenciales en variables de entorno, copias de seguridad diarias encriptadas.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GDPR y PCI-DSS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Comunicaciones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TLS 1.3 con certificados emitidos por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Let's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Encrypt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NIST SP 800-52</w:t>
            </w:r>
          </w:p>
        </w:tc>
      </w:tr>
    </w:tbl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8.2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Cumplimiento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normativo</w:t>
      </w:r>
      <w:proofErr w:type="spellEnd"/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Ley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de Canadá.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USDC, respaldado uno a uno y emitido por una entidad regulada, satisface los requisitos de la legislación vigente desde marzo de 2026.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Prevención de lavado de dinero y conocimiento del cliente.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La ONG verificará la identidad de los artistas, pero no la de los compradores. El contrato inteligente proporciona un registro inmutable y trazable de todas las transacciones.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Sanciones internacionales relacionadas con Cuba.</w:t>
      </w: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La asesoría legal especializada garantizará que el flujo, al ser íntegramente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-nativo, no involucre al sistema bancario estadounidense. Los artistas reciben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forma directa y las convierten mediante servicios locales de intercambio entre pares.</w:t>
      </w: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9. HOJA DE RUTA Y PLAN DE DESARROLLO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89"/>
        <w:gridCol w:w="4169"/>
        <w:gridCol w:w="2954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Duración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Actividades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clave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Entregables</w:t>
            </w:r>
            <w:proofErr w:type="spellEnd"/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Configuración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Desplegar el contrato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One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crear el proyecto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Railway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configurar la base de datos y las migraciones.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Contrato verificado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Arbiscan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operativo con puntos de acceso de prueba.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Núcleo del producto mínimo viable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2 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Desarrollar la gestión de obras y artistas, las órdenes de compra y el monitor de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funcional, paneles de administración y de artista básicos.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Integración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billeteras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5 a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Implementar el proceso de pago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MetaMask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WalletConnect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incluyendo la autorización de USDC y la invocación del contrato de custodia.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Flujo de compra completo verificado en la red de pruebas.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Auditoría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y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seguridad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7 y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Auditoría externa del contrato inteligente, refuerzo del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ajustes derivados del informe.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auditoría y correcciones aplicadas.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Pruebas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9 y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Pruebas de carga con 500 usuarios, validación de experiencia de usuario con público real y revisión final.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pruebas y versión candidata a producción.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Lanzamiento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11 y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Despliegue final en producción, documentación completa y capacitación del personal de la ONG.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lista para el festival.</w:t>
            </w:r>
          </w:p>
        </w:tc>
      </w:tr>
    </w:tbl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C663E8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9.1 Presupuesto de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servicios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profesionales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4"/>
        <w:gridCol w:w="2506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(USD)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Desarrollo del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(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FastAPI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base de datos, monitor)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15.000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Desarrollo del contrato inteligente y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8.000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Desarrollo del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frontend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(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React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aplicación progresiva)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10.000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Infraestructura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mensual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(12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meses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687</w:t>
            </w:r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33.687</w:t>
            </w:r>
          </w:p>
        </w:tc>
      </w:tr>
    </w:tbl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10. RIESGOS Y MITIGACIÓN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843"/>
        <w:gridCol w:w="1360"/>
        <w:gridCol w:w="5064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Probabilidad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Impacto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Mitigación</w:t>
            </w:r>
            <w:proofErr w:type="spellEnd"/>
          </w:p>
        </w:tc>
      </w:tr>
      <w:tr w:rsidR="00451D85" w:rsidRPr="00451D85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La ONG no obtiene financiamiento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Solo se ha consumido tiempo de estudio, no recursos financieros. </w:t>
            </w: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El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conocimiento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reutilizable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Plazos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ajustados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para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septiembre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Arquitectura modular, equipo diferenciado para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aplicación, metodología ágil.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Cambios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los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requisitos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y contrato inteligente desacoplados, diseño flexible que permite iterar sin rehacer el sistema.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Sanciones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internacionales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(Cuba)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Asesoría legal especializada. Flujo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-nativo que no toca el sistema bancario estadounidense.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Fallo de la red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Muy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Plan de contingencia documentado: cobro manual mediante una billetera fría de la ONG durante el evento.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Ataque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al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contrato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inteligente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Auditoría externa, protecciones contra reentrada y límites de gas.</w:t>
            </w:r>
          </w:p>
        </w:tc>
      </w:tr>
    </w:tbl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C663E8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11. CONCLUSIÓN Y PRÓXIMOS PASOS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mercado de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stablecoins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ha alcanzado una madurez que hace este proyecto viable y rentable. Con un ahorro de hasta el 98% en costos transaccionales frente a los pagos tradicionales, una adopción de USDC que crece al 337% interanual y una infraestructura que procesa 1,5 millones de transacciones diarias con comisiones inferiores al centavo, la combinación de USDC,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el contrato inteligente de custodia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ArtEscrow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representa la opción técnicamente superior y financieramente más inteligente.</w:t>
      </w:r>
    </w:p>
    <w:p w:rsidR="00451D85" w:rsidRPr="00451D85" w:rsidRDefault="00451D85" w:rsidP="00451D8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Próximos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pasos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inmediatos</w:t>
      </w:r>
      <w:proofErr w:type="spellEnd"/>
      <w:r w:rsidRPr="00451D8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</w:p>
    <w:p w:rsidR="00451D85" w:rsidRPr="00451D85" w:rsidRDefault="00451D85" w:rsidP="00451D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Revisión y aprobación formal de la propuesta por parte de la ONG Pont Culturel.</w:t>
      </w:r>
    </w:p>
    <w:p w:rsidR="00451D85" w:rsidRPr="00451D85" w:rsidRDefault="00451D85" w:rsidP="00451D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Contratación de asesoría legal para validar el flujo financiero con los artistas cubanos.</w:t>
      </w:r>
    </w:p>
    <w:p w:rsidR="00451D85" w:rsidRPr="00451D85" w:rsidRDefault="00451D85" w:rsidP="00451D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Firma del acuerdo y asignación del presupuesto para el inicio del desarrollo.</w:t>
      </w:r>
    </w:p>
    <w:p w:rsidR="00451D85" w:rsidRDefault="00451D85" w:rsidP="00451D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Despliegue de una prueba de concepto en la red de pruebas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Sepolia</w:t>
      </w:r>
      <w:proofErr w:type="spellEnd"/>
      <w:r w:rsidRPr="00451D8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como demostración funcional.</w:t>
      </w:r>
    </w:p>
    <w:p w:rsidR="00451D85" w:rsidRDefault="00451D85" w:rsidP="00451D85">
      <w:p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</w:p>
    <w:p w:rsidR="00451D85" w:rsidRDefault="00451D85" w:rsidP="00451D85">
      <w:p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451D85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51D85" w:rsidRPr="00451D85" w:rsidRDefault="00131B1C" w:rsidP="00451D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451D85" w:rsidRPr="00451D85" w:rsidRDefault="00451D85" w:rsidP="00451D8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451D85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12. APÉNDICE: FUENTES DE REFERENCIA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8314"/>
      </w:tblGrid>
      <w:tr w:rsidR="00451D85" w:rsidRPr="00451D85" w:rsidTr="00451D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Fuente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Dato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clave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CoinGate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H1 2025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USDC creció un 337% y representa el 68% de los pagos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criptomonedas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131B1C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"https://outposts.io/" \t "_blank" </w:instrText>
            </w:r>
            <w:r>
              <w:fldChar w:fldCharType="separate"/>
            </w:r>
            <w:r w:rsidR="00451D85" w:rsidRPr="00451D85">
              <w:rPr>
                <w:rFonts w:ascii="Inter" w:eastAsia="Times New Roman" w:hAnsi="Inter" w:cs="Times New Roman"/>
                <w:color w:val="3964FE"/>
                <w:sz w:val="23"/>
                <w:szCs w:val="23"/>
                <w:u w:val="single"/>
                <w:bdr w:val="single" w:sz="12" w:space="0" w:color="auto" w:frame="1"/>
              </w:rPr>
              <w:t>Outposts.io</w:t>
            </w:r>
            <w:r>
              <w:rPr>
                <w:rFonts w:ascii="Inter" w:eastAsia="Times New Roman" w:hAnsi="Inter" w:cs="Times New Roman"/>
                <w:color w:val="3964FE"/>
                <w:sz w:val="23"/>
                <w:szCs w:val="23"/>
                <w:u w:val="single"/>
                <w:bdr w:val="single" w:sz="12" w:space="0" w:color="auto" w:frame="1"/>
              </w:rPr>
              <w:fldChar w:fldCharType="end"/>
            </w:r>
            <w:r w:rsidR="00451D85" w:rsidRPr="00451D85">
              <w:rPr>
                <w:rFonts w:ascii="Inter" w:eastAsia="Times New Roman" w:hAnsi="Inter" w:cs="Times New Roman"/>
                <w:sz w:val="23"/>
                <w:szCs w:val="23"/>
              </w:rPr>
              <w:t> (</w:t>
            </w:r>
            <w:proofErr w:type="spellStart"/>
            <w:r w:rsidR="00451D85" w:rsidRPr="00451D85">
              <w:rPr>
                <w:rFonts w:ascii="Inter" w:eastAsia="Times New Roman" w:hAnsi="Inter" w:cs="Times New Roman"/>
                <w:sz w:val="23"/>
                <w:szCs w:val="23"/>
              </w:rPr>
              <w:t>febrero</w:t>
            </w:r>
            <w:proofErr w:type="spellEnd"/>
            <w:r w:rsidR="00451D85"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registra 53 millones de dólares en flujos netos diarios y 7.800 millones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stablecoins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OKX /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 xml:space="preserve">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La participación de USDC en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pasó del 44% al 58%.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131B1C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"https://blockeden.xyz/" \t "_blank" </w:instrText>
            </w:r>
            <w:r>
              <w:fldChar w:fldCharType="separate"/>
            </w:r>
            <w:proofErr w:type="spellStart"/>
            <w:r w:rsidR="00451D85" w:rsidRPr="00451D85">
              <w:rPr>
                <w:rFonts w:ascii="Inter" w:eastAsia="Times New Roman" w:hAnsi="Inter" w:cs="Times New Roman"/>
                <w:color w:val="3964FE"/>
                <w:sz w:val="23"/>
                <w:szCs w:val="23"/>
                <w:u w:val="single"/>
                <w:bdr w:val="single" w:sz="12" w:space="0" w:color="auto" w:frame="1"/>
              </w:rPr>
              <w:t>BlockEden.xyz</w:t>
            </w:r>
            <w:proofErr w:type="spellEnd"/>
            <w:r>
              <w:rPr>
                <w:rFonts w:ascii="Inter" w:eastAsia="Times New Roman" w:hAnsi="Inter" w:cs="Times New Roman"/>
                <w:color w:val="3964FE"/>
                <w:sz w:val="23"/>
                <w:szCs w:val="23"/>
                <w:u w:val="single"/>
                <w:bdr w:val="single" w:sz="12" w:space="0" w:color="auto" w:frame="1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procesa 1,5 millones de transacciones diarias con 2.800 millones de dólares en valor bloqueado.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Juniper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26.000 millones de dólares de ahorro empresarial con </w:t>
            </w:r>
            <w:proofErr w:type="spellStart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stablecoins</w:t>
            </w:r>
            <w:proofErr w:type="spellEnd"/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previstos para 2028.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One Ocean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Colección completa de NFT vendida en menos de un mes.</w:t>
            </w:r>
          </w:p>
        </w:tc>
      </w:tr>
      <w:tr w:rsidR="00451D85" w:rsidRPr="00131B1C" w:rsidTr="00451D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</w:rPr>
              <w:t>Brush of Hope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1D85" w:rsidRPr="00451D85" w:rsidRDefault="00451D85" w:rsidP="00451D8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451D8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100% de las obras vendidas combinando elementos Web2 y Web3.</w:t>
            </w:r>
          </w:p>
        </w:tc>
      </w:tr>
    </w:tbl>
    <w:p w:rsidR="00FE7025" w:rsidRPr="00451D85" w:rsidRDefault="00FE7025">
      <w:pPr>
        <w:rPr>
          <w:lang w:val="es-ES"/>
        </w:rPr>
      </w:pPr>
    </w:p>
    <w:sectPr w:rsidR="00FE7025" w:rsidRPr="00451D85" w:rsidSect="00451D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B3ACC"/>
    <w:multiLevelType w:val="multilevel"/>
    <w:tmpl w:val="BE2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583A"/>
    <w:multiLevelType w:val="multilevel"/>
    <w:tmpl w:val="CA9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0BBE"/>
    <w:multiLevelType w:val="multilevel"/>
    <w:tmpl w:val="548045A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" w15:restartNumberingAfterBreak="0">
    <w:nsid w:val="2E5B285A"/>
    <w:multiLevelType w:val="multilevel"/>
    <w:tmpl w:val="7A8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37D"/>
    <w:multiLevelType w:val="multilevel"/>
    <w:tmpl w:val="B744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5441E"/>
    <w:multiLevelType w:val="multilevel"/>
    <w:tmpl w:val="E0F8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850FF"/>
    <w:multiLevelType w:val="multilevel"/>
    <w:tmpl w:val="137A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55C6F"/>
    <w:multiLevelType w:val="multilevel"/>
    <w:tmpl w:val="B84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9F6"/>
    <w:rsid w:val="00131B1C"/>
    <w:rsid w:val="00451D85"/>
    <w:rsid w:val="007039F6"/>
    <w:rsid w:val="00C663E8"/>
    <w:rsid w:val="00FE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13F17-9D17-4D04-AFC5-32B8133B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51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51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51D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451D8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51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1D8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51D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Orden de nombre" Version="2003"/>
</file>

<file path=customXml/itemProps1.xml><?xml version="1.0" encoding="utf-8"?>
<ds:datastoreItem xmlns:ds="http://schemas.openxmlformats.org/officeDocument/2006/customXml" ds:itemID="{E7B2F716-BCD5-4389-B8E2-4C8F8641C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3185</Words>
  <Characters>18160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6</cp:revision>
  <dcterms:created xsi:type="dcterms:W3CDTF">2026-05-01T22:52:00Z</dcterms:created>
  <dcterms:modified xsi:type="dcterms:W3CDTF">2026-05-02T00:09:00Z</dcterms:modified>
</cp:coreProperties>
</file>