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C8D63" w14:textId="65A178FF" w:rsidR="003A7476" w:rsidRPr="00FE3865" w:rsidRDefault="00F829AB" w:rsidP="00FE3865">
      <w:pPr>
        <w:pStyle w:val="Heading1"/>
      </w:pPr>
      <w:r w:rsidRPr="00FE3865">
        <w:t>The University of Bristol v Dr Robert Abrahart</w:t>
      </w:r>
      <w:r w:rsidR="0025506C" w:rsidRPr="00FE3865">
        <w:t xml:space="preserve">: The High Court </w:t>
      </w:r>
      <w:r w:rsidRPr="00FE3865">
        <w:t>Appeal</w:t>
      </w:r>
      <w:r w:rsidR="3BAEDAD0" w:rsidRPr="00FE3865">
        <w:t xml:space="preserve"> </w:t>
      </w:r>
      <w:r w:rsidR="0025506C" w:rsidRPr="00FE3865">
        <w:t>and its implications</w:t>
      </w:r>
    </w:p>
    <w:p w14:paraId="331F8000" w14:textId="1808ED84" w:rsidR="0025506C" w:rsidRPr="00EB5F5F" w:rsidRDefault="0025506C" w:rsidP="00FE3865">
      <w:pPr>
        <w:pStyle w:val="Heading1"/>
      </w:pPr>
      <w:r w:rsidRPr="35B84C53">
        <w:t>Executive Summary</w:t>
      </w:r>
    </w:p>
    <w:p w14:paraId="4D8AA666" w14:textId="595330CD" w:rsidR="00F829AB" w:rsidRPr="00FB09D1" w:rsidRDefault="0025506C" w:rsidP="35B84C53">
      <w:pPr>
        <w:rPr>
          <w:rFonts w:asciiTheme="minorHAnsi" w:eastAsiaTheme="minorEastAsia" w:hAnsiTheme="minorHAnsi"/>
          <w:i/>
          <w:iCs/>
          <w:szCs w:val="24"/>
        </w:rPr>
      </w:pPr>
      <w:r w:rsidRPr="35B84C53">
        <w:rPr>
          <w:rFonts w:asciiTheme="minorHAnsi" w:eastAsiaTheme="minorEastAsia" w:hAnsiTheme="minorHAnsi"/>
          <w:szCs w:val="24"/>
        </w:rPr>
        <w:t>The High Court, on the 14</w:t>
      </w:r>
      <w:r w:rsidRPr="35B84C53">
        <w:rPr>
          <w:rFonts w:asciiTheme="minorHAnsi" w:eastAsiaTheme="minorEastAsia" w:hAnsiTheme="minorHAnsi"/>
          <w:szCs w:val="24"/>
          <w:vertAlign w:val="superscript"/>
        </w:rPr>
        <w:t>th</w:t>
      </w:r>
      <w:r w:rsidRPr="35B84C53">
        <w:rPr>
          <w:rFonts w:asciiTheme="minorHAnsi" w:eastAsiaTheme="minorEastAsia" w:hAnsiTheme="minorHAnsi"/>
          <w:szCs w:val="24"/>
        </w:rPr>
        <w:t xml:space="preserve"> February 2024, upheld a previous judgment against the University of Bristol, ruling</w:t>
      </w:r>
      <w:r w:rsidR="00F829AB" w:rsidRPr="35B84C53">
        <w:rPr>
          <w:rStyle w:val="cf01"/>
          <w:rFonts w:asciiTheme="minorHAnsi" w:eastAsiaTheme="minorEastAsia" w:hAnsiTheme="minorHAnsi" w:cstheme="minorBidi"/>
          <w:sz w:val="24"/>
          <w:szCs w:val="24"/>
        </w:rPr>
        <w:t xml:space="preserve"> </w:t>
      </w:r>
      <w:r w:rsidR="00F829AB" w:rsidRPr="35B84C53">
        <w:rPr>
          <w:rStyle w:val="cf01"/>
          <w:rFonts w:asciiTheme="minorHAnsi" w:eastAsiaTheme="minorEastAsia" w:hAnsiTheme="minorHAnsi" w:cstheme="minorBidi"/>
          <w:i w:val="0"/>
          <w:iCs w:val="0"/>
          <w:sz w:val="24"/>
          <w:szCs w:val="24"/>
        </w:rPr>
        <w:t>that the university had breached its statutory duty under the Equality Act 2010 to make reasonable adjustments to its assessment process</w:t>
      </w:r>
      <w:r w:rsidR="7190AB63" w:rsidRPr="35B84C53">
        <w:rPr>
          <w:rStyle w:val="cf01"/>
          <w:rFonts w:asciiTheme="minorHAnsi" w:eastAsiaTheme="minorEastAsia" w:hAnsiTheme="minorHAnsi" w:cstheme="minorBidi"/>
          <w:i w:val="0"/>
          <w:iCs w:val="0"/>
          <w:sz w:val="24"/>
          <w:szCs w:val="24"/>
        </w:rPr>
        <w:t xml:space="preserve"> for second year physics student </w:t>
      </w:r>
      <w:r w:rsidR="00F829AB" w:rsidRPr="35B84C53">
        <w:rPr>
          <w:rStyle w:val="cf01"/>
          <w:rFonts w:asciiTheme="minorHAnsi" w:eastAsiaTheme="minorEastAsia" w:hAnsiTheme="minorHAnsi" w:cstheme="minorBidi"/>
          <w:i w:val="0"/>
          <w:iCs w:val="0"/>
          <w:sz w:val="24"/>
          <w:szCs w:val="24"/>
        </w:rPr>
        <w:t>Natasha Abrahart</w:t>
      </w:r>
      <w:r w:rsidR="1D6C3DE5" w:rsidRPr="35B84C53">
        <w:rPr>
          <w:rStyle w:val="cf01"/>
          <w:rFonts w:asciiTheme="minorHAnsi" w:eastAsiaTheme="minorEastAsia" w:hAnsiTheme="minorHAnsi" w:cstheme="minorBidi"/>
          <w:i w:val="0"/>
          <w:iCs w:val="0"/>
          <w:sz w:val="24"/>
          <w:szCs w:val="24"/>
        </w:rPr>
        <w:t xml:space="preserve">. Natasha </w:t>
      </w:r>
      <w:r w:rsidR="00F829AB" w:rsidRPr="35B84C53">
        <w:rPr>
          <w:rStyle w:val="cf01"/>
          <w:rFonts w:asciiTheme="minorHAnsi" w:eastAsiaTheme="minorEastAsia" w:hAnsiTheme="minorHAnsi" w:cstheme="minorBidi"/>
          <w:i w:val="0"/>
          <w:iCs w:val="0"/>
          <w:sz w:val="24"/>
          <w:szCs w:val="24"/>
        </w:rPr>
        <w:t xml:space="preserve">died by suicide in April 2018. </w:t>
      </w:r>
      <w:r w:rsidR="13B39CF6" w:rsidRPr="35B84C53">
        <w:rPr>
          <w:rStyle w:val="cf01"/>
          <w:rFonts w:asciiTheme="minorHAnsi" w:eastAsiaTheme="minorEastAsia" w:hAnsiTheme="minorHAnsi" w:cstheme="minorBidi"/>
          <w:i w:val="0"/>
          <w:iCs w:val="0"/>
          <w:sz w:val="24"/>
          <w:szCs w:val="24"/>
        </w:rPr>
        <w:t xml:space="preserve">Natasha </w:t>
      </w:r>
      <w:r w:rsidR="00F829AB" w:rsidRPr="35B84C53">
        <w:rPr>
          <w:rStyle w:val="cf01"/>
          <w:rFonts w:asciiTheme="minorHAnsi" w:eastAsiaTheme="minorEastAsia" w:hAnsiTheme="minorHAnsi" w:cstheme="minorBidi"/>
          <w:i w:val="0"/>
          <w:iCs w:val="0"/>
          <w:sz w:val="24"/>
          <w:szCs w:val="24"/>
        </w:rPr>
        <w:t>had been experiencing depression and social anxiety</w:t>
      </w:r>
      <w:r w:rsidR="71D1585C" w:rsidRPr="35B84C53">
        <w:rPr>
          <w:rStyle w:val="cf01"/>
          <w:rFonts w:asciiTheme="minorHAnsi" w:eastAsiaTheme="minorEastAsia" w:hAnsiTheme="minorHAnsi" w:cstheme="minorBidi"/>
          <w:i w:val="0"/>
          <w:iCs w:val="0"/>
          <w:sz w:val="24"/>
          <w:szCs w:val="24"/>
        </w:rPr>
        <w:t xml:space="preserve">, her </w:t>
      </w:r>
      <w:r w:rsidR="00F829AB" w:rsidRPr="35B84C53">
        <w:rPr>
          <w:rStyle w:val="cf01"/>
          <w:rFonts w:asciiTheme="minorHAnsi" w:eastAsiaTheme="minorEastAsia" w:hAnsiTheme="minorHAnsi" w:cstheme="minorBidi"/>
          <w:i w:val="0"/>
          <w:iCs w:val="0"/>
          <w:sz w:val="24"/>
          <w:szCs w:val="24"/>
        </w:rPr>
        <w:t xml:space="preserve">disability substantially impacted her ability to participate in oral assessments, which she was informed she had to complete as part of a mandatory module. </w:t>
      </w:r>
    </w:p>
    <w:p w14:paraId="61C20A81" w14:textId="68267BC6" w:rsidR="00792EFB" w:rsidRDefault="00F829AB" w:rsidP="35B84C53">
      <w:pPr>
        <w:rPr>
          <w:rFonts w:asciiTheme="minorHAnsi" w:eastAsiaTheme="minorEastAsia" w:hAnsiTheme="minorHAnsi"/>
          <w:szCs w:val="24"/>
        </w:rPr>
      </w:pPr>
      <w:r w:rsidRPr="35B84C53">
        <w:rPr>
          <w:rFonts w:asciiTheme="minorHAnsi" w:eastAsiaTheme="minorEastAsia" w:hAnsiTheme="minorHAnsi"/>
          <w:szCs w:val="24"/>
        </w:rPr>
        <w:t>Dr Abrahart</w:t>
      </w:r>
      <w:r w:rsidR="001220DA" w:rsidRPr="35B84C53">
        <w:rPr>
          <w:rFonts w:asciiTheme="minorHAnsi" w:eastAsiaTheme="minorEastAsia" w:hAnsiTheme="minorHAnsi"/>
          <w:szCs w:val="24"/>
        </w:rPr>
        <w:t>, Natasha’s father,</w:t>
      </w:r>
      <w:r w:rsidRPr="35B84C53">
        <w:rPr>
          <w:rFonts w:asciiTheme="minorHAnsi" w:eastAsiaTheme="minorEastAsia" w:hAnsiTheme="minorHAnsi"/>
          <w:szCs w:val="24"/>
        </w:rPr>
        <w:t xml:space="preserve"> issued proceedings claiming that the university should have removed or adjusted the requirements. He also alleged that the university failed in a duty to take reasonable steps to avoid and not cause her injury. </w:t>
      </w:r>
      <w:r w:rsidR="0025506C" w:rsidRPr="35B84C53">
        <w:rPr>
          <w:rFonts w:asciiTheme="minorHAnsi" w:eastAsiaTheme="minorEastAsia" w:hAnsiTheme="minorHAnsi"/>
          <w:szCs w:val="24"/>
        </w:rPr>
        <w:t xml:space="preserve">In May 2022, Senior County Court Judge Alex Ralton found </w:t>
      </w:r>
      <w:r w:rsidRPr="35B84C53">
        <w:rPr>
          <w:rFonts w:asciiTheme="minorHAnsi" w:eastAsiaTheme="minorEastAsia" w:hAnsiTheme="minorHAnsi"/>
          <w:szCs w:val="24"/>
        </w:rPr>
        <w:t xml:space="preserve">that the university had breached its statutory duties to make reasonable adjustments under the Equality Act </w:t>
      </w:r>
      <w:r w:rsidR="785A1EA6" w:rsidRPr="35B84C53">
        <w:rPr>
          <w:rFonts w:asciiTheme="minorHAnsi" w:eastAsiaTheme="minorEastAsia" w:hAnsiTheme="minorHAnsi"/>
          <w:szCs w:val="24"/>
        </w:rPr>
        <w:t>2010 but</w:t>
      </w:r>
      <w:r w:rsidRPr="35B84C53">
        <w:rPr>
          <w:rFonts w:asciiTheme="minorHAnsi" w:eastAsiaTheme="minorEastAsia" w:hAnsiTheme="minorHAnsi"/>
          <w:szCs w:val="24"/>
        </w:rPr>
        <w:t xml:space="preserve"> did not make a ruling on the duty of care. </w:t>
      </w:r>
      <w:r w:rsidR="00486BD9" w:rsidRPr="35B84C53">
        <w:rPr>
          <w:rFonts w:asciiTheme="minorHAnsi" w:eastAsiaTheme="minorEastAsia" w:hAnsiTheme="minorHAnsi"/>
          <w:szCs w:val="24"/>
        </w:rPr>
        <w:t>The Univers</w:t>
      </w:r>
      <w:r w:rsidR="002F2B03" w:rsidRPr="35B84C53">
        <w:rPr>
          <w:rFonts w:asciiTheme="minorHAnsi" w:eastAsiaTheme="minorEastAsia" w:hAnsiTheme="minorHAnsi"/>
          <w:szCs w:val="24"/>
        </w:rPr>
        <w:t>ity of Bristol appealed this decision</w:t>
      </w:r>
      <w:r w:rsidR="008562E2" w:rsidRPr="35B84C53">
        <w:rPr>
          <w:rFonts w:asciiTheme="minorHAnsi" w:eastAsiaTheme="minorEastAsia" w:hAnsiTheme="minorHAnsi"/>
          <w:szCs w:val="24"/>
        </w:rPr>
        <w:t xml:space="preserve"> and the Abrahart</w:t>
      </w:r>
      <w:r w:rsidR="00FE3865">
        <w:rPr>
          <w:rFonts w:asciiTheme="minorHAnsi" w:eastAsiaTheme="minorEastAsia" w:hAnsiTheme="minorHAnsi"/>
          <w:szCs w:val="24"/>
        </w:rPr>
        <w:t>’</w:t>
      </w:r>
      <w:r w:rsidR="008562E2" w:rsidRPr="35B84C53">
        <w:rPr>
          <w:rFonts w:asciiTheme="minorHAnsi" w:eastAsiaTheme="minorEastAsia" w:hAnsiTheme="minorHAnsi"/>
          <w:szCs w:val="24"/>
        </w:rPr>
        <w:t xml:space="preserve">s cross-appealed the </w:t>
      </w:r>
      <w:r w:rsidR="361B7935" w:rsidRPr="35B84C53">
        <w:rPr>
          <w:rFonts w:asciiTheme="minorHAnsi" w:eastAsiaTheme="minorEastAsia" w:hAnsiTheme="minorHAnsi"/>
          <w:szCs w:val="24"/>
        </w:rPr>
        <w:t>duty of care</w:t>
      </w:r>
      <w:r w:rsidR="008562E2" w:rsidRPr="35B84C53">
        <w:rPr>
          <w:rFonts w:asciiTheme="minorHAnsi" w:eastAsiaTheme="minorEastAsia" w:hAnsiTheme="minorHAnsi"/>
          <w:szCs w:val="24"/>
        </w:rPr>
        <w:t xml:space="preserve"> decision. </w:t>
      </w:r>
    </w:p>
    <w:p w14:paraId="3A18D5E8" w14:textId="354E5E93" w:rsidR="008562E2" w:rsidRPr="00EB5F5F" w:rsidRDefault="008562E2" w:rsidP="35B84C53">
      <w:pPr>
        <w:rPr>
          <w:rFonts w:asciiTheme="minorHAnsi" w:eastAsiaTheme="minorEastAsia" w:hAnsiTheme="minorHAnsi"/>
          <w:szCs w:val="24"/>
        </w:rPr>
      </w:pPr>
      <w:r w:rsidRPr="35B84C53">
        <w:rPr>
          <w:rFonts w:asciiTheme="minorHAnsi" w:eastAsiaTheme="minorEastAsia" w:hAnsiTheme="minorHAnsi"/>
          <w:szCs w:val="24"/>
        </w:rPr>
        <w:t xml:space="preserve">The University of Bristol appealed the decision on the </w:t>
      </w:r>
      <w:r w:rsidR="00C253F0" w:rsidRPr="35B84C53">
        <w:rPr>
          <w:rFonts w:asciiTheme="minorHAnsi" w:eastAsiaTheme="minorEastAsia" w:hAnsiTheme="minorHAnsi"/>
          <w:szCs w:val="24"/>
        </w:rPr>
        <w:t xml:space="preserve">assertion that </w:t>
      </w:r>
      <w:r w:rsidRPr="35B84C53">
        <w:rPr>
          <w:rFonts w:asciiTheme="minorHAnsi" w:eastAsiaTheme="minorEastAsia" w:hAnsiTheme="minorHAnsi"/>
          <w:szCs w:val="24"/>
        </w:rPr>
        <w:t xml:space="preserve">there was no duty to adjust the requirement of the module as oral assessments were a ‘competence standard’. This was rejected by the High Court and the appeal dismissed. The High Court did not make a ruling on the duty of care. </w:t>
      </w:r>
    </w:p>
    <w:p w14:paraId="5A7E57F8" w14:textId="6B8F4722" w:rsidR="0025506C" w:rsidRPr="00EB5F5F" w:rsidRDefault="0025506C" w:rsidP="35B84C53">
      <w:pPr>
        <w:rPr>
          <w:rFonts w:asciiTheme="minorHAnsi" w:eastAsiaTheme="minorEastAsia" w:hAnsiTheme="minorHAnsi"/>
          <w:szCs w:val="24"/>
        </w:rPr>
      </w:pPr>
      <w:r w:rsidRPr="35B84C53">
        <w:rPr>
          <w:rFonts w:asciiTheme="minorHAnsi" w:eastAsiaTheme="minorEastAsia" w:hAnsiTheme="minorHAnsi"/>
          <w:szCs w:val="24"/>
        </w:rPr>
        <w:t xml:space="preserve">This case </w:t>
      </w:r>
      <w:r w:rsidR="002F3DFF" w:rsidRPr="35B84C53">
        <w:rPr>
          <w:rFonts w:asciiTheme="minorHAnsi" w:eastAsiaTheme="minorEastAsia" w:hAnsiTheme="minorHAnsi"/>
          <w:szCs w:val="24"/>
        </w:rPr>
        <w:t>and the High Court ruling highlight</w:t>
      </w:r>
      <w:r w:rsidRPr="35B84C53">
        <w:rPr>
          <w:rFonts w:asciiTheme="minorHAnsi" w:eastAsiaTheme="minorEastAsia" w:hAnsiTheme="minorHAnsi"/>
          <w:szCs w:val="24"/>
        </w:rPr>
        <w:t xml:space="preserve"> the importance of universities ensuring appropriate support and adjustments </w:t>
      </w:r>
      <w:r w:rsidR="00BC26E8" w:rsidRPr="35B84C53">
        <w:rPr>
          <w:rFonts w:asciiTheme="minorHAnsi" w:eastAsiaTheme="minorEastAsia" w:hAnsiTheme="minorHAnsi"/>
          <w:szCs w:val="24"/>
        </w:rPr>
        <w:t xml:space="preserve">are put in place in a timely manner </w:t>
      </w:r>
      <w:r w:rsidRPr="35B84C53">
        <w:rPr>
          <w:rFonts w:asciiTheme="minorHAnsi" w:eastAsiaTheme="minorEastAsia" w:hAnsiTheme="minorHAnsi"/>
          <w:szCs w:val="24"/>
        </w:rPr>
        <w:t>for disabled students and the legal i</w:t>
      </w:r>
      <w:r w:rsidR="00EE4259" w:rsidRPr="35B84C53">
        <w:rPr>
          <w:rFonts w:asciiTheme="minorHAnsi" w:eastAsiaTheme="minorEastAsia" w:hAnsiTheme="minorHAnsi"/>
          <w:szCs w:val="24"/>
        </w:rPr>
        <w:t>mpl</w:t>
      </w:r>
      <w:r w:rsidR="00BC26E8" w:rsidRPr="35B84C53">
        <w:rPr>
          <w:rFonts w:asciiTheme="minorHAnsi" w:eastAsiaTheme="minorEastAsia" w:hAnsiTheme="minorHAnsi"/>
          <w:szCs w:val="24"/>
        </w:rPr>
        <w:t>ications of failing to do so. The ruling</w:t>
      </w:r>
      <w:r w:rsidR="00EE4259" w:rsidRPr="35B84C53">
        <w:rPr>
          <w:rFonts w:asciiTheme="minorHAnsi" w:eastAsiaTheme="minorEastAsia" w:hAnsiTheme="minorHAnsi"/>
          <w:szCs w:val="24"/>
        </w:rPr>
        <w:t xml:space="preserve"> also provides</w:t>
      </w:r>
      <w:r w:rsidR="005A1E5D" w:rsidRPr="35B84C53">
        <w:rPr>
          <w:rFonts w:asciiTheme="minorHAnsi" w:eastAsiaTheme="minorEastAsia" w:hAnsiTheme="minorHAnsi"/>
          <w:szCs w:val="24"/>
        </w:rPr>
        <w:t xml:space="preserve"> clear guidance</w:t>
      </w:r>
      <w:r w:rsidR="004F2644" w:rsidRPr="35B84C53">
        <w:rPr>
          <w:rFonts w:asciiTheme="minorHAnsi" w:eastAsiaTheme="minorEastAsia" w:hAnsiTheme="minorHAnsi"/>
          <w:szCs w:val="24"/>
        </w:rPr>
        <w:t xml:space="preserve"> and clarification</w:t>
      </w:r>
      <w:r w:rsidR="005A1E5D" w:rsidRPr="35B84C53">
        <w:rPr>
          <w:rFonts w:asciiTheme="minorHAnsi" w:eastAsiaTheme="minorEastAsia" w:hAnsiTheme="minorHAnsi"/>
          <w:szCs w:val="24"/>
        </w:rPr>
        <w:t xml:space="preserve"> in relation to evidential requirements in determining disability and</w:t>
      </w:r>
      <w:r w:rsidR="004A20C7" w:rsidRPr="35B84C53">
        <w:rPr>
          <w:rFonts w:asciiTheme="minorHAnsi" w:eastAsiaTheme="minorEastAsia" w:hAnsiTheme="minorHAnsi"/>
          <w:szCs w:val="24"/>
        </w:rPr>
        <w:t>, consequently</w:t>
      </w:r>
      <w:r w:rsidR="00792EFB" w:rsidRPr="35B84C53">
        <w:rPr>
          <w:rFonts w:asciiTheme="minorHAnsi" w:eastAsiaTheme="minorEastAsia" w:hAnsiTheme="minorHAnsi"/>
          <w:szCs w:val="24"/>
        </w:rPr>
        <w:t>,</w:t>
      </w:r>
      <w:r w:rsidR="005A1E5D" w:rsidRPr="35B84C53">
        <w:rPr>
          <w:rFonts w:asciiTheme="minorHAnsi" w:eastAsiaTheme="minorEastAsia" w:hAnsiTheme="minorHAnsi"/>
          <w:szCs w:val="24"/>
        </w:rPr>
        <w:t xml:space="preserve"> the duty to make </w:t>
      </w:r>
      <w:r w:rsidR="00BC26E8" w:rsidRPr="35B84C53">
        <w:rPr>
          <w:rFonts w:asciiTheme="minorHAnsi" w:eastAsiaTheme="minorEastAsia" w:hAnsiTheme="minorHAnsi"/>
          <w:szCs w:val="24"/>
        </w:rPr>
        <w:t xml:space="preserve">reasonable </w:t>
      </w:r>
      <w:r w:rsidR="00792EFB" w:rsidRPr="35B84C53">
        <w:rPr>
          <w:rFonts w:asciiTheme="minorHAnsi" w:eastAsiaTheme="minorEastAsia" w:hAnsiTheme="minorHAnsi"/>
          <w:szCs w:val="24"/>
        </w:rPr>
        <w:t>adjustments. It also raised important points concerning</w:t>
      </w:r>
      <w:r w:rsidR="005A1E5D" w:rsidRPr="35B84C53">
        <w:rPr>
          <w:rFonts w:asciiTheme="minorHAnsi" w:eastAsiaTheme="minorEastAsia" w:hAnsiTheme="minorHAnsi"/>
          <w:szCs w:val="24"/>
        </w:rPr>
        <w:t xml:space="preserve"> processes related to disability disclosure, and on the </w:t>
      </w:r>
      <w:r w:rsidR="00792EFB" w:rsidRPr="35B84C53">
        <w:rPr>
          <w:rFonts w:asciiTheme="minorHAnsi" w:eastAsiaTheme="minorEastAsia" w:hAnsiTheme="minorHAnsi"/>
          <w:szCs w:val="24"/>
        </w:rPr>
        <w:t>often</w:t>
      </w:r>
      <w:r w:rsidR="00FD1CD1">
        <w:rPr>
          <w:rFonts w:asciiTheme="minorHAnsi" w:eastAsiaTheme="minorEastAsia" w:hAnsiTheme="minorHAnsi"/>
          <w:szCs w:val="24"/>
        </w:rPr>
        <w:t>,</w:t>
      </w:r>
      <w:r w:rsidR="00792EFB" w:rsidRPr="35B84C53">
        <w:rPr>
          <w:rFonts w:asciiTheme="minorHAnsi" w:eastAsiaTheme="minorEastAsia" w:hAnsiTheme="minorHAnsi"/>
          <w:szCs w:val="24"/>
        </w:rPr>
        <w:t xml:space="preserve"> </w:t>
      </w:r>
      <w:r w:rsidR="00EE4259" w:rsidRPr="35B84C53">
        <w:rPr>
          <w:rFonts w:asciiTheme="minorHAnsi" w:eastAsiaTheme="minorEastAsia" w:hAnsiTheme="minorHAnsi"/>
          <w:szCs w:val="24"/>
        </w:rPr>
        <w:t>erroneous</w:t>
      </w:r>
      <w:r w:rsidR="00FD1CD1">
        <w:rPr>
          <w:rFonts w:asciiTheme="minorHAnsi" w:eastAsiaTheme="minorEastAsia" w:hAnsiTheme="minorHAnsi"/>
          <w:szCs w:val="24"/>
        </w:rPr>
        <w:t>,</w:t>
      </w:r>
      <w:r w:rsidR="00EE4259" w:rsidRPr="35B84C53">
        <w:rPr>
          <w:rFonts w:asciiTheme="minorHAnsi" w:eastAsiaTheme="minorEastAsia" w:hAnsiTheme="minorHAnsi"/>
          <w:szCs w:val="24"/>
        </w:rPr>
        <w:t xml:space="preserve"> </w:t>
      </w:r>
      <w:r w:rsidR="005A1E5D" w:rsidRPr="35B84C53">
        <w:rPr>
          <w:rFonts w:asciiTheme="minorHAnsi" w:eastAsiaTheme="minorEastAsia" w:hAnsiTheme="minorHAnsi"/>
          <w:szCs w:val="24"/>
        </w:rPr>
        <w:t xml:space="preserve">conflation of modes of assessment and </w:t>
      </w:r>
      <w:r w:rsidR="002F3DFF" w:rsidRPr="35B84C53">
        <w:rPr>
          <w:rFonts w:asciiTheme="minorHAnsi" w:eastAsiaTheme="minorEastAsia" w:hAnsiTheme="minorHAnsi"/>
          <w:szCs w:val="24"/>
        </w:rPr>
        <w:t xml:space="preserve">academic </w:t>
      </w:r>
      <w:r w:rsidR="005A1E5D" w:rsidRPr="35B84C53">
        <w:rPr>
          <w:rFonts w:asciiTheme="minorHAnsi" w:eastAsiaTheme="minorEastAsia" w:hAnsiTheme="minorHAnsi"/>
          <w:szCs w:val="24"/>
        </w:rPr>
        <w:t xml:space="preserve">competence standards. </w:t>
      </w:r>
    </w:p>
    <w:p w14:paraId="3C019904" w14:textId="77777777" w:rsidR="0025506C" w:rsidRPr="00EB5F5F" w:rsidRDefault="0025506C" w:rsidP="00FE3865">
      <w:pPr>
        <w:pStyle w:val="Heading1"/>
      </w:pPr>
      <w:r w:rsidRPr="35B84C53">
        <w:t>Background</w:t>
      </w:r>
    </w:p>
    <w:p w14:paraId="2457F2B7" w14:textId="6E4B6A61" w:rsidR="005A1E5D" w:rsidRPr="00EB5F5F" w:rsidRDefault="005A1E5D" w:rsidP="35B84C53">
      <w:pPr>
        <w:rPr>
          <w:rFonts w:asciiTheme="minorHAnsi" w:eastAsiaTheme="minorEastAsia" w:hAnsiTheme="minorHAnsi"/>
        </w:rPr>
      </w:pPr>
      <w:r w:rsidRPr="35B84C53">
        <w:rPr>
          <w:rFonts w:asciiTheme="minorHAnsi" w:eastAsiaTheme="minorEastAsia" w:hAnsiTheme="minorHAnsi"/>
        </w:rPr>
        <w:t>Natasha was diagnosed with chronic Social Anxiety Disorder in February 2018 (but from October 2017 members of academic staff became aware that she was experiencing severe difficulties)</w:t>
      </w:r>
      <w:r w:rsidR="00A44ED2" w:rsidRPr="35B84C53">
        <w:rPr>
          <w:rFonts w:asciiTheme="minorHAnsi" w:eastAsiaTheme="minorEastAsia" w:hAnsiTheme="minorHAnsi"/>
        </w:rPr>
        <w:t>. She</w:t>
      </w:r>
      <w:r w:rsidRPr="35B84C53">
        <w:rPr>
          <w:rFonts w:asciiTheme="minorHAnsi" w:eastAsiaTheme="minorEastAsia" w:hAnsiTheme="minorHAnsi"/>
        </w:rPr>
        <w:t xml:space="preserve"> faced </w:t>
      </w:r>
      <w:r w:rsidR="00A44ED2" w:rsidRPr="35B84C53">
        <w:rPr>
          <w:rFonts w:asciiTheme="minorHAnsi" w:eastAsiaTheme="minorEastAsia" w:hAnsiTheme="minorHAnsi"/>
        </w:rPr>
        <w:t xml:space="preserve">severe </w:t>
      </w:r>
      <w:r w:rsidRPr="35B84C53">
        <w:rPr>
          <w:rFonts w:asciiTheme="minorHAnsi" w:eastAsiaTheme="minorEastAsia" w:hAnsiTheme="minorHAnsi"/>
        </w:rPr>
        <w:t xml:space="preserve">challenges with oral assessments and experienced anxiety and panic attacks directly related to them. </w:t>
      </w:r>
      <w:r w:rsidR="003A7476" w:rsidRPr="35B84C53">
        <w:rPr>
          <w:rFonts w:asciiTheme="minorHAnsi" w:eastAsiaTheme="minorEastAsia" w:hAnsiTheme="minorHAnsi"/>
        </w:rPr>
        <w:t>Despite raising explicit concerns about her mental health directly with academic staff, and it being obvious from her communications with staff and her engagement and marks, that oral assessments caused Natasha extreme anxiety</w:t>
      </w:r>
      <w:r w:rsidR="00563ACE" w:rsidRPr="35B84C53">
        <w:rPr>
          <w:rFonts w:asciiTheme="minorHAnsi" w:eastAsiaTheme="minorEastAsia" w:hAnsiTheme="minorHAnsi"/>
        </w:rPr>
        <w:t xml:space="preserve">, </w:t>
      </w:r>
      <w:r w:rsidR="00A44ED2" w:rsidRPr="35B84C53">
        <w:rPr>
          <w:rFonts w:asciiTheme="minorHAnsi" w:eastAsiaTheme="minorEastAsia" w:hAnsiTheme="minorHAnsi"/>
        </w:rPr>
        <w:t>no action was taken to adjust her mode of assessment</w:t>
      </w:r>
      <w:r w:rsidR="00FD1CD1">
        <w:rPr>
          <w:rFonts w:asciiTheme="minorHAnsi" w:eastAsiaTheme="minorEastAsia" w:hAnsiTheme="minorHAnsi"/>
        </w:rPr>
        <w:t>.</w:t>
      </w:r>
      <w:r w:rsidR="00A44ED2" w:rsidRPr="35B84C53">
        <w:rPr>
          <w:rFonts w:asciiTheme="minorHAnsi" w:eastAsiaTheme="minorEastAsia" w:hAnsiTheme="minorHAnsi"/>
        </w:rPr>
        <w:t xml:space="preserve"> </w:t>
      </w:r>
      <w:r w:rsidR="00FD1CD1">
        <w:rPr>
          <w:rFonts w:asciiTheme="minorHAnsi" w:eastAsiaTheme="minorEastAsia" w:hAnsiTheme="minorHAnsi"/>
        </w:rPr>
        <w:t>T</w:t>
      </w:r>
      <w:r w:rsidR="00A44ED2" w:rsidRPr="35B84C53">
        <w:rPr>
          <w:rFonts w:asciiTheme="minorHAnsi" w:eastAsiaTheme="minorEastAsia" w:hAnsiTheme="minorHAnsi"/>
        </w:rPr>
        <w:t xml:space="preserve">he University </w:t>
      </w:r>
      <w:r w:rsidR="00052B1A" w:rsidRPr="35B84C53">
        <w:rPr>
          <w:rFonts w:asciiTheme="minorHAnsi" w:eastAsiaTheme="minorEastAsia" w:hAnsiTheme="minorHAnsi"/>
        </w:rPr>
        <w:t xml:space="preserve">subsequently </w:t>
      </w:r>
      <w:r w:rsidR="00A44ED2" w:rsidRPr="35B84C53">
        <w:rPr>
          <w:rFonts w:asciiTheme="minorHAnsi" w:eastAsiaTheme="minorEastAsia" w:hAnsiTheme="minorHAnsi"/>
        </w:rPr>
        <w:t>argu</w:t>
      </w:r>
      <w:r w:rsidR="00052B1A" w:rsidRPr="35B84C53">
        <w:rPr>
          <w:rFonts w:asciiTheme="minorHAnsi" w:eastAsiaTheme="minorEastAsia" w:hAnsiTheme="minorHAnsi"/>
        </w:rPr>
        <w:t>ed</w:t>
      </w:r>
      <w:r w:rsidR="00A44ED2" w:rsidRPr="35B84C53">
        <w:rPr>
          <w:rFonts w:asciiTheme="minorHAnsi" w:eastAsiaTheme="minorEastAsia" w:hAnsiTheme="minorHAnsi"/>
        </w:rPr>
        <w:t xml:space="preserve"> </w:t>
      </w:r>
      <w:r w:rsidR="00A44ED2" w:rsidRPr="35B84C53">
        <w:rPr>
          <w:rFonts w:asciiTheme="minorHAnsi" w:eastAsiaTheme="minorEastAsia" w:hAnsiTheme="minorHAnsi"/>
        </w:rPr>
        <w:lastRenderedPageBreak/>
        <w:t>that the oral assessment constituted a competence standard</w:t>
      </w:r>
      <w:r w:rsidRPr="35B84C53">
        <w:rPr>
          <w:rFonts w:asciiTheme="minorHAnsi" w:eastAsiaTheme="minorEastAsia" w:hAnsiTheme="minorHAnsi"/>
        </w:rPr>
        <w:t>.</w:t>
      </w:r>
      <w:r w:rsidR="004A20C7" w:rsidRPr="35B84C53">
        <w:rPr>
          <w:rFonts w:asciiTheme="minorHAnsi" w:eastAsiaTheme="minorEastAsia" w:hAnsiTheme="minorHAnsi"/>
        </w:rPr>
        <w:t xml:space="preserve"> Natasha </w:t>
      </w:r>
      <w:r w:rsidR="00052B1A" w:rsidRPr="35B84C53">
        <w:rPr>
          <w:rFonts w:asciiTheme="minorHAnsi" w:eastAsiaTheme="minorEastAsia" w:hAnsiTheme="minorHAnsi"/>
        </w:rPr>
        <w:t>died by suicide</w:t>
      </w:r>
      <w:r w:rsidR="004A20C7" w:rsidRPr="35B84C53">
        <w:rPr>
          <w:rFonts w:asciiTheme="minorHAnsi" w:eastAsiaTheme="minorEastAsia" w:hAnsiTheme="minorHAnsi"/>
        </w:rPr>
        <w:t xml:space="preserve"> on the day she was due to give a presentation, which was part of her formal assessment</w:t>
      </w:r>
      <w:r w:rsidR="00B040E6" w:rsidRPr="35B84C53">
        <w:rPr>
          <w:rFonts w:asciiTheme="minorHAnsi" w:eastAsiaTheme="minorEastAsia" w:hAnsiTheme="minorHAnsi"/>
        </w:rPr>
        <w:t>,</w:t>
      </w:r>
      <w:r w:rsidR="004A20C7" w:rsidRPr="35B84C53">
        <w:rPr>
          <w:rFonts w:asciiTheme="minorHAnsi" w:eastAsiaTheme="minorEastAsia" w:hAnsiTheme="minorHAnsi"/>
        </w:rPr>
        <w:t xml:space="preserve"> in a large lecture theatre. </w:t>
      </w:r>
    </w:p>
    <w:p w14:paraId="5D071C2A" w14:textId="3581BEBF" w:rsidR="0025506C" w:rsidRPr="00EB5F5F" w:rsidRDefault="0025506C" w:rsidP="00FE3865">
      <w:pPr>
        <w:pStyle w:val="Heading1"/>
      </w:pPr>
      <w:r w:rsidRPr="35B84C53">
        <w:t xml:space="preserve">Key points from the </w:t>
      </w:r>
      <w:r w:rsidR="008562E2" w:rsidRPr="35B84C53">
        <w:t xml:space="preserve">Appeal </w:t>
      </w:r>
      <w:r w:rsidRPr="35B84C53">
        <w:t xml:space="preserve">ruling </w:t>
      </w:r>
    </w:p>
    <w:p w14:paraId="13BEDEFD" w14:textId="78B09E0F" w:rsidR="00563ACE" w:rsidRPr="00EB5F5F" w:rsidRDefault="00563ACE" w:rsidP="35B84C53">
      <w:pPr>
        <w:pStyle w:val="Heading2"/>
        <w:numPr>
          <w:ilvl w:val="0"/>
          <w:numId w:val="0"/>
        </w:numPr>
        <w:rPr>
          <w:rFonts w:asciiTheme="minorHAnsi" w:eastAsiaTheme="minorEastAsia" w:hAnsiTheme="minorHAnsi" w:cstheme="minorBidi"/>
        </w:rPr>
      </w:pPr>
      <w:r w:rsidRPr="35B84C53">
        <w:rPr>
          <w:rFonts w:asciiTheme="minorHAnsi" w:eastAsiaTheme="minorEastAsia" w:hAnsiTheme="minorHAnsi" w:cstheme="minorBidi"/>
        </w:rPr>
        <w:t>Evidential requirements to determine disability</w:t>
      </w:r>
    </w:p>
    <w:p w14:paraId="74D04E3F" w14:textId="633B0A6B" w:rsidR="005A1E5D" w:rsidRPr="00EB5F5F" w:rsidRDefault="00B040E6" w:rsidP="35B84C53">
      <w:pPr>
        <w:rPr>
          <w:rFonts w:asciiTheme="minorHAnsi" w:eastAsiaTheme="minorEastAsia" w:hAnsiTheme="minorHAnsi"/>
        </w:rPr>
      </w:pPr>
      <w:r w:rsidRPr="35B84C53">
        <w:rPr>
          <w:rFonts w:asciiTheme="minorHAnsi" w:eastAsiaTheme="minorEastAsia" w:hAnsiTheme="minorHAnsi"/>
        </w:rPr>
        <w:t>The ruling clarifies a common misunderstanding concerning what evidence is requi</w:t>
      </w:r>
      <w:r w:rsidR="00026760" w:rsidRPr="35B84C53">
        <w:rPr>
          <w:rFonts w:asciiTheme="minorHAnsi" w:eastAsiaTheme="minorEastAsia" w:hAnsiTheme="minorHAnsi"/>
        </w:rPr>
        <w:t xml:space="preserve">red in order to determine whether </w:t>
      </w:r>
      <w:r w:rsidRPr="35B84C53">
        <w:rPr>
          <w:rFonts w:asciiTheme="minorHAnsi" w:eastAsiaTheme="minorEastAsia" w:hAnsiTheme="minorHAnsi"/>
        </w:rPr>
        <w:t xml:space="preserve">a student meets the legal definition of disability. </w:t>
      </w:r>
      <w:r w:rsidR="005A1E5D" w:rsidRPr="35B84C53">
        <w:rPr>
          <w:rFonts w:asciiTheme="minorHAnsi" w:eastAsiaTheme="minorEastAsia" w:hAnsiTheme="minorHAnsi"/>
        </w:rPr>
        <w:t xml:space="preserve">Whilst it is legitimate </w:t>
      </w:r>
      <w:r w:rsidR="00486BD9" w:rsidRPr="35B84C53">
        <w:rPr>
          <w:rFonts w:asciiTheme="minorHAnsi" w:eastAsiaTheme="minorEastAsia" w:hAnsiTheme="minorHAnsi"/>
        </w:rPr>
        <w:t>for u</w:t>
      </w:r>
      <w:r w:rsidR="00F44C3F" w:rsidRPr="35B84C53">
        <w:rPr>
          <w:rFonts w:asciiTheme="minorHAnsi" w:eastAsiaTheme="minorEastAsia" w:hAnsiTheme="minorHAnsi"/>
        </w:rPr>
        <w:t xml:space="preserve">niversities </w:t>
      </w:r>
      <w:r w:rsidR="005A1E5D" w:rsidRPr="35B84C53">
        <w:rPr>
          <w:rFonts w:asciiTheme="minorHAnsi" w:eastAsiaTheme="minorEastAsia" w:hAnsiTheme="minorHAnsi"/>
        </w:rPr>
        <w:t xml:space="preserve">to ask disabled students to provide evidence of disability in order to determine </w:t>
      </w:r>
      <w:r w:rsidR="004F2644" w:rsidRPr="35B84C53">
        <w:rPr>
          <w:rFonts w:asciiTheme="minorHAnsi" w:eastAsiaTheme="minorEastAsia" w:hAnsiTheme="minorHAnsi"/>
        </w:rPr>
        <w:t xml:space="preserve">appropriate </w:t>
      </w:r>
      <w:r w:rsidR="005A1E5D" w:rsidRPr="35B84C53">
        <w:rPr>
          <w:rFonts w:asciiTheme="minorHAnsi" w:eastAsiaTheme="minorEastAsia" w:hAnsiTheme="minorHAnsi"/>
        </w:rPr>
        <w:t>reasonable adjustments, it is not an absolute requirement</w:t>
      </w:r>
      <w:r w:rsidR="004F2644" w:rsidRPr="35B84C53">
        <w:rPr>
          <w:rFonts w:asciiTheme="minorHAnsi" w:eastAsiaTheme="minorEastAsia" w:hAnsiTheme="minorHAnsi"/>
        </w:rPr>
        <w:t>. In circumstances w</w:t>
      </w:r>
      <w:r w:rsidR="005A1E5D" w:rsidRPr="35B84C53">
        <w:rPr>
          <w:rFonts w:asciiTheme="minorHAnsi" w:eastAsiaTheme="minorEastAsia" w:hAnsiTheme="minorHAnsi"/>
        </w:rPr>
        <w:t>here the</w:t>
      </w:r>
      <w:r w:rsidR="007F124E" w:rsidRPr="35B84C53">
        <w:rPr>
          <w:rFonts w:asciiTheme="minorHAnsi" w:eastAsiaTheme="minorEastAsia" w:hAnsiTheme="minorHAnsi"/>
        </w:rPr>
        <w:t>re is constructive knowledge of a disability</w:t>
      </w:r>
      <w:r w:rsidR="00A60BEE" w:rsidRPr="35B84C53">
        <w:rPr>
          <w:rFonts w:asciiTheme="minorHAnsi" w:eastAsiaTheme="minorEastAsia" w:hAnsiTheme="minorHAnsi"/>
        </w:rPr>
        <w:t>,</w:t>
      </w:r>
      <w:r w:rsidR="005A1E5D" w:rsidRPr="35B84C53">
        <w:rPr>
          <w:rFonts w:asciiTheme="minorHAnsi" w:eastAsiaTheme="minorEastAsia" w:hAnsiTheme="minorHAnsi"/>
        </w:rPr>
        <w:t xml:space="preserve"> action </w:t>
      </w:r>
      <w:r w:rsidR="004A20C7" w:rsidRPr="35B84C53">
        <w:rPr>
          <w:rFonts w:asciiTheme="minorHAnsi" w:eastAsiaTheme="minorEastAsia" w:hAnsiTheme="minorHAnsi"/>
        </w:rPr>
        <w:t xml:space="preserve">(including the implementation of reasonable adjustments) </w:t>
      </w:r>
      <w:r w:rsidR="005A1E5D" w:rsidRPr="35B84C53">
        <w:rPr>
          <w:rFonts w:asciiTheme="minorHAnsi" w:eastAsiaTheme="minorEastAsia" w:hAnsiTheme="minorHAnsi"/>
        </w:rPr>
        <w:t>should be taken without the need for document</w:t>
      </w:r>
      <w:r w:rsidR="00A60BEE" w:rsidRPr="35B84C53">
        <w:rPr>
          <w:rFonts w:asciiTheme="minorHAnsi" w:eastAsiaTheme="minorEastAsia" w:hAnsiTheme="minorHAnsi"/>
        </w:rPr>
        <w:t>ary diagnostic evidence (or</w:t>
      </w:r>
      <w:r w:rsidR="00EB5F5F" w:rsidRPr="35B84C53">
        <w:rPr>
          <w:rFonts w:asciiTheme="minorHAnsi" w:eastAsiaTheme="minorEastAsia" w:hAnsiTheme="minorHAnsi"/>
        </w:rPr>
        <w:t>,</w:t>
      </w:r>
      <w:r w:rsidR="00A60BEE" w:rsidRPr="35B84C53">
        <w:rPr>
          <w:rFonts w:asciiTheme="minorHAnsi" w:eastAsiaTheme="minorEastAsia" w:hAnsiTheme="minorHAnsi"/>
        </w:rPr>
        <w:t xml:space="preserve"> necessarily</w:t>
      </w:r>
      <w:r w:rsidR="00EB5F5F" w:rsidRPr="35B84C53">
        <w:rPr>
          <w:rFonts w:asciiTheme="minorHAnsi" w:eastAsiaTheme="minorEastAsia" w:hAnsiTheme="minorHAnsi"/>
        </w:rPr>
        <w:t>,</w:t>
      </w:r>
      <w:r w:rsidR="005A1E5D" w:rsidRPr="35B84C53">
        <w:rPr>
          <w:rFonts w:asciiTheme="minorHAnsi" w:eastAsiaTheme="minorEastAsia" w:hAnsiTheme="minorHAnsi"/>
        </w:rPr>
        <w:t xml:space="preserve"> input from the university</w:t>
      </w:r>
      <w:r w:rsidR="00EB5F5F" w:rsidRPr="35B84C53">
        <w:rPr>
          <w:rFonts w:asciiTheme="minorHAnsi" w:eastAsiaTheme="minorEastAsia" w:hAnsiTheme="minorHAnsi"/>
        </w:rPr>
        <w:t>’s</w:t>
      </w:r>
      <w:r w:rsidR="005A1E5D" w:rsidRPr="35B84C53">
        <w:rPr>
          <w:rFonts w:asciiTheme="minorHAnsi" w:eastAsiaTheme="minorEastAsia" w:hAnsiTheme="minorHAnsi"/>
        </w:rPr>
        <w:t xml:space="preserve"> disability team). </w:t>
      </w:r>
      <w:r w:rsidR="007F124E" w:rsidRPr="35B84C53">
        <w:rPr>
          <w:rFonts w:asciiTheme="minorHAnsi" w:eastAsiaTheme="minorEastAsia" w:hAnsiTheme="minorHAnsi"/>
        </w:rPr>
        <w:t xml:space="preserve">Constructive knowledge is where </w:t>
      </w:r>
      <w:r w:rsidR="00FB09D1" w:rsidRPr="35B84C53">
        <w:rPr>
          <w:rFonts w:asciiTheme="minorHAnsi" w:eastAsiaTheme="minorEastAsia" w:hAnsiTheme="minorHAnsi"/>
        </w:rPr>
        <w:t xml:space="preserve">a </w:t>
      </w:r>
      <w:r w:rsidR="007F124E" w:rsidRPr="35B84C53">
        <w:rPr>
          <w:rFonts w:asciiTheme="minorHAnsi" w:eastAsiaTheme="minorEastAsia" w:hAnsiTheme="minorHAnsi"/>
        </w:rPr>
        <w:t>Higher Education Provider (HEP) ought</w:t>
      </w:r>
      <w:r w:rsidR="00FD1CD1">
        <w:rPr>
          <w:rFonts w:asciiTheme="minorHAnsi" w:eastAsiaTheme="minorEastAsia" w:hAnsiTheme="minorHAnsi"/>
        </w:rPr>
        <w:t>,</w:t>
      </w:r>
      <w:r w:rsidR="007F124E" w:rsidRPr="35B84C53">
        <w:rPr>
          <w:rFonts w:asciiTheme="minorHAnsi" w:eastAsiaTheme="minorEastAsia" w:hAnsiTheme="minorHAnsi"/>
        </w:rPr>
        <w:t xml:space="preserve"> reasonably</w:t>
      </w:r>
      <w:r w:rsidR="00FD1CD1">
        <w:rPr>
          <w:rFonts w:asciiTheme="minorHAnsi" w:eastAsiaTheme="minorEastAsia" w:hAnsiTheme="minorHAnsi"/>
        </w:rPr>
        <w:t>,</w:t>
      </w:r>
      <w:r w:rsidR="007F124E" w:rsidRPr="35B84C53">
        <w:rPr>
          <w:rFonts w:asciiTheme="minorHAnsi" w:eastAsiaTheme="minorEastAsia" w:hAnsiTheme="minorHAnsi"/>
        </w:rPr>
        <w:t xml:space="preserve"> to have known. </w:t>
      </w:r>
    </w:p>
    <w:p w14:paraId="5AC0B07D" w14:textId="77777777" w:rsidR="00B040E6" w:rsidRPr="00EB5F5F" w:rsidRDefault="00B040E6" w:rsidP="35B84C53">
      <w:pPr>
        <w:pStyle w:val="ListParagraph"/>
        <w:ind w:left="0"/>
        <w:rPr>
          <w:rFonts w:asciiTheme="minorHAnsi" w:eastAsiaTheme="minorEastAsia" w:hAnsiTheme="minorHAnsi"/>
        </w:rPr>
      </w:pPr>
      <w:r w:rsidRPr="35B84C53">
        <w:rPr>
          <w:rFonts w:asciiTheme="minorHAnsi" w:eastAsiaTheme="minorEastAsia" w:hAnsiTheme="minorHAnsi"/>
        </w:rPr>
        <w:t>The judge was very clear in his ruling</w:t>
      </w:r>
    </w:p>
    <w:p w14:paraId="2D3F99A2" w14:textId="0DF2FD02" w:rsidR="00B040E6" w:rsidRPr="00EB5F5F" w:rsidRDefault="00B040E6" w:rsidP="35B84C53">
      <w:pPr>
        <w:spacing w:after="0" w:line="240" w:lineRule="auto"/>
        <w:ind w:left="720"/>
        <w:rPr>
          <w:rFonts w:asciiTheme="minorHAnsi" w:eastAsiaTheme="minorEastAsia" w:hAnsiTheme="minorHAnsi"/>
          <w:sz w:val="22"/>
          <w14:ligatures w14:val="standardContextual"/>
        </w:rPr>
      </w:pPr>
      <w:r w:rsidRPr="35B84C53">
        <w:rPr>
          <w:rFonts w:asciiTheme="minorHAnsi" w:eastAsiaTheme="minorEastAsia" w:hAnsiTheme="minorHAnsi"/>
          <w:sz w:val="22"/>
          <w14:ligatures w14:val="standardContextual"/>
        </w:rPr>
        <w:t xml:space="preserve">For the avoidance of doubt, the lesson of this part of the case is not that due process and evidence are unimportant where the question of reasonable adjustments arises in this context. They </w:t>
      </w:r>
      <w:r w:rsidRPr="35B84C53">
        <w:rPr>
          <w:rFonts w:asciiTheme="minorHAnsi" w:eastAsiaTheme="minorEastAsia" w:hAnsiTheme="minorHAnsi"/>
          <w:sz w:val="22"/>
          <w:u w:val="single"/>
          <w14:ligatures w14:val="standardContextual"/>
        </w:rPr>
        <w:t>are</w:t>
      </w:r>
      <w:r w:rsidRPr="35B84C53">
        <w:rPr>
          <w:rFonts w:asciiTheme="minorHAnsi" w:eastAsiaTheme="minorEastAsia" w:hAnsiTheme="minorHAnsi"/>
          <w:sz w:val="22"/>
          <w14:ligatures w14:val="standardContextual"/>
        </w:rPr>
        <w:t xml:space="preserve"> important. There will no doubt be many cases where it is reasonable to verify what the disabled person says and/or to require expert evidence or recommendations so as to make well informed decisions. A degree of procedural formality will also generally be appropriate for the reasons which the University advanced. </w:t>
      </w:r>
      <w:r w:rsidRPr="35B84C53">
        <w:rPr>
          <w:rFonts w:asciiTheme="minorHAnsi" w:eastAsiaTheme="minorEastAsia" w:hAnsiTheme="minorHAnsi"/>
          <w:b/>
          <w:bCs/>
          <w:sz w:val="22"/>
          <w14:ligatures w14:val="standardContextual"/>
        </w:rPr>
        <w:t xml:space="preserve">But what a disabled person says and/or does </w:t>
      </w:r>
      <w:r w:rsidRPr="35B84C53">
        <w:rPr>
          <w:rFonts w:asciiTheme="minorHAnsi" w:eastAsiaTheme="minorEastAsia" w:hAnsiTheme="minorHAnsi"/>
          <w:b/>
          <w:bCs/>
          <w:sz w:val="22"/>
          <w:u w:val="single"/>
          <w14:ligatures w14:val="standardContextual"/>
        </w:rPr>
        <w:t>is</w:t>
      </w:r>
      <w:r w:rsidRPr="35B84C53">
        <w:rPr>
          <w:rFonts w:asciiTheme="minorHAnsi" w:eastAsiaTheme="minorEastAsia" w:hAnsiTheme="minorHAnsi"/>
          <w:b/>
          <w:bCs/>
          <w:sz w:val="22"/>
          <w14:ligatures w14:val="standardContextual"/>
        </w:rPr>
        <w:t xml:space="preserve"> evidence. There may be circumstances, such as urgency and/or the severity of their condition, in which a court will be prepared to conclude that it is </w:t>
      </w:r>
      <w:r w:rsidRPr="35B84C53">
        <w:rPr>
          <w:rFonts w:asciiTheme="minorHAnsi" w:eastAsiaTheme="minorEastAsia" w:hAnsiTheme="minorHAnsi"/>
          <w:b/>
          <w:bCs/>
          <w:sz w:val="22"/>
          <w:u w:val="single"/>
          <w14:ligatures w14:val="standardContextual"/>
        </w:rPr>
        <w:t>sufficient</w:t>
      </w:r>
      <w:r w:rsidRPr="35B84C53">
        <w:rPr>
          <w:rFonts w:asciiTheme="minorHAnsi" w:eastAsiaTheme="minorEastAsia" w:hAnsiTheme="minorHAnsi"/>
          <w:b/>
          <w:bCs/>
          <w:sz w:val="22"/>
          <w14:ligatures w14:val="standardContextual"/>
        </w:rPr>
        <w:t xml:space="preserve"> evidence for an educational institution to be required to take action.</w:t>
      </w:r>
      <w:r w:rsidRPr="35B84C53">
        <w:rPr>
          <w:rFonts w:asciiTheme="minorHAnsi" w:eastAsiaTheme="minorEastAsia" w:hAnsiTheme="minorHAnsi"/>
          <w:sz w:val="22"/>
          <w14:ligatures w14:val="standardContextual"/>
        </w:rPr>
        <w:t xml:space="preserve"> </w:t>
      </w:r>
      <w:r w:rsidR="002F3DFF" w:rsidRPr="35B84C53">
        <w:rPr>
          <w:rFonts w:asciiTheme="minorHAnsi" w:eastAsiaTheme="minorEastAsia" w:hAnsiTheme="minorHAnsi"/>
          <w:sz w:val="22"/>
          <w14:ligatures w14:val="standardContextual"/>
        </w:rPr>
        <w:t>(part</w:t>
      </w:r>
      <w:r w:rsidR="00026760" w:rsidRPr="35B84C53">
        <w:rPr>
          <w:rFonts w:asciiTheme="minorHAnsi" w:eastAsiaTheme="minorEastAsia" w:hAnsiTheme="minorHAnsi"/>
          <w:sz w:val="22"/>
          <w14:ligatures w14:val="standardContextual"/>
        </w:rPr>
        <w:t>, 267)</w:t>
      </w:r>
    </w:p>
    <w:p w14:paraId="0FA14554" w14:textId="1921AC45" w:rsidR="00486BD9" w:rsidRPr="00EB5F5F" w:rsidRDefault="00486BD9" w:rsidP="35B84C53">
      <w:pPr>
        <w:spacing w:after="0" w:line="240" w:lineRule="auto"/>
        <w:ind w:left="720"/>
        <w:rPr>
          <w:rFonts w:asciiTheme="minorHAnsi" w:eastAsiaTheme="minorEastAsia" w:hAnsiTheme="minorHAnsi"/>
          <w:sz w:val="22"/>
          <w14:ligatures w14:val="standardContextual"/>
        </w:rPr>
      </w:pPr>
    </w:p>
    <w:p w14:paraId="3BDA91B5" w14:textId="6960031A" w:rsidR="00486BD9" w:rsidRPr="00EB5F5F" w:rsidRDefault="00026760" w:rsidP="35B84C53">
      <w:pPr>
        <w:spacing w:after="0" w:line="240" w:lineRule="auto"/>
        <w:rPr>
          <w:rFonts w:asciiTheme="minorHAnsi" w:eastAsiaTheme="minorEastAsia" w:hAnsiTheme="minorHAnsi"/>
          <w:sz w:val="22"/>
          <w14:ligatures w14:val="standardContextual"/>
        </w:rPr>
      </w:pPr>
      <w:r w:rsidRPr="35B84C53">
        <w:rPr>
          <w:rFonts w:asciiTheme="minorHAnsi" w:eastAsiaTheme="minorEastAsia" w:hAnsiTheme="minorHAnsi"/>
          <w:sz w:val="22"/>
          <w14:ligatures w14:val="standardContextual"/>
        </w:rPr>
        <w:t>He also stated</w:t>
      </w:r>
      <w:r w:rsidR="00486BD9" w:rsidRPr="35B84C53">
        <w:rPr>
          <w:rFonts w:asciiTheme="minorHAnsi" w:eastAsiaTheme="minorEastAsia" w:hAnsiTheme="minorHAnsi"/>
          <w:sz w:val="22"/>
          <w14:ligatures w14:val="standardContextual"/>
        </w:rPr>
        <w:t>:</w:t>
      </w:r>
    </w:p>
    <w:p w14:paraId="158D2276" w14:textId="6F2ACEC0" w:rsidR="00486BD9" w:rsidRPr="00EB5F5F" w:rsidRDefault="00486BD9" w:rsidP="35B84C53">
      <w:pPr>
        <w:spacing w:after="0" w:line="240" w:lineRule="auto"/>
        <w:rPr>
          <w:rFonts w:asciiTheme="minorHAnsi" w:eastAsiaTheme="minorEastAsia" w:hAnsiTheme="minorHAnsi"/>
          <w:sz w:val="22"/>
          <w14:ligatures w14:val="standardContextual"/>
        </w:rPr>
      </w:pPr>
    </w:p>
    <w:p w14:paraId="584A7D88" w14:textId="2EA6BC3C" w:rsidR="00486BD9" w:rsidRPr="00EB5F5F" w:rsidRDefault="00486BD9" w:rsidP="35B84C53">
      <w:pPr>
        <w:spacing w:after="0" w:line="240" w:lineRule="auto"/>
        <w:ind w:left="720"/>
        <w:rPr>
          <w:rFonts w:asciiTheme="minorHAnsi" w:eastAsiaTheme="minorEastAsia" w:hAnsiTheme="minorHAnsi"/>
          <w:sz w:val="22"/>
          <w14:ligatures w14:val="standardContextual"/>
        </w:rPr>
      </w:pPr>
      <w:r w:rsidRPr="35B84C53">
        <w:rPr>
          <w:rFonts w:asciiTheme="minorHAnsi" w:eastAsiaTheme="minorEastAsia" w:hAnsiTheme="minorHAnsi"/>
          <w:sz w:val="22"/>
          <w14:ligatures w14:val="standardContextual"/>
        </w:rPr>
        <w:t>the problem with the University’s reliance on its own Regulations and policies… was that they are not the law. They were subject to the law, including the requirements of the Equality Act 2010.</w:t>
      </w:r>
      <w:r w:rsidR="002F3DFF" w:rsidRPr="35B84C53">
        <w:rPr>
          <w:rFonts w:asciiTheme="minorHAnsi" w:eastAsiaTheme="minorEastAsia" w:hAnsiTheme="minorHAnsi"/>
          <w:sz w:val="22"/>
          <w14:ligatures w14:val="standardContextual"/>
        </w:rPr>
        <w:t xml:space="preserve"> (p</w:t>
      </w:r>
      <w:r w:rsidR="008562E2" w:rsidRPr="35B84C53">
        <w:rPr>
          <w:rFonts w:asciiTheme="minorHAnsi" w:eastAsiaTheme="minorEastAsia" w:hAnsiTheme="minorHAnsi"/>
          <w:sz w:val="22"/>
          <w14:ligatures w14:val="standardContextual"/>
        </w:rPr>
        <w:t>ara</w:t>
      </w:r>
      <w:r w:rsidR="00026760" w:rsidRPr="35B84C53">
        <w:rPr>
          <w:rFonts w:asciiTheme="minorHAnsi" w:eastAsiaTheme="minorEastAsia" w:hAnsiTheme="minorHAnsi"/>
          <w:sz w:val="22"/>
          <w14:ligatures w14:val="standardContextual"/>
        </w:rPr>
        <w:t>, 220)</w:t>
      </w:r>
    </w:p>
    <w:p w14:paraId="4EF63CFC" w14:textId="77777777" w:rsidR="00B040E6" w:rsidRPr="00EB5F5F" w:rsidRDefault="00B040E6" w:rsidP="35B84C53">
      <w:pPr>
        <w:spacing w:after="0"/>
        <w:rPr>
          <w:rFonts w:asciiTheme="minorHAnsi" w:eastAsiaTheme="minorEastAsia" w:hAnsiTheme="minorHAnsi"/>
        </w:rPr>
      </w:pPr>
    </w:p>
    <w:p w14:paraId="553580CD" w14:textId="12956A77" w:rsidR="00486BD9" w:rsidRPr="00EB5F5F" w:rsidRDefault="00B040E6" w:rsidP="35B84C53">
      <w:pPr>
        <w:spacing w:after="0"/>
        <w:rPr>
          <w:rFonts w:asciiTheme="minorHAnsi" w:eastAsiaTheme="minorEastAsia" w:hAnsiTheme="minorHAnsi"/>
        </w:rPr>
      </w:pPr>
      <w:r w:rsidRPr="35B84C53">
        <w:rPr>
          <w:rFonts w:asciiTheme="minorHAnsi" w:eastAsiaTheme="minorEastAsia" w:hAnsiTheme="minorHAnsi"/>
        </w:rPr>
        <w:t xml:space="preserve">This ruling </w:t>
      </w:r>
      <w:r w:rsidR="00227E1D" w:rsidRPr="35B84C53">
        <w:rPr>
          <w:rFonts w:asciiTheme="minorHAnsi" w:eastAsiaTheme="minorEastAsia" w:hAnsiTheme="minorHAnsi"/>
        </w:rPr>
        <w:t>re-</w:t>
      </w:r>
      <w:r w:rsidRPr="35B84C53">
        <w:rPr>
          <w:rFonts w:asciiTheme="minorHAnsi" w:eastAsiaTheme="minorEastAsia" w:hAnsiTheme="minorHAnsi"/>
        </w:rPr>
        <w:t xml:space="preserve">emphasises long-standing guidance </w:t>
      </w:r>
      <w:r w:rsidR="00EB5F5F" w:rsidRPr="35B84C53">
        <w:rPr>
          <w:rFonts w:asciiTheme="minorHAnsi" w:eastAsiaTheme="minorEastAsia" w:hAnsiTheme="minorHAnsi"/>
        </w:rPr>
        <w:t>which has existed in this regard</w:t>
      </w:r>
      <w:r w:rsidRPr="35B84C53">
        <w:rPr>
          <w:rFonts w:asciiTheme="minorHAnsi" w:eastAsiaTheme="minorEastAsia" w:hAnsiTheme="minorHAnsi"/>
        </w:rPr>
        <w:t>. The Equality and Human Rights Commission (2014) guidance states in Appendix 3; point 7 that</w:t>
      </w:r>
      <w:r w:rsidR="00486BD9" w:rsidRPr="35B84C53">
        <w:rPr>
          <w:rFonts w:asciiTheme="minorHAnsi" w:eastAsiaTheme="minorEastAsia" w:hAnsiTheme="minorHAnsi"/>
        </w:rPr>
        <w:t xml:space="preserve">: </w:t>
      </w:r>
    </w:p>
    <w:p w14:paraId="0F4BDB5F" w14:textId="77777777" w:rsidR="00486BD9" w:rsidRPr="00EB5F5F" w:rsidRDefault="00486BD9" w:rsidP="35B84C53">
      <w:pPr>
        <w:spacing w:after="0"/>
        <w:rPr>
          <w:rFonts w:asciiTheme="minorHAnsi" w:eastAsiaTheme="minorEastAsia" w:hAnsiTheme="minorHAnsi"/>
        </w:rPr>
      </w:pPr>
    </w:p>
    <w:p w14:paraId="2AE0AD2D" w14:textId="33FF5AD1" w:rsidR="00B040E6" w:rsidRPr="00EB5F5F" w:rsidRDefault="00B040E6" w:rsidP="35B84C53">
      <w:pPr>
        <w:spacing w:after="0"/>
        <w:ind w:left="720"/>
        <w:rPr>
          <w:rFonts w:asciiTheme="minorHAnsi" w:eastAsiaTheme="minorEastAsia" w:hAnsiTheme="minorHAnsi"/>
          <w:sz w:val="22"/>
        </w:rPr>
      </w:pPr>
      <w:r w:rsidRPr="35B84C53">
        <w:rPr>
          <w:rFonts w:asciiTheme="minorHAnsi" w:eastAsiaTheme="minorEastAsia" w:hAnsiTheme="minorHAnsi"/>
          <w:sz w:val="22"/>
        </w:rPr>
        <w:t>There is no need for a person to establish a medically diagnosed cause for their impairment. What it is important to consider is the effect o</w:t>
      </w:r>
      <w:r w:rsidR="00486BD9" w:rsidRPr="35B84C53">
        <w:rPr>
          <w:rFonts w:asciiTheme="minorHAnsi" w:eastAsiaTheme="minorEastAsia" w:hAnsiTheme="minorHAnsi"/>
          <w:sz w:val="22"/>
        </w:rPr>
        <w:t xml:space="preserve">f the impairment not the cause. </w:t>
      </w:r>
    </w:p>
    <w:p w14:paraId="664BD43F" w14:textId="6995A51C" w:rsidR="00486BD9" w:rsidRPr="00EB5F5F" w:rsidRDefault="00486BD9" w:rsidP="35B84C53">
      <w:pPr>
        <w:spacing w:after="0"/>
        <w:ind w:left="720"/>
        <w:rPr>
          <w:rFonts w:asciiTheme="minorHAnsi" w:eastAsiaTheme="minorEastAsia" w:hAnsiTheme="minorHAnsi"/>
          <w:sz w:val="22"/>
        </w:rPr>
      </w:pPr>
    </w:p>
    <w:p w14:paraId="4C0C44BF" w14:textId="737CFBCB" w:rsidR="00026760" w:rsidRDefault="00486BD9" w:rsidP="35B84C53">
      <w:pPr>
        <w:spacing w:after="0"/>
        <w:rPr>
          <w:rFonts w:asciiTheme="minorHAnsi" w:eastAsiaTheme="minorEastAsia" w:hAnsiTheme="minorHAnsi"/>
        </w:rPr>
      </w:pPr>
      <w:r w:rsidRPr="35B84C53">
        <w:rPr>
          <w:rFonts w:asciiTheme="minorHAnsi" w:eastAsiaTheme="minorEastAsia" w:hAnsiTheme="minorHAnsi"/>
        </w:rPr>
        <w:t>The judge also pointed out that students are ‘not obliged to contact or use Disability Services’ but that in such circumstances institutions</w:t>
      </w:r>
      <w:r w:rsidR="00026760" w:rsidRPr="35B84C53">
        <w:rPr>
          <w:rFonts w:asciiTheme="minorHAnsi" w:eastAsiaTheme="minorEastAsia" w:hAnsiTheme="minorHAnsi"/>
        </w:rPr>
        <w:t xml:space="preserve"> still have ‘a responsibility to make anticipatory and reasonable adjustments’</w:t>
      </w:r>
      <w:r w:rsidR="002F3DFF" w:rsidRPr="35B84C53">
        <w:rPr>
          <w:rFonts w:asciiTheme="minorHAnsi" w:eastAsiaTheme="minorEastAsia" w:hAnsiTheme="minorHAnsi"/>
        </w:rPr>
        <w:t>(p</w:t>
      </w:r>
      <w:r w:rsidR="008562E2" w:rsidRPr="35B84C53">
        <w:rPr>
          <w:rFonts w:asciiTheme="minorHAnsi" w:eastAsiaTheme="minorEastAsia" w:hAnsiTheme="minorHAnsi"/>
        </w:rPr>
        <w:t>ara</w:t>
      </w:r>
      <w:r w:rsidR="00026760" w:rsidRPr="35B84C53">
        <w:rPr>
          <w:rFonts w:asciiTheme="minorHAnsi" w:eastAsiaTheme="minorEastAsia" w:hAnsiTheme="minorHAnsi"/>
        </w:rPr>
        <w:t>, 222)</w:t>
      </w:r>
      <w:r w:rsidR="0087529A" w:rsidRPr="35B84C53">
        <w:rPr>
          <w:rFonts w:asciiTheme="minorHAnsi" w:eastAsiaTheme="minorEastAsia" w:hAnsiTheme="minorHAnsi"/>
        </w:rPr>
        <w:t>.</w:t>
      </w:r>
      <w:r w:rsidR="008562E2" w:rsidRPr="35B84C53">
        <w:rPr>
          <w:rFonts w:asciiTheme="minorHAnsi" w:eastAsiaTheme="minorEastAsia" w:hAnsiTheme="minorHAnsi"/>
        </w:rPr>
        <w:t xml:space="preserve"> </w:t>
      </w:r>
    </w:p>
    <w:p w14:paraId="53776159" w14:textId="7F4EFFC6" w:rsidR="007F124E" w:rsidRPr="00EB5F5F" w:rsidRDefault="007F124E" w:rsidP="35B84C53">
      <w:pPr>
        <w:spacing w:after="0"/>
        <w:rPr>
          <w:rFonts w:asciiTheme="minorHAnsi" w:eastAsiaTheme="minorEastAsia" w:hAnsiTheme="minorHAnsi"/>
        </w:rPr>
      </w:pPr>
    </w:p>
    <w:p w14:paraId="190646B4" w14:textId="77777777" w:rsidR="00026760" w:rsidRPr="00EB5F5F" w:rsidRDefault="00026760" w:rsidP="35B84C53">
      <w:pPr>
        <w:pStyle w:val="Heading3"/>
        <w:rPr>
          <w:rFonts w:asciiTheme="minorHAnsi" w:eastAsiaTheme="minorEastAsia" w:hAnsiTheme="minorHAnsi" w:cstheme="minorBidi"/>
        </w:rPr>
      </w:pPr>
      <w:r w:rsidRPr="35B84C53">
        <w:rPr>
          <w:rFonts w:asciiTheme="minorHAnsi" w:eastAsiaTheme="minorEastAsia" w:hAnsiTheme="minorHAnsi" w:cstheme="minorBidi"/>
        </w:rPr>
        <w:lastRenderedPageBreak/>
        <w:t>Discussion Points</w:t>
      </w:r>
    </w:p>
    <w:p w14:paraId="1ADB4C05" w14:textId="751C0922" w:rsidR="00052B1A" w:rsidRDefault="00052B1A" w:rsidP="35B84C53">
      <w:pPr>
        <w:pStyle w:val="ListParagraph"/>
        <w:numPr>
          <w:ilvl w:val="0"/>
          <w:numId w:val="3"/>
        </w:numPr>
        <w:spacing w:after="0" w:line="240" w:lineRule="auto"/>
        <w:rPr>
          <w:rFonts w:asciiTheme="minorHAnsi" w:eastAsiaTheme="minorEastAsia" w:hAnsiTheme="minorHAnsi"/>
          <w14:ligatures w14:val="standardContextual"/>
        </w:rPr>
      </w:pPr>
      <w:r w:rsidRPr="35B84C53">
        <w:rPr>
          <w:rFonts w:asciiTheme="minorHAnsi" w:eastAsiaTheme="minorEastAsia" w:hAnsiTheme="minorHAnsi"/>
          <w14:ligatures w14:val="standardContextual"/>
        </w:rPr>
        <w:t xml:space="preserve">Do  </w:t>
      </w:r>
      <w:r w:rsidR="007F124E" w:rsidRPr="35B84C53">
        <w:rPr>
          <w:rFonts w:asciiTheme="minorHAnsi" w:eastAsiaTheme="minorEastAsia" w:hAnsiTheme="minorHAnsi"/>
        </w:rPr>
        <w:t>HEPs</w:t>
      </w:r>
      <w:r w:rsidR="007F124E" w:rsidRPr="35B84C53">
        <w:rPr>
          <w:rFonts w:asciiTheme="minorHAnsi" w:eastAsiaTheme="minorEastAsia" w:hAnsiTheme="minorHAnsi"/>
          <w14:ligatures w14:val="standardContextual"/>
        </w:rPr>
        <w:t xml:space="preserve"> </w:t>
      </w:r>
      <w:r w:rsidRPr="35B84C53">
        <w:rPr>
          <w:rFonts w:asciiTheme="minorHAnsi" w:eastAsiaTheme="minorEastAsia" w:hAnsiTheme="minorHAnsi"/>
          <w14:ligatures w14:val="standardContextual"/>
        </w:rPr>
        <w:t>understand the anticipatory duty?</w:t>
      </w:r>
    </w:p>
    <w:p w14:paraId="20D314E0" w14:textId="78A6320E" w:rsidR="00026760" w:rsidRDefault="00026760" w:rsidP="35B84C53">
      <w:pPr>
        <w:pStyle w:val="ListParagraph"/>
        <w:numPr>
          <w:ilvl w:val="0"/>
          <w:numId w:val="3"/>
        </w:numPr>
        <w:spacing w:after="0" w:line="240" w:lineRule="auto"/>
        <w:rPr>
          <w:rFonts w:asciiTheme="minorHAnsi" w:eastAsiaTheme="minorEastAsia" w:hAnsiTheme="minorHAnsi"/>
          <w14:ligatures w14:val="standardContextual"/>
        </w:rPr>
      </w:pPr>
      <w:r w:rsidRPr="35B84C53">
        <w:rPr>
          <w:rFonts w:asciiTheme="minorHAnsi" w:eastAsiaTheme="minorEastAsia" w:hAnsiTheme="minorHAnsi"/>
          <w14:ligatures w14:val="standardContextual"/>
        </w:rPr>
        <w:t>Are all staff aware of what constitutes a disability (the legal definition) and what reasonable adjustments might be appropriate</w:t>
      </w:r>
      <w:r w:rsidR="002F3DFF" w:rsidRPr="35B84C53">
        <w:rPr>
          <w:rFonts w:asciiTheme="minorHAnsi" w:eastAsiaTheme="minorEastAsia" w:hAnsiTheme="minorHAnsi"/>
          <w14:ligatures w14:val="standardContextual"/>
        </w:rPr>
        <w:t xml:space="preserve">, including adjustment to examinations and assessments? </w:t>
      </w:r>
    </w:p>
    <w:p w14:paraId="4AA1C36B" w14:textId="6C282544" w:rsidR="005C3466" w:rsidRPr="00EB5F5F" w:rsidRDefault="005C3466" w:rsidP="35B84C53">
      <w:pPr>
        <w:pStyle w:val="ListParagraph"/>
        <w:numPr>
          <w:ilvl w:val="0"/>
          <w:numId w:val="3"/>
        </w:numPr>
        <w:spacing w:after="0" w:line="240" w:lineRule="auto"/>
        <w:rPr>
          <w:rFonts w:asciiTheme="minorHAnsi" w:eastAsiaTheme="minorEastAsia" w:hAnsiTheme="minorHAnsi"/>
          <w14:ligatures w14:val="standardContextual"/>
        </w:rPr>
      </w:pPr>
      <w:r w:rsidRPr="35B84C53">
        <w:rPr>
          <w:rFonts w:asciiTheme="minorHAnsi" w:eastAsiaTheme="minorEastAsia" w:hAnsiTheme="minorHAnsi"/>
          <w14:ligatures w14:val="standardContextual"/>
        </w:rPr>
        <w:t xml:space="preserve">Are staff aware of the Disabled Student Commitment, and specifically its call for </w:t>
      </w:r>
      <w:r w:rsidR="00052B1A" w:rsidRPr="35B84C53">
        <w:rPr>
          <w:rFonts w:asciiTheme="minorHAnsi" w:eastAsiaTheme="minorEastAsia" w:hAnsiTheme="minorHAnsi"/>
        </w:rPr>
        <w:t xml:space="preserve">HEPs </w:t>
      </w:r>
      <w:r w:rsidRPr="35B84C53">
        <w:rPr>
          <w:rFonts w:asciiTheme="minorHAnsi" w:eastAsiaTheme="minorEastAsia" w:hAnsiTheme="minorHAnsi"/>
          <w14:ligatures w14:val="standardContextual"/>
        </w:rPr>
        <w:t xml:space="preserve">to develop processes which </w:t>
      </w:r>
      <w:r w:rsidR="00052B1A" w:rsidRPr="35B84C53">
        <w:rPr>
          <w:rFonts w:asciiTheme="minorHAnsi" w:eastAsiaTheme="minorEastAsia" w:hAnsiTheme="minorHAnsi"/>
        </w:rPr>
        <w:t>ensure</w:t>
      </w:r>
      <w:r w:rsidRPr="35B84C53">
        <w:rPr>
          <w:rFonts w:asciiTheme="minorHAnsi" w:eastAsiaTheme="minorEastAsia" w:hAnsiTheme="minorHAnsi"/>
          <w14:ligatures w14:val="standardContextual"/>
        </w:rPr>
        <w:t xml:space="preserve"> students are only asked to share information on their disability once? </w:t>
      </w:r>
    </w:p>
    <w:p w14:paraId="6F1C8175" w14:textId="57B69B48" w:rsidR="002F3DFF" w:rsidRPr="00EB5F5F" w:rsidRDefault="00026760" w:rsidP="35B84C53">
      <w:pPr>
        <w:pStyle w:val="ListParagraph"/>
        <w:numPr>
          <w:ilvl w:val="0"/>
          <w:numId w:val="3"/>
        </w:numPr>
        <w:spacing w:after="0" w:line="240" w:lineRule="auto"/>
        <w:rPr>
          <w:rFonts w:asciiTheme="minorHAnsi" w:eastAsiaTheme="minorEastAsia" w:hAnsiTheme="minorHAnsi"/>
          <w14:ligatures w14:val="standardContextual"/>
        </w:rPr>
      </w:pPr>
      <w:r w:rsidRPr="35B84C53">
        <w:rPr>
          <w:rFonts w:asciiTheme="minorHAnsi" w:eastAsiaTheme="minorEastAsia" w:hAnsiTheme="minorHAnsi"/>
          <w14:ligatures w14:val="standardContextual"/>
        </w:rPr>
        <w:t xml:space="preserve">How does this ruling apply to </w:t>
      </w:r>
      <w:r w:rsidR="00052B1A" w:rsidRPr="35B84C53">
        <w:rPr>
          <w:rFonts w:asciiTheme="minorHAnsi" w:eastAsiaTheme="minorEastAsia" w:hAnsiTheme="minorHAnsi"/>
        </w:rPr>
        <w:t>HEPs</w:t>
      </w:r>
      <w:r w:rsidR="002F3DFF" w:rsidRPr="35B84C53">
        <w:rPr>
          <w:rFonts w:asciiTheme="minorHAnsi" w:eastAsiaTheme="minorEastAsia" w:hAnsiTheme="minorHAnsi"/>
          <w14:ligatures w14:val="standardContextual"/>
        </w:rPr>
        <w:t xml:space="preserve"> </w:t>
      </w:r>
      <w:r w:rsidRPr="35B84C53">
        <w:rPr>
          <w:rFonts w:asciiTheme="minorHAnsi" w:eastAsiaTheme="minorEastAsia" w:hAnsiTheme="minorHAnsi"/>
          <w14:ligatures w14:val="standardContextual"/>
        </w:rPr>
        <w:t>internal processes</w:t>
      </w:r>
      <w:r w:rsidR="4538D985" w:rsidRPr="35B84C53">
        <w:rPr>
          <w:rFonts w:asciiTheme="minorHAnsi" w:eastAsiaTheme="minorEastAsia" w:hAnsiTheme="minorHAnsi"/>
          <w14:ligatures w14:val="standardContextual"/>
        </w:rPr>
        <w:t xml:space="preserve">, including </w:t>
      </w:r>
      <w:r w:rsidR="005C3466" w:rsidRPr="35B84C53">
        <w:rPr>
          <w:rFonts w:asciiTheme="minorHAnsi" w:eastAsiaTheme="minorEastAsia" w:hAnsiTheme="minorHAnsi"/>
          <w14:ligatures w14:val="standardContextual"/>
        </w:rPr>
        <w:t xml:space="preserve">evidence requirements for </w:t>
      </w:r>
      <w:r w:rsidR="4538D985" w:rsidRPr="35B84C53">
        <w:rPr>
          <w:rFonts w:asciiTheme="minorHAnsi" w:eastAsiaTheme="minorEastAsia" w:hAnsiTheme="minorHAnsi"/>
          <w14:ligatures w14:val="standardContextual"/>
        </w:rPr>
        <w:t>extenuating circumstances</w:t>
      </w:r>
      <w:r w:rsidR="005C3466" w:rsidRPr="35B84C53">
        <w:rPr>
          <w:rFonts w:asciiTheme="minorHAnsi" w:eastAsiaTheme="minorEastAsia" w:hAnsiTheme="minorHAnsi"/>
          <w14:ligatures w14:val="standardContextual"/>
        </w:rPr>
        <w:t xml:space="preserve"> or additional consideration</w:t>
      </w:r>
      <w:r w:rsidR="4538D985" w:rsidRPr="35B84C53">
        <w:rPr>
          <w:rFonts w:asciiTheme="minorHAnsi" w:eastAsiaTheme="minorEastAsia" w:hAnsiTheme="minorHAnsi"/>
          <w14:ligatures w14:val="standardContextual"/>
        </w:rPr>
        <w:t xml:space="preserve"> processes</w:t>
      </w:r>
      <w:r w:rsidRPr="35B84C53">
        <w:rPr>
          <w:rFonts w:asciiTheme="minorHAnsi" w:eastAsiaTheme="minorEastAsia" w:hAnsiTheme="minorHAnsi"/>
          <w14:ligatures w14:val="standardContextual"/>
        </w:rPr>
        <w:t xml:space="preserve">? </w:t>
      </w:r>
    </w:p>
    <w:p w14:paraId="5CD492AA" w14:textId="01230E67" w:rsidR="00026760" w:rsidRPr="00EB5F5F" w:rsidRDefault="00026760" w:rsidP="35B84C53">
      <w:pPr>
        <w:pStyle w:val="ListParagraph"/>
        <w:numPr>
          <w:ilvl w:val="0"/>
          <w:numId w:val="3"/>
        </w:numPr>
        <w:spacing w:after="0" w:line="240" w:lineRule="auto"/>
        <w:rPr>
          <w:rFonts w:asciiTheme="minorHAnsi" w:eastAsiaTheme="minorEastAsia" w:hAnsiTheme="minorHAnsi"/>
          <w14:ligatures w14:val="standardContextual"/>
        </w:rPr>
      </w:pPr>
      <w:r w:rsidRPr="35B84C53">
        <w:rPr>
          <w:rFonts w:asciiTheme="minorHAnsi" w:eastAsiaTheme="minorEastAsia" w:hAnsiTheme="minorHAnsi"/>
          <w14:ligatures w14:val="standardContextual"/>
        </w:rPr>
        <w:t xml:space="preserve">Do current evidence </w:t>
      </w:r>
      <w:r w:rsidR="031023FA" w:rsidRPr="35B84C53">
        <w:rPr>
          <w:rFonts w:asciiTheme="minorHAnsi" w:eastAsiaTheme="minorEastAsia" w:hAnsiTheme="minorHAnsi"/>
          <w14:ligatures w14:val="standardContextual"/>
        </w:rPr>
        <w:t>processes</w:t>
      </w:r>
      <w:r w:rsidR="005C3466" w:rsidRPr="35B84C53">
        <w:rPr>
          <w:rFonts w:asciiTheme="minorHAnsi" w:eastAsiaTheme="minorEastAsia" w:hAnsiTheme="minorHAnsi"/>
          <w14:ligatures w14:val="standardContextual"/>
        </w:rPr>
        <w:t xml:space="preserve"> </w:t>
      </w:r>
      <w:r w:rsidRPr="35B84C53">
        <w:rPr>
          <w:rFonts w:asciiTheme="minorHAnsi" w:eastAsiaTheme="minorEastAsia" w:hAnsiTheme="minorHAnsi"/>
          <w14:ligatures w14:val="standardContextual"/>
        </w:rPr>
        <w:t>need to be reviewed (for example, the acceptance of JCQ8 forms</w:t>
      </w:r>
      <w:r w:rsidR="002F3DFF" w:rsidRPr="35B84C53">
        <w:rPr>
          <w:rFonts w:asciiTheme="minorHAnsi" w:eastAsiaTheme="minorEastAsia" w:hAnsiTheme="minorHAnsi"/>
          <w14:ligatures w14:val="standardContextual"/>
        </w:rPr>
        <w:t xml:space="preserve"> to support examination access arrangements</w:t>
      </w:r>
      <w:r w:rsidRPr="35B84C53">
        <w:rPr>
          <w:rFonts w:asciiTheme="minorHAnsi" w:eastAsiaTheme="minorEastAsia" w:hAnsiTheme="minorHAnsi"/>
          <w14:ligatures w14:val="standardContextual"/>
        </w:rPr>
        <w:t xml:space="preserve">; </w:t>
      </w:r>
      <w:r w:rsidR="002F3DFF" w:rsidRPr="35B84C53">
        <w:rPr>
          <w:rFonts w:asciiTheme="minorHAnsi" w:eastAsiaTheme="minorEastAsia" w:hAnsiTheme="minorHAnsi"/>
          <w14:ligatures w14:val="standardContextual"/>
        </w:rPr>
        <w:t xml:space="preserve">or, </w:t>
      </w:r>
      <w:r w:rsidRPr="35B84C53">
        <w:rPr>
          <w:rFonts w:asciiTheme="minorHAnsi" w:eastAsiaTheme="minorEastAsia" w:hAnsiTheme="minorHAnsi"/>
          <w14:ligatures w14:val="standardContextual"/>
        </w:rPr>
        <w:t xml:space="preserve">when considering requests for alternative modes of assessment)? </w:t>
      </w:r>
    </w:p>
    <w:p w14:paraId="620B73EC" w14:textId="58039944" w:rsidR="00026760" w:rsidRDefault="00026760" w:rsidP="35B84C53">
      <w:pPr>
        <w:pStyle w:val="ListParagraph"/>
        <w:numPr>
          <w:ilvl w:val="0"/>
          <w:numId w:val="3"/>
        </w:numPr>
        <w:spacing w:after="0" w:line="240" w:lineRule="auto"/>
        <w:rPr>
          <w:rFonts w:asciiTheme="minorHAnsi" w:eastAsiaTheme="minorEastAsia" w:hAnsiTheme="minorHAnsi"/>
          <w14:ligatures w14:val="standardContextual"/>
        </w:rPr>
      </w:pPr>
      <w:r w:rsidRPr="35B84C53">
        <w:rPr>
          <w:rFonts w:asciiTheme="minorHAnsi" w:eastAsiaTheme="minorEastAsia" w:hAnsiTheme="minorHAnsi"/>
          <w14:ligatures w14:val="standardContextual"/>
        </w:rPr>
        <w:t>Are institutions over-reliant on explicit recommendations contained in documentation produced by disability services</w:t>
      </w:r>
      <w:r w:rsidR="002F3DFF" w:rsidRPr="35B84C53">
        <w:rPr>
          <w:rFonts w:asciiTheme="minorHAnsi" w:eastAsiaTheme="minorEastAsia" w:hAnsiTheme="minorHAnsi"/>
          <w14:ligatures w14:val="standardContextual"/>
        </w:rPr>
        <w:t>, and does this lead to unnecessary and timely delays in adjustments being put in place</w:t>
      </w:r>
      <w:r w:rsidRPr="35B84C53">
        <w:rPr>
          <w:rFonts w:asciiTheme="minorHAnsi" w:eastAsiaTheme="minorEastAsia" w:hAnsiTheme="minorHAnsi"/>
          <w14:ligatures w14:val="standardContextual"/>
        </w:rPr>
        <w:t xml:space="preserve">? </w:t>
      </w:r>
    </w:p>
    <w:p w14:paraId="4DA8C9F1" w14:textId="5B59B842" w:rsidR="00052B1A" w:rsidRPr="00EB5F5F" w:rsidRDefault="00052B1A" w:rsidP="35B84C53">
      <w:pPr>
        <w:pStyle w:val="ListParagraph"/>
        <w:numPr>
          <w:ilvl w:val="0"/>
          <w:numId w:val="3"/>
        </w:numPr>
        <w:spacing w:after="0" w:line="240" w:lineRule="auto"/>
        <w:rPr>
          <w:rFonts w:asciiTheme="minorHAnsi" w:eastAsiaTheme="minorEastAsia" w:hAnsiTheme="minorHAnsi"/>
          <w14:ligatures w14:val="standardContextual"/>
        </w:rPr>
      </w:pPr>
      <w:r w:rsidRPr="35B84C53">
        <w:rPr>
          <w:rFonts w:asciiTheme="minorHAnsi" w:eastAsiaTheme="minorEastAsia" w:hAnsiTheme="minorHAnsi"/>
        </w:rPr>
        <w:t>Where a student’s disability is apparent to the extent that the HEP should reasonably have known</w:t>
      </w:r>
      <w:r w:rsidR="007F124E" w:rsidRPr="35B84C53">
        <w:rPr>
          <w:rFonts w:asciiTheme="minorHAnsi" w:eastAsiaTheme="minorEastAsia" w:hAnsiTheme="minorHAnsi"/>
        </w:rPr>
        <w:t>,</w:t>
      </w:r>
      <w:r w:rsidRPr="35B84C53">
        <w:rPr>
          <w:rFonts w:asciiTheme="minorHAnsi" w:eastAsiaTheme="minorEastAsia" w:hAnsiTheme="minorHAnsi"/>
        </w:rPr>
        <w:t xml:space="preserve"> </w:t>
      </w:r>
      <w:r w:rsidR="007F124E" w:rsidRPr="35B84C53">
        <w:rPr>
          <w:rFonts w:asciiTheme="minorHAnsi" w:eastAsiaTheme="minorEastAsia" w:hAnsiTheme="minorHAnsi"/>
        </w:rPr>
        <w:t xml:space="preserve">do processes and thresholds need amending? </w:t>
      </w:r>
    </w:p>
    <w:p w14:paraId="6C6B21B6" w14:textId="20AD9F10" w:rsidR="00026760" w:rsidRPr="00EB5F5F" w:rsidRDefault="00026760" w:rsidP="35B84C53">
      <w:pPr>
        <w:pStyle w:val="ListParagraph"/>
        <w:numPr>
          <w:ilvl w:val="0"/>
          <w:numId w:val="3"/>
        </w:numPr>
        <w:spacing w:after="0" w:line="240" w:lineRule="auto"/>
        <w:rPr>
          <w:rFonts w:asciiTheme="minorHAnsi" w:eastAsiaTheme="minorEastAsia" w:hAnsiTheme="minorHAnsi"/>
          <w14:ligatures w14:val="standardContextual"/>
        </w:rPr>
      </w:pPr>
      <w:r w:rsidRPr="35B84C53">
        <w:rPr>
          <w:rFonts w:asciiTheme="minorHAnsi" w:eastAsiaTheme="minorEastAsia" w:hAnsiTheme="minorHAnsi"/>
          <w14:ligatures w14:val="standardContextual"/>
        </w:rPr>
        <w:t>How will this ruling be interpreted in relation to Disabled Students Allowances (DSAs)</w:t>
      </w:r>
      <w:r w:rsidR="008562E2" w:rsidRPr="35B84C53">
        <w:rPr>
          <w:rFonts w:asciiTheme="minorHAnsi" w:eastAsiaTheme="minorEastAsia" w:hAnsiTheme="minorHAnsi"/>
        </w:rPr>
        <w:t xml:space="preserve">, a government initiative involving public funds, </w:t>
      </w:r>
      <w:r w:rsidRPr="35B84C53">
        <w:rPr>
          <w:rFonts w:asciiTheme="minorHAnsi" w:eastAsiaTheme="minorEastAsia" w:hAnsiTheme="minorHAnsi"/>
          <w14:ligatures w14:val="standardContextual"/>
        </w:rPr>
        <w:t>where formal diagnostic evidence is currently an eligibility requirement</w:t>
      </w:r>
      <w:r w:rsidR="002F3DFF" w:rsidRPr="35B84C53">
        <w:rPr>
          <w:rFonts w:asciiTheme="minorHAnsi" w:eastAsiaTheme="minorEastAsia" w:hAnsiTheme="minorHAnsi"/>
          <w14:ligatures w14:val="standardContextual"/>
        </w:rPr>
        <w:t>?</w:t>
      </w:r>
    </w:p>
    <w:p w14:paraId="4975F416" w14:textId="77777777" w:rsidR="00026760" w:rsidRPr="00EB5F5F" w:rsidRDefault="00026760" w:rsidP="35B84C53">
      <w:pPr>
        <w:pStyle w:val="Heading3"/>
        <w:rPr>
          <w:rFonts w:asciiTheme="minorHAnsi" w:eastAsiaTheme="minorEastAsia" w:hAnsiTheme="minorHAnsi" w:cstheme="minorBidi"/>
        </w:rPr>
      </w:pPr>
      <w:r w:rsidRPr="35B84C53">
        <w:rPr>
          <w:rFonts w:asciiTheme="minorHAnsi" w:eastAsiaTheme="minorEastAsia" w:hAnsiTheme="minorHAnsi" w:cstheme="minorBidi"/>
        </w:rPr>
        <w:t xml:space="preserve">Possible action or activity </w:t>
      </w:r>
    </w:p>
    <w:p w14:paraId="22993827" w14:textId="77777777" w:rsidR="002F3DFF" w:rsidRPr="00EB5F5F" w:rsidRDefault="00026760" w:rsidP="35B84C53">
      <w:pPr>
        <w:pStyle w:val="ListParagraph"/>
        <w:numPr>
          <w:ilvl w:val="0"/>
          <w:numId w:val="7"/>
        </w:numPr>
        <w:rPr>
          <w:rFonts w:asciiTheme="minorHAnsi" w:eastAsiaTheme="minorEastAsia" w:hAnsiTheme="minorHAnsi"/>
        </w:rPr>
      </w:pPr>
      <w:r w:rsidRPr="35B84C53">
        <w:rPr>
          <w:rFonts w:asciiTheme="minorHAnsi" w:eastAsiaTheme="minorEastAsia" w:hAnsiTheme="minorHAnsi"/>
        </w:rPr>
        <w:t xml:space="preserve">Awareness raising </w:t>
      </w:r>
      <w:r w:rsidR="002F3DFF" w:rsidRPr="35B84C53">
        <w:rPr>
          <w:rFonts w:asciiTheme="minorHAnsi" w:eastAsiaTheme="minorEastAsia" w:hAnsiTheme="minorHAnsi"/>
        </w:rPr>
        <w:t>action related to:</w:t>
      </w:r>
    </w:p>
    <w:p w14:paraId="22D3EC1B" w14:textId="4E6E4721" w:rsidR="002F3DFF" w:rsidRPr="00EB5F5F" w:rsidRDefault="002F3DFF" w:rsidP="35B84C53">
      <w:pPr>
        <w:pStyle w:val="ListParagraph"/>
        <w:numPr>
          <w:ilvl w:val="1"/>
          <w:numId w:val="7"/>
        </w:numPr>
        <w:rPr>
          <w:rFonts w:asciiTheme="minorHAnsi" w:eastAsiaTheme="minorEastAsia" w:hAnsiTheme="minorHAnsi"/>
        </w:rPr>
      </w:pPr>
      <w:r w:rsidRPr="35B84C53">
        <w:rPr>
          <w:rFonts w:asciiTheme="minorHAnsi" w:eastAsiaTheme="minorEastAsia" w:hAnsiTheme="minorHAnsi"/>
        </w:rPr>
        <w:t>What constitutes a disability</w:t>
      </w:r>
    </w:p>
    <w:p w14:paraId="4D21DB70" w14:textId="0F483C88" w:rsidR="00026760" w:rsidRDefault="00052B1A" w:rsidP="35B84C53">
      <w:pPr>
        <w:pStyle w:val="ListParagraph"/>
        <w:numPr>
          <w:ilvl w:val="1"/>
          <w:numId w:val="7"/>
        </w:numPr>
        <w:rPr>
          <w:rFonts w:asciiTheme="minorHAnsi" w:eastAsiaTheme="minorEastAsia" w:hAnsiTheme="minorHAnsi"/>
        </w:rPr>
      </w:pPr>
      <w:r w:rsidRPr="35B84C53">
        <w:rPr>
          <w:rFonts w:asciiTheme="minorHAnsi" w:eastAsiaTheme="minorEastAsia" w:hAnsiTheme="minorHAnsi"/>
        </w:rPr>
        <w:t>T</w:t>
      </w:r>
      <w:r w:rsidR="00026760" w:rsidRPr="35B84C53">
        <w:rPr>
          <w:rFonts w:asciiTheme="minorHAnsi" w:eastAsiaTheme="minorEastAsia" w:hAnsiTheme="minorHAnsi"/>
        </w:rPr>
        <w:t xml:space="preserve">he implications of the ruling in terms of internal process and evidential requirements </w:t>
      </w:r>
    </w:p>
    <w:p w14:paraId="3769EC09" w14:textId="022D84AB" w:rsidR="00052B1A" w:rsidRPr="00EB5F5F" w:rsidRDefault="00052B1A" w:rsidP="35B84C53">
      <w:pPr>
        <w:pStyle w:val="ListParagraph"/>
        <w:numPr>
          <w:ilvl w:val="1"/>
          <w:numId w:val="7"/>
        </w:numPr>
        <w:rPr>
          <w:rFonts w:asciiTheme="minorHAnsi" w:eastAsiaTheme="minorEastAsia" w:hAnsiTheme="minorHAnsi"/>
        </w:rPr>
      </w:pPr>
      <w:r w:rsidRPr="35B84C53">
        <w:rPr>
          <w:rFonts w:asciiTheme="minorHAnsi" w:eastAsiaTheme="minorEastAsia" w:hAnsiTheme="minorHAnsi"/>
        </w:rPr>
        <w:t>Competence standards</w:t>
      </w:r>
    </w:p>
    <w:p w14:paraId="669EC077" w14:textId="7874275E" w:rsidR="002F3DFF" w:rsidRPr="00EB5F5F" w:rsidRDefault="002F3DFF" w:rsidP="35B84C53">
      <w:pPr>
        <w:pStyle w:val="ListParagraph"/>
        <w:numPr>
          <w:ilvl w:val="0"/>
          <w:numId w:val="7"/>
        </w:numPr>
        <w:rPr>
          <w:rFonts w:asciiTheme="minorHAnsi" w:eastAsiaTheme="minorEastAsia" w:hAnsiTheme="minorHAnsi"/>
        </w:rPr>
      </w:pPr>
      <w:r w:rsidRPr="35B84C53">
        <w:rPr>
          <w:rFonts w:asciiTheme="minorHAnsi" w:eastAsiaTheme="minorEastAsia" w:hAnsiTheme="minorHAnsi"/>
        </w:rPr>
        <w:t>Consideration of reviews of:</w:t>
      </w:r>
    </w:p>
    <w:p w14:paraId="07773693" w14:textId="4E68C3BD" w:rsidR="00B040E6" w:rsidRDefault="002F3DFF" w:rsidP="35B84C53">
      <w:pPr>
        <w:pStyle w:val="ListParagraph"/>
        <w:numPr>
          <w:ilvl w:val="1"/>
          <w:numId w:val="7"/>
        </w:numPr>
        <w:spacing w:after="0"/>
        <w:rPr>
          <w:rFonts w:asciiTheme="minorHAnsi" w:eastAsiaTheme="minorEastAsia" w:hAnsiTheme="minorHAnsi"/>
        </w:rPr>
      </w:pPr>
      <w:r w:rsidRPr="35B84C53">
        <w:rPr>
          <w:rFonts w:asciiTheme="minorHAnsi" w:eastAsiaTheme="minorEastAsia" w:hAnsiTheme="minorHAnsi"/>
        </w:rPr>
        <w:t xml:space="preserve">Existing evidence thresholds for disabled students and </w:t>
      </w:r>
      <w:r w:rsidR="000B27A7" w:rsidRPr="35B84C53">
        <w:rPr>
          <w:rFonts w:asciiTheme="minorHAnsi" w:eastAsiaTheme="minorEastAsia" w:hAnsiTheme="minorHAnsi"/>
        </w:rPr>
        <w:t xml:space="preserve">HEP </w:t>
      </w:r>
      <w:r w:rsidRPr="35B84C53">
        <w:rPr>
          <w:rFonts w:asciiTheme="minorHAnsi" w:eastAsiaTheme="minorEastAsia" w:hAnsiTheme="minorHAnsi"/>
        </w:rPr>
        <w:t>processes</w:t>
      </w:r>
    </w:p>
    <w:p w14:paraId="2458DAEC" w14:textId="75B6D724" w:rsidR="00052B1A" w:rsidRDefault="00052B1A" w:rsidP="35B84C53">
      <w:pPr>
        <w:pStyle w:val="ListParagraph"/>
        <w:numPr>
          <w:ilvl w:val="1"/>
          <w:numId w:val="7"/>
        </w:numPr>
        <w:spacing w:after="0"/>
        <w:rPr>
          <w:rFonts w:asciiTheme="minorHAnsi" w:eastAsiaTheme="minorEastAsia" w:hAnsiTheme="minorHAnsi"/>
        </w:rPr>
      </w:pPr>
      <w:r w:rsidRPr="35B84C53">
        <w:rPr>
          <w:rFonts w:asciiTheme="minorHAnsi" w:eastAsiaTheme="minorEastAsia" w:hAnsiTheme="minorHAnsi"/>
        </w:rPr>
        <w:t>Training provision for all staff</w:t>
      </w:r>
    </w:p>
    <w:p w14:paraId="78BBED7B" w14:textId="139612B9" w:rsidR="65719EB9" w:rsidRPr="005C3466" w:rsidRDefault="005C3466" w:rsidP="35B84C53">
      <w:pPr>
        <w:pStyle w:val="ListParagraph"/>
        <w:numPr>
          <w:ilvl w:val="0"/>
          <w:numId w:val="7"/>
        </w:numPr>
        <w:spacing w:after="0"/>
        <w:rPr>
          <w:rFonts w:asciiTheme="minorHAnsi" w:eastAsiaTheme="minorEastAsia" w:hAnsiTheme="minorHAnsi"/>
        </w:rPr>
      </w:pPr>
      <w:r w:rsidRPr="35B84C53">
        <w:rPr>
          <w:rFonts w:asciiTheme="minorHAnsi" w:eastAsiaTheme="minorEastAsia" w:hAnsiTheme="minorHAnsi"/>
        </w:rPr>
        <w:t xml:space="preserve">Use the Disabled Student Commitment framework to map each </w:t>
      </w:r>
      <w:r w:rsidR="00052B1A" w:rsidRPr="35B84C53">
        <w:rPr>
          <w:rFonts w:asciiTheme="minorHAnsi" w:eastAsiaTheme="minorEastAsia" w:hAnsiTheme="minorHAnsi"/>
        </w:rPr>
        <w:t xml:space="preserve">HEPs </w:t>
      </w:r>
      <w:r w:rsidRPr="35B84C53">
        <w:rPr>
          <w:rFonts w:asciiTheme="minorHAnsi" w:eastAsiaTheme="minorEastAsia" w:hAnsiTheme="minorHAnsi"/>
        </w:rPr>
        <w:t>current position in relation to each of the 6 elements of the commitment to develop a strategic plan to improve the educational experiences of disabled students.</w:t>
      </w:r>
    </w:p>
    <w:p w14:paraId="177687A9" w14:textId="77777777" w:rsidR="00EB5F5F" w:rsidRPr="00EB5F5F" w:rsidRDefault="00EB5F5F" w:rsidP="35B84C53">
      <w:pPr>
        <w:pStyle w:val="ListParagraph"/>
        <w:spacing w:after="0"/>
        <w:ind w:left="1080"/>
        <w:rPr>
          <w:rFonts w:asciiTheme="minorHAnsi" w:eastAsiaTheme="minorEastAsia" w:hAnsiTheme="minorHAnsi"/>
        </w:rPr>
      </w:pPr>
    </w:p>
    <w:p w14:paraId="1EF8CF3A" w14:textId="61834426" w:rsidR="00563ACE" w:rsidRPr="00EB5F5F" w:rsidRDefault="00563ACE" w:rsidP="35B84C53">
      <w:pPr>
        <w:pStyle w:val="Heading2"/>
        <w:numPr>
          <w:ilvl w:val="0"/>
          <w:numId w:val="0"/>
        </w:numPr>
        <w:rPr>
          <w:rFonts w:asciiTheme="minorHAnsi" w:eastAsiaTheme="minorEastAsia" w:hAnsiTheme="minorHAnsi" w:cstheme="minorBidi"/>
        </w:rPr>
      </w:pPr>
      <w:r w:rsidRPr="35B84C53">
        <w:rPr>
          <w:rFonts w:asciiTheme="minorHAnsi" w:eastAsiaTheme="minorEastAsia" w:hAnsiTheme="minorHAnsi" w:cstheme="minorBidi"/>
        </w:rPr>
        <w:t>Disclosure</w:t>
      </w:r>
      <w:r w:rsidR="00486BD9" w:rsidRPr="35B84C53">
        <w:rPr>
          <w:rFonts w:asciiTheme="minorHAnsi" w:eastAsiaTheme="minorEastAsia" w:hAnsiTheme="minorHAnsi" w:cstheme="minorBidi"/>
        </w:rPr>
        <w:t>, disability discrimination</w:t>
      </w:r>
      <w:r w:rsidRPr="35B84C53">
        <w:rPr>
          <w:rFonts w:asciiTheme="minorHAnsi" w:eastAsiaTheme="minorEastAsia" w:hAnsiTheme="minorHAnsi" w:cstheme="minorBidi"/>
        </w:rPr>
        <w:t xml:space="preserve"> and active or constructive knowledge</w:t>
      </w:r>
    </w:p>
    <w:p w14:paraId="46CE5ED4" w14:textId="1A85DD39" w:rsidR="005F143C" w:rsidRPr="00EB5F5F" w:rsidRDefault="005F143C" w:rsidP="35B84C53">
      <w:pPr>
        <w:rPr>
          <w:rFonts w:asciiTheme="minorHAnsi" w:eastAsiaTheme="minorEastAsia" w:hAnsiTheme="minorHAnsi"/>
        </w:rPr>
      </w:pPr>
      <w:r w:rsidRPr="35B84C53">
        <w:rPr>
          <w:rFonts w:asciiTheme="minorHAnsi" w:eastAsiaTheme="minorEastAsia" w:hAnsiTheme="minorHAnsi"/>
        </w:rPr>
        <w:t xml:space="preserve">The University of Bristol argued that </w:t>
      </w:r>
      <w:r w:rsidR="007F124E" w:rsidRPr="35B84C53">
        <w:rPr>
          <w:rFonts w:asciiTheme="minorHAnsi" w:eastAsiaTheme="minorEastAsia" w:hAnsiTheme="minorHAnsi"/>
        </w:rPr>
        <w:t xml:space="preserve">it did not have </w:t>
      </w:r>
      <w:r w:rsidRPr="35B84C53">
        <w:rPr>
          <w:rFonts w:asciiTheme="minorHAnsi" w:eastAsiaTheme="minorEastAsia" w:hAnsiTheme="minorHAnsi"/>
        </w:rPr>
        <w:t xml:space="preserve"> actual or constructive knowledge of Natasha's disability</w:t>
      </w:r>
      <w:r w:rsidR="007F124E" w:rsidRPr="35B84C53">
        <w:rPr>
          <w:rFonts w:asciiTheme="minorHAnsi" w:eastAsiaTheme="minorEastAsia" w:hAnsiTheme="minorHAnsi"/>
        </w:rPr>
        <w:t xml:space="preserve"> and therefore was not under a duty to make adjustments</w:t>
      </w:r>
      <w:r w:rsidRPr="35B84C53">
        <w:rPr>
          <w:rFonts w:asciiTheme="minorHAnsi" w:eastAsiaTheme="minorEastAsia" w:hAnsiTheme="minorHAnsi"/>
        </w:rPr>
        <w:t xml:space="preserve">. The </w:t>
      </w:r>
      <w:r w:rsidR="00486BD9" w:rsidRPr="35B84C53">
        <w:rPr>
          <w:rFonts w:asciiTheme="minorHAnsi" w:eastAsiaTheme="minorEastAsia" w:hAnsiTheme="minorHAnsi"/>
        </w:rPr>
        <w:t>High C</w:t>
      </w:r>
      <w:r w:rsidRPr="35B84C53">
        <w:rPr>
          <w:rFonts w:asciiTheme="minorHAnsi" w:eastAsiaTheme="minorEastAsia" w:hAnsiTheme="minorHAnsi"/>
        </w:rPr>
        <w:t>ourt found the University was aware of Natasha's mental</w:t>
      </w:r>
      <w:r w:rsidR="007E750B" w:rsidRPr="35B84C53">
        <w:rPr>
          <w:rFonts w:asciiTheme="minorHAnsi" w:eastAsiaTheme="minorEastAsia" w:hAnsiTheme="minorHAnsi"/>
        </w:rPr>
        <w:t xml:space="preserve"> ill</w:t>
      </w:r>
      <w:r w:rsidRPr="35B84C53">
        <w:rPr>
          <w:rFonts w:asciiTheme="minorHAnsi" w:eastAsiaTheme="minorEastAsia" w:hAnsiTheme="minorHAnsi"/>
        </w:rPr>
        <w:t xml:space="preserve"> health from around October 2017, and that by mid-February 2018, the University should have known of the likely long-term nature of the student’s impairment. </w:t>
      </w:r>
    </w:p>
    <w:p w14:paraId="67ADDB77" w14:textId="5ABF5D2C" w:rsidR="002F3DFF" w:rsidRPr="00EB5F5F" w:rsidRDefault="002F3DFF" w:rsidP="35B84C53">
      <w:pPr>
        <w:rPr>
          <w:rFonts w:asciiTheme="minorHAnsi" w:eastAsiaTheme="minorEastAsia" w:hAnsiTheme="minorHAnsi"/>
        </w:rPr>
      </w:pPr>
      <w:r w:rsidRPr="35B84C53">
        <w:rPr>
          <w:rFonts w:asciiTheme="minorHAnsi" w:eastAsiaTheme="minorEastAsia" w:hAnsiTheme="minorHAnsi"/>
        </w:rPr>
        <w:t xml:space="preserve">The High Court ruling makes it clear that all </w:t>
      </w:r>
      <w:r w:rsidR="00CC118D" w:rsidRPr="35B84C53">
        <w:rPr>
          <w:rFonts w:asciiTheme="minorHAnsi" w:eastAsiaTheme="minorEastAsia" w:hAnsiTheme="minorHAnsi"/>
        </w:rPr>
        <w:t xml:space="preserve">HEP </w:t>
      </w:r>
      <w:r w:rsidRPr="35B84C53">
        <w:rPr>
          <w:rFonts w:asciiTheme="minorHAnsi" w:eastAsiaTheme="minorEastAsia" w:hAnsiTheme="minorHAnsi"/>
        </w:rPr>
        <w:t xml:space="preserve">staff have a responsibility to seek advice and/or disseminate information when clear evidence (whether documented or </w:t>
      </w:r>
      <w:r w:rsidR="007E750B" w:rsidRPr="35B84C53">
        <w:rPr>
          <w:rFonts w:asciiTheme="minorHAnsi" w:eastAsiaTheme="minorEastAsia" w:hAnsiTheme="minorHAnsi"/>
        </w:rPr>
        <w:t>apparent</w:t>
      </w:r>
      <w:r w:rsidRPr="35B84C53">
        <w:rPr>
          <w:rFonts w:asciiTheme="minorHAnsi" w:eastAsiaTheme="minorEastAsia" w:hAnsiTheme="minorHAnsi"/>
        </w:rPr>
        <w:t xml:space="preserve">) of </w:t>
      </w:r>
      <w:r w:rsidRPr="35B84C53">
        <w:rPr>
          <w:rFonts w:asciiTheme="minorHAnsi" w:eastAsiaTheme="minorEastAsia" w:hAnsiTheme="minorHAnsi"/>
        </w:rPr>
        <w:lastRenderedPageBreak/>
        <w:t xml:space="preserve">disability and its impact is either disclosed or observed. Once the </w:t>
      </w:r>
      <w:r w:rsidR="0058181B" w:rsidRPr="35B84C53">
        <w:rPr>
          <w:rFonts w:asciiTheme="minorHAnsi" w:eastAsiaTheme="minorEastAsia" w:hAnsiTheme="minorHAnsi"/>
        </w:rPr>
        <w:t xml:space="preserve">HEP </w:t>
      </w:r>
      <w:r w:rsidRPr="35B84C53">
        <w:rPr>
          <w:rFonts w:asciiTheme="minorHAnsi" w:eastAsiaTheme="minorEastAsia" w:hAnsiTheme="minorHAnsi"/>
        </w:rPr>
        <w:t>has ‘act</w:t>
      </w:r>
      <w:r w:rsidR="003D3601" w:rsidRPr="35B84C53">
        <w:rPr>
          <w:rFonts w:asciiTheme="minorHAnsi" w:eastAsiaTheme="minorEastAsia" w:hAnsiTheme="minorHAnsi"/>
        </w:rPr>
        <w:t>ual</w:t>
      </w:r>
      <w:r w:rsidRPr="35B84C53">
        <w:rPr>
          <w:rFonts w:asciiTheme="minorHAnsi" w:eastAsiaTheme="minorEastAsia" w:hAnsiTheme="minorHAnsi"/>
        </w:rPr>
        <w:t xml:space="preserve"> or constructive knowledge’ of the disability (and this can be one member of staff being aware) the duty to make reasonable adjustments applies. </w:t>
      </w:r>
      <w:r w:rsidR="00EB5F5F" w:rsidRPr="35B84C53">
        <w:rPr>
          <w:rFonts w:asciiTheme="minorHAnsi" w:eastAsiaTheme="minorEastAsia" w:hAnsiTheme="minorHAnsi"/>
        </w:rPr>
        <w:t>In other words, i</w:t>
      </w:r>
      <w:r w:rsidRPr="35B84C53">
        <w:rPr>
          <w:rFonts w:asciiTheme="minorHAnsi" w:eastAsiaTheme="minorEastAsia" w:hAnsiTheme="minorHAnsi"/>
        </w:rPr>
        <w:t>nstitutions are legally bound to act when they become aware of a student’s disability.</w:t>
      </w:r>
      <w:r w:rsidR="00B8514F" w:rsidRPr="35B84C53">
        <w:rPr>
          <w:rFonts w:asciiTheme="minorHAnsi" w:eastAsiaTheme="minorEastAsia" w:hAnsiTheme="minorHAnsi"/>
        </w:rPr>
        <w:t xml:space="preserve"> The judge was clear that 'awareness' includes what the student says and does.  </w:t>
      </w:r>
    </w:p>
    <w:p w14:paraId="1B67F12B" w14:textId="77777777" w:rsidR="00D264DA" w:rsidRPr="00EB5F5F" w:rsidRDefault="00D264DA" w:rsidP="35B84C53">
      <w:pPr>
        <w:pStyle w:val="Heading3"/>
        <w:rPr>
          <w:rFonts w:asciiTheme="minorHAnsi" w:eastAsiaTheme="minorEastAsia" w:hAnsiTheme="minorHAnsi" w:cstheme="minorBidi"/>
        </w:rPr>
      </w:pPr>
      <w:r w:rsidRPr="35B84C53">
        <w:rPr>
          <w:rFonts w:asciiTheme="minorHAnsi" w:eastAsiaTheme="minorEastAsia" w:hAnsiTheme="minorHAnsi" w:cstheme="minorBidi"/>
        </w:rPr>
        <w:t>Discussion points</w:t>
      </w:r>
    </w:p>
    <w:p w14:paraId="299D75E8" w14:textId="4099FDFA" w:rsidR="00D264DA" w:rsidRPr="00EB5F5F" w:rsidRDefault="00D264DA" w:rsidP="35B84C53">
      <w:pPr>
        <w:pStyle w:val="ListParagraph"/>
        <w:numPr>
          <w:ilvl w:val="0"/>
          <w:numId w:val="2"/>
        </w:numPr>
        <w:rPr>
          <w:rFonts w:asciiTheme="minorHAnsi" w:eastAsiaTheme="minorEastAsia" w:hAnsiTheme="minorHAnsi"/>
        </w:rPr>
      </w:pPr>
      <w:r w:rsidRPr="35B84C53">
        <w:rPr>
          <w:rFonts w:asciiTheme="minorHAnsi" w:eastAsiaTheme="minorEastAsia" w:hAnsiTheme="minorHAnsi"/>
        </w:rPr>
        <w:t xml:space="preserve">Are all staff aware of what process to follow if they become aware of a </w:t>
      </w:r>
      <w:r w:rsidR="00D825E5" w:rsidRPr="35B84C53">
        <w:rPr>
          <w:rFonts w:asciiTheme="minorHAnsi" w:eastAsiaTheme="minorEastAsia" w:hAnsiTheme="minorHAnsi"/>
        </w:rPr>
        <w:t>student’s</w:t>
      </w:r>
      <w:r w:rsidRPr="35B84C53">
        <w:rPr>
          <w:rFonts w:asciiTheme="minorHAnsi" w:eastAsiaTheme="minorEastAsia" w:hAnsiTheme="minorHAnsi"/>
        </w:rPr>
        <w:t xml:space="preserve"> disability</w:t>
      </w:r>
      <w:r w:rsidR="00D825E5" w:rsidRPr="35B84C53">
        <w:rPr>
          <w:rFonts w:asciiTheme="minorHAnsi" w:eastAsiaTheme="minorEastAsia" w:hAnsiTheme="minorHAnsi"/>
        </w:rPr>
        <w:t>?</w:t>
      </w:r>
    </w:p>
    <w:p w14:paraId="6EB145CC" w14:textId="7B7A6112" w:rsidR="00D825E5" w:rsidRPr="00EB5F5F" w:rsidRDefault="00D825E5" w:rsidP="35B84C53">
      <w:pPr>
        <w:pStyle w:val="ListParagraph"/>
        <w:numPr>
          <w:ilvl w:val="0"/>
          <w:numId w:val="2"/>
        </w:numPr>
        <w:rPr>
          <w:rFonts w:asciiTheme="minorHAnsi" w:eastAsiaTheme="minorEastAsia" w:hAnsiTheme="minorHAnsi"/>
        </w:rPr>
      </w:pPr>
      <w:r w:rsidRPr="35B84C53">
        <w:rPr>
          <w:rFonts w:asciiTheme="minorHAnsi" w:eastAsiaTheme="minorEastAsia" w:hAnsiTheme="minorHAnsi"/>
        </w:rPr>
        <w:t xml:space="preserve">Are staff aware that the duty to make reasonable adjustments still applies in circumstances where a disabled student decides not to engage with disability services? </w:t>
      </w:r>
    </w:p>
    <w:p w14:paraId="18C10114" w14:textId="2D9A2145" w:rsidR="00D264DA" w:rsidRPr="00EB5F5F" w:rsidRDefault="00D264DA" w:rsidP="35B84C53">
      <w:pPr>
        <w:pStyle w:val="ListParagraph"/>
        <w:numPr>
          <w:ilvl w:val="0"/>
          <w:numId w:val="2"/>
        </w:numPr>
        <w:rPr>
          <w:rFonts w:asciiTheme="minorHAnsi" w:eastAsiaTheme="minorEastAsia" w:hAnsiTheme="minorHAnsi"/>
        </w:rPr>
      </w:pPr>
      <w:r w:rsidRPr="35B84C53">
        <w:rPr>
          <w:rFonts w:asciiTheme="minorHAnsi" w:eastAsiaTheme="minorEastAsia" w:hAnsiTheme="minorHAnsi"/>
        </w:rPr>
        <w:t xml:space="preserve">Do </w:t>
      </w:r>
      <w:r w:rsidR="003D3601" w:rsidRPr="35B84C53">
        <w:rPr>
          <w:rFonts w:asciiTheme="minorHAnsi" w:eastAsiaTheme="minorEastAsia" w:hAnsiTheme="minorHAnsi"/>
        </w:rPr>
        <w:t xml:space="preserve">staff </w:t>
      </w:r>
      <w:r w:rsidRPr="35B84C53">
        <w:rPr>
          <w:rFonts w:asciiTheme="minorHAnsi" w:eastAsiaTheme="minorEastAsia" w:hAnsiTheme="minorHAnsi"/>
        </w:rPr>
        <w:t>know what questions to ask?</w:t>
      </w:r>
    </w:p>
    <w:p w14:paraId="7045010E" w14:textId="3E1CBCD3" w:rsidR="00D264DA" w:rsidRPr="00EB5F5F" w:rsidRDefault="00D264DA" w:rsidP="35B84C53">
      <w:pPr>
        <w:pStyle w:val="ListParagraph"/>
        <w:numPr>
          <w:ilvl w:val="0"/>
          <w:numId w:val="2"/>
        </w:numPr>
        <w:rPr>
          <w:rFonts w:asciiTheme="minorHAnsi" w:eastAsiaTheme="minorEastAsia" w:hAnsiTheme="minorHAnsi"/>
        </w:rPr>
      </w:pPr>
      <w:r w:rsidRPr="35B84C53">
        <w:rPr>
          <w:rFonts w:asciiTheme="minorHAnsi" w:eastAsiaTheme="minorEastAsia" w:hAnsiTheme="minorHAnsi"/>
        </w:rPr>
        <w:t xml:space="preserve">Are </w:t>
      </w:r>
      <w:r w:rsidR="003D3601" w:rsidRPr="35B84C53">
        <w:rPr>
          <w:rFonts w:asciiTheme="minorHAnsi" w:eastAsiaTheme="minorEastAsia" w:hAnsiTheme="minorHAnsi"/>
        </w:rPr>
        <w:t>HEPs</w:t>
      </w:r>
      <w:r w:rsidRPr="35B84C53">
        <w:rPr>
          <w:rFonts w:asciiTheme="minorHAnsi" w:eastAsiaTheme="minorEastAsia" w:hAnsiTheme="minorHAnsi"/>
        </w:rPr>
        <w:t xml:space="preserve"> aware of the legal principle</w:t>
      </w:r>
      <w:r w:rsidR="00EB5F5F" w:rsidRPr="35B84C53">
        <w:rPr>
          <w:rFonts w:asciiTheme="minorHAnsi" w:eastAsiaTheme="minorEastAsia" w:hAnsiTheme="minorHAnsi"/>
        </w:rPr>
        <w:t>s</w:t>
      </w:r>
      <w:r w:rsidRPr="35B84C53">
        <w:rPr>
          <w:rFonts w:asciiTheme="minorHAnsi" w:eastAsiaTheme="minorEastAsia" w:hAnsiTheme="minorHAnsi"/>
        </w:rPr>
        <w:t xml:space="preserve"> of ‘</w:t>
      </w:r>
      <w:r w:rsidR="00912CF4" w:rsidRPr="35B84C53">
        <w:rPr>
          <w:rFonts w:asciiTheme="minorHAnsi" w:eastAsiaTheme="minorEastAsia" w:hAnsiTheme="minorHAnsi"/>
        </w:rPr>
        <w:t>actual or</w:t>
      </w:r>
      <w:r w:rsidRPr="35B84C53">
        <w:rPr>
          <w:rFonts w:asciiTheme="minorHAnsi" w:eastAsiaTheme="minorEastAsia" w:hAnsiTheme="minorHAnsi"/>
        </w:rPr>
        <w:t xml:space="preserve"> constructive knowledge</w:t>
      </w:r>
      <w:r w:rsidR="00EB5F5F" w:rsidRPr="35B84C53">
        <w:rPr>
          <w:rFonts w:asciiTheme="minorHAnsi" w:eastAsiaTheme="minorEastAsia" w:hAnsiTheme="minorHAnsi"/>
        </w:rPr>
        <w:t>’</w:t>
      </w:r>
      <w:r w:rsidR="003F0FF6" w:rsidRPr="35B84C53">
        <w:rPr>
          <w:rFonts w:asciiTheme="minorHAnsi" w:eastAsiaTheme="minorEastAsia" w:hAnsiTheme="minorHAnsi"/>
        </w:rPr>
        <w:t>?</w:t>
      </w:r>
    </w:p>
    <w:p w14:paraId="22466DE6" w14:textId="77777777" w:rsidR="00D264DA" w:rsidRPr="00EB5F5F" w:rsidRDefault="00D264DA" w:rsidP="35B84C53">
      <w:pPr>
        <w:pStyle w:val="Heading3"/>
        <w:rPr>
          <w:rFonts w:asciiTheme="minorHAnsi" w:eastAsiaTheme="minorEastAsia" w:hAnsiTheme="minorHAnsi" w:cstheme="minorBidi"/>
        </w:rPr>
      </w:pPr>
      <w:r w:rsidRPr="35B84C53">
        <w:rPr>
          <w:rFonts w:asciiTheme="minorHAnsi" w:eastAsiaTheme="minorEastAsia" w:hAnsiTheme="minorHAnsi" w:cstheme="minorBidi"/>
        </w:rPr>
        <w:t xml:space="preserve">Possible action or activity </w:t>
      </w:r>
    </w:p>
    <w:p w14:paraId="7601A945" w14:textId="344FEED0" w:rsidR="00D825E5" w:rsidRPr="00EB5F5F" w:rsidRDefault="003A7476" w:rsidP="35B84C53">
      <w:pPr>
        <w:pStyle w:val="ListParagraph"/>
        <w:numPr>
          <w:ilvl w:val="0"/>
          <w:numId w:val="5"/>
        </w:numPr>
        <w:rPr>
          <w:rFonts w:asciiTheme="minorHAnsi" w:eastAsiaTheme="minorEastAsia" w:hAnsiTheme="minorHAnsi"/>
        </w:rPr>
      </w:pPr>
      <w:r w:rsidRPr="35B84C53">
        <w:rPr>
          <w:rFonts w:asciiTheme="minorHAnsi" w:eastAsiaTheme="minorEastAsia" w:hAnsiTheme="minorHAnsi"/>
        </w:rPr>
        <w:t>Training and a</w:t>
      </w:r>
      <w:r w:rsidR="00D264DA" w:rsidRPr="35B84C53">
        <w:rPr>
          <w:rFonts w:asciiTheme="minorHAnsi" w:eastAsiaTheme="minorEastAsia" w:hAnsiTheme="minorHAnsi"/>
        </w:rPr>
        <w:t xml:space="preserve">wareness raising </w:t>
      </w:r>
      <w:r w:rsidR="00D825E5" w:rsidRPr="35B84C53">
        <w:rPr>
          <w:rFonts w:asciiTheme="minorHAnsi" w:eastAsiaTheme="minorEastAsia" w:hAnsiTheme="minorHAnsi"/>
        </w:rPr>
        <w:t>action in relation to:</w:t>
      </w:r>
    </w:p>
    <w:p w14:paraId="02F2D51E" w14:textId="003F7DDA" w:rsidR="00D264DA" w:rsidRPr="00EB5F5F" w:rsidRDefault="003D3601" w:rsidP="35B84C53">
      <w:pPr>
        <w:pStyle w:val="ListParagraph"/>
        <w:numPr>
          <w:ilvl w:val="1"/>
          <w:numId w:val="5"/>
        </w:numPr>
        <w:rPr>
          <w:rFonts w:asciiTheme="minorHAnsi" w:eastAsiaTheme="minorEastAsia" w:hAnsiTheme="minorHAnsi"/>
        </w:rPr>
      </w:pPr>
      <w:r w:rsidRPr="35B84C53">
        <w:rPr>
          <w:rFonts w:asciiTheme="minorHAnsi" w:eastAsiaTheme="minorEastAsia" w:hAnsiTheme="minorHAnsi"/>
        </w:rPr>
        <w:t>A HEPs role in the identification and sharing of disability information</w:t>
      </w:r>
    </w:p>
    <w:p w14:paraId="38E69B18" w14:textId="56E529D8" w:rsidR="00D264DA" w:rsidRDefault="00D825E5" w:rsidP="35B84C53">
      <w:pPr>
        <w:pStyle w:val="ListParagraph"/>
        <w:numPr>
          <w:ilvl w:val="1"/>
          <w:numId w:val="5"/>
        </w:numPr>
        <w:rPr>
          <w:rFonts w:asciiTheme="minorHAnsi" w:eastAsiaTheme="minorEastAsia" w:hAnsiTheme="minorHAnsi"/>
        </w:rPr>
      </w:pPr>
      <w:r w:rsidRPr="35B84C53">
        <w:rPr>
          <w:rFonts w:asciiTheme="minorHAnsi" w:eastAsiaTheme="minorEastAsia" w:hAnsiTheme="minorHAnsi"/>
        </w:rPr>
        <w:t>Awareness of the internal</w:t>
      </w:r>
      <w:r w:rsidR="00D264DA" w:rsidRPr="35B84C53">
        <w:rPr>
          <w:rFonts w:asciiTheme="minorHAnsi" w:eastAsiaTheme="minorEastAsia" w:hAnsiTheme="minorHAnsi"/>
        </w:rPr>
        <w:t xml:space="preserve"> process</w:t>
      </w:r>
      <w:r w:rsidRPr="35B84C53">
        <w:rPr>
          <w:rFonts w:asciiTheme="minorHAnsi" w:eastAsiaTheme="minorEastAsia" w:hAnsiTheme="minorHAnsi"/>
        </w:rPr>
        <w:t xml:space="preserve">es and procedures required when a student </w:t>
      </w:r>
      <w:r w:rsidR="003D3601" w:rsidRPr="35B84C53">
        <w:rPr>
          <w:rFonts w:asciiTheme="minorHAnsi" w:eastAsiaTheme="minorEastAsia" w:hAnsiTheme="minorHAnsi"/>
        </w:rPr>
        <w:t xml:space="preserve">shares </w:t>
      </w:r>
      <w:r w:rsidRPr="35B84C53">
        <w:rPr>
          <w:rFonts w:asciiTheme="minorHAnsi" w:eastAsiaTheme="minorEastAsia" w:hAnsiTheme="minorHAnsi"/>
        </w:rPr>
        <w:t xml:space="preserve">a disability </w:t>
      </w:r>
    </w:p>
    <w:p w14:paraId="7BE81A70" w14:textId="3B759ABF" w:rsidR="00EB5F5F" w:rsidRDefault="00EB5F5F" w:rsidP="35B84C53">
      <w:pPr>
        <w:pStyle w:val="ListParagraph"/>
        <w:numPr>
          <w:ilvl w:val="1"/>
          <w:numId w:val="5"/>
        </w:numPr>
        <w:rPr>
          <w:rFonts w:asciiTheme="minorHAnsi" w:eastAsiaTheme="minorEastAsia" w:hAnsiTheme="minorHAnsi"/>
        </w:rPr>
      </w:pPr>
      <w:r w:rsidRPr="35B84C53">
        <w:rPr>
          <w:rFonts w:asciiTheme="minorHAnsi" w:eastAsiaTheme="minorEastAsia" w:hAnsiTheme="minorHAnsi"/>
        </w:rPr>
        <w:t>Understanding of the duty to make reasonable adjustments and how to assess what is reasonable</w:t>
      </w:r>
    </w:p>
    <w:p w14:paraId="29BE6DA0" w14:textId="533073D6" w:rsidR="00EB5F5F" w:rsidRDefault="00EB5F5F" w:rsidP="35B84C53">
      <w:pPr>
        <w:pStyle w:val="ListParagraph"/>
        <w:numPr>
          <w:ilvl w:val="0"/>
          <w:numId w:val="5"/>
        </w:numPr>
        <w:rPr>
          <w:rFonts w:asciiTheme="minorHAnsi" w:eastAsiaTheme="minorEastAsia" w:hAnsiTheme="minorHAnsi"/>
        </w:rPr>
      </w:pPr>
      <w:r w:rsidRPr="35B84C53">
        <w:rPr>
          <w:rFonts w:asciiTheme="minorHAnsi" w:eastAsiaTheme="minorEastAsia" w:hAnsiTheme="minorHAnsi"/>
        </w:rPr>
        <w:t>Consideration of reviews of:</w:t>
      </w:r>
    </w:p>
    <w:p w14:paraId="04D8B74E" w14:textId="2A8525B6" w:rsidR="00EB5F5F" w:rsidRDefault="00EB5F5F" w:rsidP="35B84C53">
      <w:pPr>
        <w:pStyle w:val="ListParagraph"/>
        <w:numPr>
          <w:ilvl w:val="1"/>
          <w:numId w:val="5"/>
        </w:numPr>
        <w:rPr>
          <w:rFonts w:asciiTheme="minorHAnsi" w:eastAsiaTheme="minorEastAsia" w:hAnsiTheme="minorHAnsi"/>
        </w:rPr>
      </w:pPr>
      <w:r w:rsidRPr="35B84C53">
        <w:rPr>
          <w:rFonts w:asciiTheme="minorHAnsi" w:eastAsiaTheme="minorEastAsia" w:hAnsiTheme="minorHAnsi"/>
        </w:rPr>
        <w:t>C</w:t>
      </w:r>
      <w:r w:rsidR="003A7476" w:rsidRPr="35B84C53">
        <w:rPr>
          <w:rFonts w:asciiTheme="minorHAnsi" w:eastAsiaTheme="minorEastAsia" w:hAnsiTheme="minorHAnsi"/>
        </w:rPr>
        <w:t xml:space="preserve">urrent institutional </w:t>
      </w:r>
      <w:r w:rsidRPr="35B84C53">
        <w:rPr>
          <w:rFonts w:asciiTheme="minorHAnsi" w:eastAsiaTheme="minorEastAsia" w:hAnsiTheme="minorHAnsi"/>
        </w:rPr>
        <w:t>policies and procedures</w:t>
      </w:r>
      <w:r w:rsidR="003A7476" w:rsidRPr="35B84C53">
        <w:rPr>
          <w:rFonts w:asciiTheme="minorHAnsi" w:eastAsiaTheme="minorEastAsia" w:hAnsiTheme="minorHAnsi"/>
        </w:rPr>
        <w:t xml:space="preserve"> related to the sharing of disability information</w:t>
      </w:r>
    </w:p>
    <w:p w14:paraId="5F780E0B" w14:textId="17C27027" w:rsidR="00EB5F5F" w:rsidRPr="00EB5F5F" w:rsidRDefault="00EB5F5F" w:rsidP="35B84C53">
      <w:pPr>
        <w:pStyle w:val="ListParagraph"/>
        <w:ind w:left="66"/>
        <w:rPr>
          <w:rFonts w:asciiTheme="minorHAnsi" w:eastAsiaTheme="minorEastAsia" w:hAnsiTheme="minorHAnsi"/>
        </w:rPr>
      </w:pPr>
    </w:p>
    <w:p w14:paraId="59628625" w14:textId="70689777" w:rsidR="00563ACE" w:rsidRPr="00EB5F5F" w:rsidRDefault="00563ACE" w:rsidP="35B84C53">
      <w:pPr>
        <w:pStyle w:val="Heading2"/>
        <w:numPr>
          <w:ilvl w:val="0"/>
          <w:numId w:val="0"/>
        </w:numPr>
        <w:rPr>
          <w:rFonts w:asciiTheme="minorHAnsi" w:eastAsiaTheme="minorEastAsia" w:hAnsiTheme="minorHAnsi" w:cstheme="minorBidi"/>
        </w:rPr>
      </w:pPr>
      <w:r w:rsidRPr="35B84C53">
        <w:rPr>
          <w:rFonts w:asciiTheme="minorHAnsi" w:eastAsiaTheme="minorEastAsia" w:hAnsiTheme="minorHAnsi" w:cstheme="minorBidi"/>
        </w:rPr>
        <w:t>Competence standards and modes of assessment</w:t>
      </w:r>
    </w:p>
    <w:p w14:paraId="2E9E3B65" w14:textId="77777777" w:rsidR="00A60BEE" w:rsidRPr="00EB5F5F" w:rsidRDefault="00A60BEE" w:rsidP="35B84C53">
      <w:pPr>
        <w:rPr>
          <w:rFonts w:asciiTheme="minorHAnsi" w:eastAsiaTheme="minorEastAsia" w:hAnsiTheme="minorHAnsi"/>
        </w:rPr>
      </w:pPr>
      <w:r w:rsidRPr="35B84C53">
        <w:rPr>
          <w:rFonts w:asciiTheme="minorHAnsi" w:eastAsiaTheme="minorEastAsia" w:hAnsiTheme="minorHAnsi"/>
        </w:rPr>
        <w:t xml:space="preserve">The Equality Act (Paragraph 4 of Sch 13 to </w:t>
      </w:r>
      <w:proofErr w:type="spellStart"/>
      <w:r w:rsidRPr="35B84C53">
        <w:rPr>
          <w:rFonts w:asciiTheme="minorHAnsi" w:eastAsiaTheme="minorEastAsia" w:hAnsiTheme="minorHAnsi"/>
        </w:rPr>
        <w:t>EqA</w:t>
      </w:r>
      <w:proofErr w:type="spellEnd"/>
      <w:r w:rsidRPr="35B84C53">
        <w:rPr>
          <w:rFonts w:asciiTheme="minorHAnsi" w:eastAsiaTheme="minorEastAsia" w:hAnsiTheme="minorHAnsi"/>
        </w:rPr>
        <w:t xml:space="preserve"> 2010) defines a competence standard as:</w:t>
      </w:r>
    </w:p>
    <w:p w14:paraId="60BB066C" w14:textId="113AA083" w:rsidR="00A60BEE" w:rsidRPr="00EB5F5F" w:rsidRDefault="00A60BEE" w:rsidP="35B84C53">
      <w:pPr>
        <w:ind w:left="720"/>
        <w:rPr>
          <w:rFonts w:asciiTheme="minorHAnsi" w:eastAsiaTheme="minorEastAsia" w:hAnsiTheme="minorHAnsi"/>
          <w:sz w:val="22"/>
        </w:rPr>
      </w:pPr>
      <w:r w:rsidRPr="35B84C53">
        <w:rPr>
          <w:rFonts w:asciiTheme="minorHAnsi" w:eastAsiaTheme="minorEastAsia" w:hAnsiTheme="minorHAnsi"/>
          <w:sz w:val="22"/>
        </w:rPr>
        <w:t xml:space="preserve">An academic, medical or other standard applied for the purposes of determining whether or not a person has a particular </w:t>
      </w:r>
      <w:r w:rsidR="00D264DA" w:rsidRPr="35B84C53">
        <w:rPr>
          <w:rFonts w:asciiTheme="minorHAnsi" w:eastAsiaTheme="minorEastAsia" w:hAnsiTheme="minorHAnsi"/>
          <w:sz w:val="22"/>
        </w:rPr>
        <w:t>level of competence or ability.</w:t>
      </w:r>
    </w:p>
    <w:p w14:paraId="65FBC6E0" w14:textId="0A3D791B" w:rsidR="00026760" w:rsidRPr="00EB5F5F" w:rsidRDefault="00D264DA" w:rsidP="35B84C53">
      <w:pPr>
        <w:rPr>
          <w:rFonts w:asciiTheme="minorHAnsi" w:eastAsiaTheme="minorEastAsia" w:hAnsiTheme="minorHAnsi"/>
        </w:rPr>
      </w:pPr>
      <w:r w:rsidRPr="35B84C53">
        <w:rPr>
          <w:rFonts w:asciiTheme="minorHAnsi" w:eastAsiaTheme="minorEastAsia" w:hAnsiTheme="minorHAnsi"/>
        </w:rPr>
        <w:t>Part 7.34 of the Technical Guidance on the Equality Act states:</w:t>
      </w:r>
    </w:p>
    <w:p w14:paraId="5E50285D" w14:textId="241A5A34" w:rsidR="00D264DA" w:rsidRPr="00EB5F5F" w:rsidRDefault="00D264DA" w:rsidP="35B84C53">
      <w:pPr>
        <w:ind w:left="720"/>
        <w:rPr>
          <w:rFonts w:asciiTheme="minorHAnsi" w:eastAsiaTheme="minorEastAsia" w:hAnsiTheme="minorHAnsi"/>
        </w:rPr>
      </w:pPr>
      <w:r w:rsidRPr="35B84C53">
        <w:rPr>
          <w:rFonts w:asciiTheme="minorHAnsi" w:eastAsiaTheme="minorEastAsia" w:hAnsiTheme="minorHAnsi"/>
          <w:sz w:val="22"/>
        </w:rPr>
        <w:t>Education providers are likely to impose various requirements and conditions in respect of courses. However, any such requirement or condition only amounts to a competence standard if its purpose is to demonstrate a particular level of a relevant competence or ability such as a requirement that a person has a particular level of relevant knowledge of a subject.</w:t>
      </w:r>
    </w:p>
    <w:p w14:paraId="0450693C" w14:textId="56E6ED39" w:rsidR="00A60BEE" w:rsidRPr="00EB5F5F" w:rsidRDefault="00A60BEE" w:rsidP="35B84C53">
      <w:pPr>
        <w:rPr>
          <w:rFonts w:asciiTheme="minorHAnsi" w:eastAsiaTheme="minorEastAsia" w:hAnsiTheme="minorHAnsi"/>
        </w:rPr>
      </w:pPr>
      <w:r w:rsidRPr="35B84C53">
        <w:rPr>
          <w:rFonts w:asciiTheme="minorHAnsi" w:eastAsiaTheme="minorEastAsia" w:hAnsiTheme="minorHAnsi"/>
        </w:rPr>
        <w:t>The University of Bristol argued that oral communicati</w:t>
      </w:r>
      <w:r w:rsidR="00D264DA" w:rsidRPr="35B84C53">
        <w:rPr>
          <w:rFonts w:asciiTheme="minorHAnsi" w:eastAsiaTheme="minorEastAsia" w:hAnsiTheme="minorHAnsi"/>
        </w:rPr>
        <w:t>on skills were a core competence standard</w:t>
      </w:r>
      <w:r w:rsidRPr="35B84C53">
        <w:rPr>
          <w:rFonts w:asciiTheme="minorHAnsi" w:eastAsiaTheme="minorEastAsia" w:hAnsiTheme="minorHAnsi"/>
        </w:rPr>
        <w:t xml:space="preserve"> for scientists and intrinsic to a physicist's professional skills. As evidence, they presented curriculum documents and common practices in physics education to support the argument that </w:t>
      </w:r>
      <w:r w:rsidR="005722BA" w:rsidRPr="35B84C53">
        <w:rPr>
          <w:rFonts w:asciiTheme="minorHAnsi" w:eastAsiaTheme="minorEastAsia" w:hAnsiTheme="minorHAnsi"/>
        </w:rPr>
        <w:t>‘an ability to explain and</w:t>
      </w:r>
      <w:r w:rsidRPr="35B84C53">
        <w:rPr>
          <w:rFonts w:asciiTheme="minorHAnsi" w:eastAsiaTheme="minorEastAsia" w:hAnsiTheme="minorHAnsi"/>
        </w:rPr>
        <w:t xml:space="preserve"> </w:t>
      </w:r>
      <w:r w:rsidR="005722BA" w:rsidRPr="35B84C53">
        <w:rPr>
          <w:rFonts w:asciiTheme="minorHAnsi" w:eastAsiaTheme="minorEastAsia" w:hAnsiTheme="minorHAnsi"/>
        </w:rPr>
        <w:t>justify experimental work orally is a core competency of a professional scientist”</w:t>
      </w:r>
      <w:r w:rsidRPr="35B84C53">
        <w:rPr>
          <w:rFonts w:asciiTheme="minorHAnsi" w:eastAsiaTheme="minorEastAsia" w:hAnsiTheme="minorHAnsi"/>
        </w:rPr>
        <w:t xml:space="preserve">. However, the judge ruled that the specific oral assessments Natasha faced were not inherent academic competence standards, and that </w:t>
      </w:r>
      <w:r w:rsidRPr="35B84C53">
        <w:rPr>
          <w:rFonts w:asciiTheme="minorHAnsi" w:eastAsiaTheme="minorEastAsia" w:hAnsiTheme="minorHAnsi"/>
        </w:rPr>
        <w:lastRenderedPageBreak/>
        <w:t>the oral asses</w:t>
      </w:r>
      <w:r w:rsidR="005722BA" w:rsidRPr="35B84C53">
        <w:rPr>
          <w:rFonts w:asciiTheme="minorHAnsi" w:eastAsiaTheme="minorEastAsia" w:hAnsiTheme="minorHAnsi"/>
        </w:rPr>
        <w:t>sment</w:t>
      </w:r>
      <w:r w:rsidRPr="35B84C53">
        <w:rPr>
          <w:rFonts w:asciiTheme="minorHAnsi" w:eastAsiaTheme="minorEastAsia" w:hAnsiTheme="minorHAnsi"/>
        </w:rPr>
        <w:t xml:space="preserve"> was </w:t>
      </w:r>
      <w:r w:rsidR="005722BA" w:rsidRPr="35B84C53">
        <w:rPr>
          <w:rFonts w:asciiTheme="minorHAnsi" w:eastAsiaTheme="minorEastAsia" w:hAnsiTheme="minorHAnsi"/>
        </w:rPr>
        <w:t>purely one</w:t>
      </w:r>
      <w:r w:rsidRPr="35B84C53">
        <w:rPr>
          <w:rFonts w:asciiTheme="minorHAnsi" w:eastAsiaTheme="minorEastAsia" w:hAnsiTheme="minorHAnsi"/>
        </w:rPr>
        <w:t xml:space="preserve"> method </w:t>
      </w:r>
      <w:r w:rsidR="005722BA" w:rsidRPr="35B84C53">
        <w:rPr>
          <w:rFonts w:asciiTheme="minorHAnsi" w:eastAsiaTheme="minorEastAsia" w:hAnsiTheme="minorHAnsi"/>
        </w:rPr>
        <w:t xml:space="preserve">which could be </w:t>
      </w:r>
      <w:r w:rsidRPr="35B84C53">
        <w:rPr>
          <w:rFonts w:asciiTheme="minorHAnsi" w:eastAsiaTheme="minorEastAsia" w:hAnsiTheme="minorHAnsi"/>
        </w:rPr>
        <w:t xml:space="preserve">used to evaluate students' </w:t>
      </w:r>
      <w:r w:rsidR="004418B5" w:rsidRPr="35B84C53">
        <w:rPr>
          <w:rFonts w:asciiTheme="minorHAnsi" w:eastAsiaTheme="minorEastAsia" w:hAnsiTheme="minorHAnsi"/>
        </w:rPr>
        <w:t xml:space="preserve">knowledge </w:t>
      </w:r>
      <w:r w:rsidRPr="35B84C53">
        <w:rPr>
          <w:rFonts w:asciiTheme="minorHAnsi" w:eastAsiaTheme="minorEastAsia" w:hAnsiTheme="minorHAnsi"/>
        </w:rPr>
        <w:t>and ability to engage with experimental work</w:t>
      </w:r>
      <w:r w:rsidR="00D73D9F" w:rsidRPr="35B84C53">
        <w:rPr>
          <w:rFonts w:asciiTheme="minorHAnsi" w:eastAsiaTheme="minorEastAsia" w:hAnsiTheme="minorHAnsi"/>
        </w:rPr>
        <w:t xml:space="preserve">, i.e. there were other ways of assessing </w:t>
      </w:r>
      <w:r w:rsidR="004418B5" w:rsidRPr="35B84C53">
        <w:rPr>
          <w:rFonts w:asciiTheme="minorHAnsi" w:eastAsiaTheme="minorEastAsia" w:hAnsiTheme="minorHAnsi"/>
        </w:rPr>
        <w:t>that knowledge</w:t>
      </w:r>
      <w:r w:rsidRPr="35B84C53">
        <w:rPr>
          <w:rFonts w:asciiTheme="minorHAnsi" w:eastAsiaTheme="minorEastAsia" w:hAnsiTheme="minorHAnsi"/>
        </w:rPr>
        <w:t>.</w:t>
      </w:r>
      <w:r w:rsidR="00415048" w:rsidRPr="35B84C53">
        <w:rPr>
          <w:rFonts w:asciiTheme="minorHAnsi" w:eastAsiaTheme="minorEastAsia" w:hAnsiTheme="minorHAnsi"/>
        </w:rPr>
        <w:t xml:space="preserve"> The judge </w:t>
      </w:r>
      <w:r w:rsidR="004418B5" w:rsidRPr="35B84C53">
        <w:rPr>
          <w:rFonts w:asciiTheme="minorHAnsi" w:eastAsiaTheme="minorEastAsia" w:hAnsiTheme="minorHAnsi"/>
        </w:rPr>
        <w:t xml:space="preserve">also </w:t>
      </w:r>
      <w:r w:rsidR="00415048" w:rsidRPr="35B84C53">
        <w:rPr>
          <w:rFonts w:asciiTheme="minorHAnsi" w:eastAsiaTheme="minorEastAsia" w:hAnsiTheme="minorHAnsi"/>
        </w:rPr>
        <w:t>noted that the</w:t>
      </w:r>
      <w:r w:rsidRPr="35B84C53">
        <w:rPr>
          <w:rFonts w:asciiTheme="minorHAnsi" w:eastAsiaTheme="minorEastAsia" w:hAnsiTheme="minorHAnsi"/>
        </w:rPr>
        <w:t xml:space="preserve"> module's documentation did not highlight oral communication as a key learning outcome</w:t>
      </w:r>
      <w:r w:rsidR="00F41185" w:rsidRPr="35B84C53">
        <w:rPr>
          <w:rFonts w:asciiTheme="minorHAnsi" w:eastAsiaTheme="minorEastAsia" w:hAnsiTheme="minorHAnsi"/>
        </w:rPr>
        <w:t xml:space="preserve"> and that the</w:t>
      </w:r>
      <w:r w:rsidRPr="35B84C53">
        <w:rPr>
          <w:rFonts w:asciiTheme="minorHAnsi" w:eastAsiaTheme="minorEastAsia" w:hAnsiTheme="minorHAnsi"/>
        </w:rPr>
        <w:t xml:space="preserve"> marking scheme also did not specifically evaluate oral presentation skills.</w:t>
      </w:r>
      <w:r w:rsidR="00415048" w:rsidRPr="35B84C53">
        <w:rPr>
          <w:rFonts w:asciiTheme="minorHAnsi" w:eastAsiaTheme="minorEastAsia" w:hAnsiTheme="minorHAnsi"/>
        </w:rPr>
        <w:t xml:space="preserve"> </w:t>
      </w:r>
      <w:r w:rsidRPr="35B84C53">
        <w:rPr>
          <w:rFonts w:asciiTheme="minorHAnsi" w:eastAsiaTheme="minorEastAsia" w:hAnsiTheme="minorHAnsi"/>
        </w:rPr>
        <w:t xml:space="preserve">Therefore, the judge rejected the University's argument that the oral </w:t>
      </w:r>
      <w:r w:rsidR="00415048" w:rsidRPr="35B84C53">
        <w:rPr>
          <w:rFonts w:asciiTheme="minorHAnsi" w:eastAsiaTheme="minorEastAsia" w:hAnsiTheme="minorHAnsi"/>
        </w:rPr>
        <w:t xml:space="preserve">assessments were </w:t>
      </w:r>
      <w:r w:rsidRPr="35B84C53">
        <w:rPr>
          <w:rFonts w:asciiTheme="minorHAnsi" w:eastAsiaTheme="minorEastAsia" w:hAnsiTheme="minorHAnsi"/>
        </w:rPr>
        <w:t>competency standards that could not be adjusted.</w:t>
      </w:r>
    </w:p>
    <w:p w14:paraId="2EA4CD31" w14:textId="7A72D6CA" w:rsidR="00A60BEE" w:rsidRPr="00EB5F5F" w:rsidRDefault="00A44ED2" w:rsidP="35B84C53">
      <w:pPr>
        <w:rPr>
          <w:rFonts w:asciiTheme="minorHAnsi" w:eastAsiaTheme="minorEastAsia" w:hAnsiTheme="minorHAnsi"/>
        </w:rPr>
      </w:pPr>
      <w:r w:rsidRPr="35B84C53">
        <w:rPr>
          <w:rFonts w:asciiTheme="minorHAnsi" w:eastAsiaTheme="minorEastAsia" w:hAnsiTheme="minorHAnsi"/>
        </w:rPr>
        <w:t>The Judge’s ruling</w:t>
      </w:r>
      <w:r w:rsidR="005A1E5D" w:rsidRPr="35B84C53">
        <w:rPr>
          <w:rFonts w:asciiTheme="minorHAnsi" w:eastAsiaTheme="minorEastAsia" w:hAnsiTheme="minorHAnsi"/>
        </w:rPr>
        <w:t xml:space="preserve"> on compe</w:t>
      </w:r>
      <w:r w:rsidRPr="35B84C53">
        <w:rPr>
          <w:rFonts w:asciiTheme="minorHAnsi" w:eastAsiaTheme="minorEastAsia" w:hAnsiTheme="minorHAnsi"/>
        </w:rPr>
        <w:t>tence standards clearly stresses</w:t>
      </w:r>
      <w:r w:rsidR="004418B5" w:rsidRPr="35B84C53">
        <w:rPr>
          <w:rFonts w:asciiTheme="minorHAnsi" w:eastAsiaTheme="minorEastAsia" w:hAnsiTheme="minorHAnsi"/>
        </w:rPr>
        <w:t xml:space="preserve"> the distinction between </w:t>
      </w:r>
      <w:r w:rsidRPr="35B84C53">
        <w:rPr>
          <w:rFonts w:asciiTheme="minorHAnsi" w:eastAsiaTheme="minorEastAsia" w:hAnsiTheme="minorHAnsi"/>
        </w:rPr>
        <w:t xml:space="preserve"> a</w:t>
      </w:r>
      <w:r w:rsidR="005A1E5D" w:rsidRPr="35B84C53">
        <w:rPr>
          <w:rFonts w:asciiTheme="minorHAnsi" w:eastAsiaTheme="minorEastAsia" w:hAnsiTheme="minorHAnsi"/>
        </w:rPr>
        <w:t xml:space="preserve"> mode of assessment </w:t>
      </w:r>
      <w:r w:rsidR="004418B5" w:rsidRPr="35B84C53">
        <w:rPr>
          <w:rFonts w:asciiTheme="minorHAnsi" w:eastAsiaTheme="minorEastAsia" w:hAnsiTheme="minorHAnsi"/>
        </w:rPr>
        <w:t>that can be adjusted and</w:t>
      </w:r>
      <w:r w:rsidR="00F41185" w:rsidRPr="35B84C53">
        <w:rPr>
          <w:rFonts w:asciiTheme="minorHAnsi" w:eastAsiaTheme="minorEastAsia" w:hAnsiTheme="minorHAnsi"/>
        </w:rPr>
        <w:t xml:space="preserve"> a competence standard</w:t>
      </w:r>
      <w:r w:rsidR="004418B5" w:rsidRPr="35B84C53">
        <w:rPr>
          <w:rFonts w:asciiTheme="minorHAnsi" w:eastAsiaTheme="minorEastAsia" w:hAnsiTheme="minorHAnsi"/>
        </w:rPr>
        <w:t>. The judge also made</w:t>
      </w:r>
      <w:r w:rsidR="005A1E5D" w:rsidRPr="35B84C53">
        <w:rPr>
          <w:rFonts w:asciiTheme="minorHAnsi" w:eastAsiaTheme="minorEastAsia" w:hAnsiTheme="minorHAnsi"/>
        </w:rPr>
        <w:t xml:space="preserve"> some very clear points about time</w:t>
      </w:r>
      <w:r w:rsidR="00D264DA" w:rsidRPr="35B84C53">
        <w:rPr>
          <w:rStyle w:val="FootnoteReference"/>
          <w:rFonts w:asciiTheme="minorHAnsi" w:eastAsiaTheme="minorEastAsia" w:hAnsiTheme="minorHAnsi"/>
        </w:rPr>
        <w:footnoteReference w:id="2"/>
      </w:r>
      <w:r w:rsidR="005A1E5D" w:rsidRPr="35B84C53">
        <w:rPr>
          <w:rFonts w:asciiTheme="minorHAnsi" w:eastAsiaTheme="minorEastAsia" w:hAnsiTheme="minorHAnsi"/>
        </w:rPr>
        <w:t xml:space="preserve"> (i.e. time in an exam) only being a competence standard if what is being measured is the ability to perform a task in a particular time frame (e.g. a medical student may have to be able to perform a procedure in a specific time frame</w:t>
      </w:r>
      <w:r w:rsidR="00D73D9F" w:rsidRPr="35B84C53">
        <w:rPr>
          <w:rFonts w:asciiTheme="minorHAnsi" w:eastAsiaTheme="minorEastAsia" w:hAnsiTheme="minorHAnsi"/>
        </w:rPr>
        <w:t xml:space="preserve"> in order to demonstrate competence as a clinician,</w:t>
      </w:r>
      <w:r w:rsidRPr="35B84C53">
        <w:rPr>
          <w:rFonts w:asciiTheme="minorHAnsi" w:eastAsiaTheme="minorEastAsia" w:hAnsiTheme="minorHAnsi"/>
        </w:rPr>
        <w:t xml:space="preserve"> but</w:t>
      </w:r>
      <w:r w:rsidR="005A1E5D" w:rsidRPr="35B84C53">
        <w:rPr>
          <w:rFonts w:asciiTheme="minorHAnsi" w:eastAsiaTheme="minorEastAsia" w:hAnsiTheme="minorHAnsi"/>
        </w:rPr>
        <w:t xml:space="preserve"> this argument cannot </w:t>
      </w:r>
      <w:r w:rsidR="00F41185" w:rsidRPr="35B84C53">
        <w:rPr>
          <w:rFonts w:asciiTheme="minorHAnsi" w:eastAsiaTheme="minorEastAsia" w:hAnsiTheme="minorHAnsi"/>
        </w:rPr>
        <w:t xml:space="preserve">successfully </w:t>
      </w:r>
      <w:r w:rsidR="005A1E5D" w:rsidRPr="35B84C53">
        <w:rPr>
          <w:rFonts w:asciiTheme="minorHAnsi" w:eastAsiaTheme="minorEastAsia" w:hAnsiTheme="minorHAnsi"/>
        </w:rPr>
        <w:t>be made for a historian writing three essays in three hours</w:t>
      </w:r>
      <w:r w:rsidR="00D73D9F" w:rsidRPr="35B84C53">
        <w:rPr>
          <w:rFonts w:asciiTheme="minorHAnsi" w:eastAsiaTheme="minorEastAsia" w:hAnsiTheme="minorHAnsi"/>
        </w:rPr>
        <w:t xml:space="preserve"> in demonstrating their competence as a historian</w:t>
      </w:r>
      <w:r w:rsidR="005A1E5D" w:rsidRPr="35B84C53">
        <w:rPr>
          <w:rFonts w:asciiTheme="minorHAnsi" w:eastAsiaTheme="minorEastAsia" w:hAnsiTheme="minorHAnsi"/>
        </w:rPr>
        <w:t>) and therefore in most cases the mode of assessment can be adjusted.</w:t>
      </w:r>
    </w:p>
    <w:p w14:paraId="64404807" w14:textId="77777777" w:rsidR="00D264DA" w:rsidRPr="00EB5F5F" w:rsidRDefault="00D264DA" w:rsidP="35B84C53">
      <w:pPr>
        <w:pStyle w:val="Heading3"/>
        <w:rPr>
          <w:rFonts w:asciiTheme="minorHAnsi" w:eastAsiaTheme="minorEastAsia" w:hAnsiTheme="minorHAnsi" w:cstheme="minorBidi"/>
        </w:rPr>
      </w:pPr>
      <w:r w:rsidRPr="35B84C53">
        <w:rPr>
          <w:rFonts w:asciiTheme="minorHAnsi" w:eastAsiaTheme="minorEastAsia" w:hAnsiTheme="minorHAnsi" w:cstheme="minorBidi"/>
        </w:rPr>
        <w:t>Discussion points</w:t>
      </w:r>
    </w:p>
    <w:p w14:paraId="0430E1F1" w14:textId="611A1A1E" w:rsidR="002F2B03" w:rsidRPr="00EB5F5F" w:rsidRDefault="002F2B03" w:rsidP="35B84C53">
      <w:pPr>
        <w:pStyle w:val="ListParagraph"/>
        <w:numPr>
          <w:ilvl w:val="0"/>
          <w:numId w:val="5"/>
        </w:numPr>
        <w:rPr>
          <w:rFonts w:asciiTheme="minorHAnsi" w:eastAsiaTheme="minorEastAsia" w:hAnsiTheme="minorHAnsi"/>
        </w:rPr>
      </w:pPr>
      <w:r w:rsidRPr="35B84C53">
        <w:rPr>
          <w:rFonts w:asciiTheme="minorHAnsi" w:eastAsiaTheme="minorEastAsia" w:hAnsiTheme="minorHAnsi"/>
        </w:rPr>
        <w:t xml:space="preserve">Are </w:t>
      </w:r>
      <w:r w:rsidR="004418B5" w:rsidRPr="35B84C53">
        <w:rPr>
          <w:rFonts w:asciiTheme="minorHAnsi" w:eastAsiaTheme="minorEastAsia" w:hAnsiTheme="minorHAnsi"/>
        </w:rPr>
        <w:t xml:space="preserve">relevant </w:t>
      </w:r>
      <w:r w:rsidRPr="35B84C53">
        <w:rPr>
          <w:rFonts w:asciiTheme="minorHAnsi" w:eastAsiaTheme="minorEastAsia" w:hAnsiTheme="minorHAnsi"/>
        </w:rPr>
        <w:t>staff aware of the legal definition of a competence standard and the differences between competence standards and learning outcomes and that in most cases that the mode of assessment is not a competence standard</w:t>
      </w:r>
      <w:r w:rsidR="00D825E5" w:rsidRPr="35B84C53">
        <w:rPr>
          <w:rStyle w:val="FootnoteReference"/>
          <w:rFonts w:asciiTheme="minorHAnsi" w:eastAsiaTheme="minorEastAsia" w:hAnsiTheme="minorHAnsi"/>
        </w:rPr>
        <w:footnoteReference w:id="3"/>
      </w:r>
      <w:r w:rsidRPr="35B84C53">
        <w:rPr>
          <w:rFonts w:asciiTheme="minorHAnsi" w:eastAsiaTheme="minorEastAsia" w:hAnsiTheme="minorHAnsi"/>
        </w:rPr>
        <w:t xml:space="preserve">? </w:t>
      </w:r>
    </w:p>
    <w:p w14:paraId="72CD798C" w14:textId="77777777" w:rsidR="00506A9C" w:rsidRPr="00EB5F5F" w:rsidRDefault="00506A9C" w:rsidP="35B84C53">
      <w:pPr>
        <w:pStyle w:val="ListParagraph"/>
        <w:numPr>
          <w:ilvl w:val="0"/>
          <w:numId w:val="5"/>
        </w:numPr>
        <w:rPr>
          <w:rFonts w:asciiTheme="minorHAnsi" w:eastAsiaTheme="minorEastAsia" w:hAnsiTheme="minorHAnsi"/>
        </w:rPr>
      </w:pPr>
      <w:r w:rsidRPr="35B84C53">
        <w:rPr>
          <w:rFonts w:asciiTheme="minorHAnsi" w:eastAsiaTheme="minorEastAsia" w:hAnsiTheme="minorHAnsi"/>
        </w:rPr>
        <w:t xml:space="preserve">Are competence standards clearly justified and outlined in course documentation? </w:t>
      </w:r>
    </w:p>
    <w:p w14:paraId="5467CC1B" w14:textId="0BE213AF" w:rsidR="00506A9C" w:rsidRPr="00EB5F5F" w:rsidRDefault="00506A9C" w:rsidP="35B84C53">
      <w:pPr>
        <w:pStyle w:val="ListParagraph"/>
        <w:numPr>
          <w:ilvl w:val="0"/>
          <w:numId w:val="5"/>
        </w:numPr>
        <w:rPr>
          <w:rFonts w:asciiTheme="minorHAnsi" w:eastAsiaTheme="minorEastAsia" w:hAnsiTheme="minorHAnsi"/>
        </w:rPr>
      </w:pPr>
      <w:r w:rsidRPr="35B84C53">
        <w:rPr>
          <w:rFonts w:asciiTheme="minorHAnsi" w:eastAsiaTheme="minorEastAsia" w:hAnsiTheme="minorHAnsi"/>
        </w:rPr>
        <w:t>Should such reasonable adjustments be automatically available</w:t>
      </w:r>
      <w:r w:rsidR="004418B5" w:rsidRPr="35B84C53">
        <w:rPr>
          <w:rFonts w:asciiTheme="minorHAnsi" w:eastAsiaTheme="minorEastAsia" w:hAnsiTheme="minorHAnsi"/>
        </w:rPr>
        <w:t>, could they be</w:t>
      </w:r>
      <w:r w:rsidRPr="35B84C53">
        <w:rPr>
          <w:rFonts w:asciiTheme="minorHAnsi" w:eastAsiaTheme="minorEastAsia" w:hAnsiTheme="minorHAnsi"/>
        </w:rPr>
        <w:t xml:space="preserve"> built into an inclusively designed assessment?</w:t>
      </w:r>
    </w:p>
    <w:p w14:paraId="65621AF3" w14:textId="51D13307" w:rsidR="00D264DA" w:rsidRPr="00EB5F5F" w:rsidRDefault="00D825E5" w:rsidP="35B84C53">
      <w:pPr>
        <w:pStyle w:val="ListParagraph"/>
        <w:numPr>
          <w:ilvl w:val="0"/>
          <w:numId w:val="5"/>
        </w:numPr>
        <w:rPr>
          <w:rFonts w:asciiTheme="minorHAnsi" w:eastAsiaTheme="minorEastAsia" w:hAnsiTheme="minorHAnsi"/>
        </w:rPr>
      </w:pPr>
      <w:r w:rsidRPr="35B84C53">
        <w:rPr>
          <w:rFonts w:asciiTheme="minorHAnsi" w:eastAsiaTheme="minorEastAsia" w:hAnsiTheme="minorHAnsi"/>
        </w:rPr>
        <w:t>The ruling adds emphasis to</w:t>
      </w:r>
      <w:r w:rsidR="00D264DA" w:rsidRPr="35B84C53">
        <w:rPr>
          <w:rFonts w:asciiTheme="minorHAnsi" w:eastAsiaTheme="minorEastAsia" w:hAnsiTheme="minorHAnsi"/>
        </w:rPr>
        <w:t xml:space="preserve"> the benefits of having more universally designed assessment processes (i.e. all students having choice in mode of assessment) which would lead to a dramatic reduction in the need for reasonable adjustments</w:t>
      </w:r>
      <w:r w:rsidRPr="35B84C53">
        <w:rPr>
          <w:rFonts w:asciiTheme="minorHAnsi" w:eastAsiaTheme="minorEastAsia" w:hAnsiTheme="minorHAnsi"/>
        </w:rPr>
        <w:t xml:space="preserve"> and a concomitant </w:t>
      </w:r>
      <w:r w:rsidR="00D264DA" w:rsidRPr="35B84C53">
        <w:rPr>
          <w:rFonts w:asciiTheme="minorHAnsi" w:eastAsiaTheme="minorEastAsia" w:hAnsiTheme="minorHAnsi"/>
        </w:rPr>
        <w:t xml:space="preserve">reduction in financial cost and time cost for staff. </w:t>
      </w:r>
    </w:p>
    <w:p w14:paraId="3BF0AFEC" w14:textId="77777777" w:rsidR="00D264DA" w:rsidRPr="00EB5F5F" w:rsidRDefault="00D264DA" w:rsidP="35B84C53">
      <w:pPr>
        <w:pStyle w:val="Heading3"/>
        <w:rPr>
          <w:rFonts w:asciiTheme="minorHAnsi" w:eastAsiaTheme="minorEastAsia" w:hAnsiTheme="minorHAnsi" w:cstheme="minorBidi"/>
        </w:rPr>
      </w:pPr>
      <w:r w:rsidRPr="35B84C53">
        <w:rPr>
          <w:rFonts w:asciiTheme="minorHAnsi" w:eastAsiaTheme="minorEastAsia" w:hAnsiTheme="minorHAnsi" w:cstheme="minorBidi"/>
        </w:rPr>
        <w:t>Possible action or activity</w:t>
      </w:r>
    </w:p>
    <w:p w14:paraId="6B46A757" w14:textId="77777777" w:rsidR="00D825E5" w:rsidRPr="00EB5F5F" w:rsidRDefault="00D825E5" w:rsidP="35B84C53">
      <w:pPr>
        <w:pStyle w:val="ListParagraph"/>
        <w:numPr>
          <w:ilvl w:val="0"/>
          <w:numId w:val="2"/>
        </w:numPr>
        <w:rPr>
          <w:rFonts w:asciiTheme="minorHAnsi" w:eastAsiaTheme="minorEastAsia" w:hAnsiTheme="minorHAnsi"/>
        </w:rPr>
      </w:pPr>
      <w:r w:rsidRPr="35B84C53">
        <w:rPr>
          <w:rFonts w:asciiTheme="minorHAnsi" w:eastAsiaTheme="minorEastAsia" w:hAnsiTheme="minorHAnsi"/>
        </w:rPr>
        <w:t>Awareness raising action in relation to:</w:t>
      </w:r>
    </w:p>
    <w:p w14:paraId="1B99B898" w14:textId="17A45C98" w:rsidR="00D264DA" w:rsidRPr="00EB5F5F" w:rsidRDefault="00506A9C" w:rsidP="35B84C53">
      <w:pPr>
        <w:pStyle w:val="ListParagraph"/>
        <w:numPr>
          <w:ilvl w:val="1"/>
          <w:numId w:val="2"/>
        </w:numPr>
        <w:rPr>
          <w:rFonts w:asciiTheme="minorHAnsi" w:eastAsiaTheme="minorEastAsia" w:hAnsiTheme="minorHAnsi"/>
        </w:rPr>
      </w:pPr>
      <w:r w:rsidRPr="35B84C53">
        <w:rPr>
          <w:rFonts w:asciiTheme="minorHAnsi" w:eastAsiaTheme="minorEastAsia" w:hAnsiTheme="minorHAnsi"/>
        </w:rPr>
        <w:t>C</w:t>
      </w:r>
      <w:r w:rsidR="00D264DA" w:rsidRPr="35B84C53">
        <w:rPr>
          <w:rFonts w:asciiTheme="minorHAnsi" w:eastAsiaTheme="minorEastAsia" w:hAnsiTheme="minorHAnsi"/>
        </w:rPr>
        <w:t xml:space="preserve">ompetence standards and modes of assessment </w:t>
      </w:r>
    </w:p>
    <w:p w14:paraId="1E556774" w14:textId="769806E0" w:rsidR="00506A9C" w:rsidRDefault="00506A9C" w:rsidP="35B84C53">
      <w:pPr>
        <w:pStyle w:val="ListParagraph"/>
        <w:numPr>
          <w:ilvl w:val="1"/>
          <w:numId w:val="2"/>
        </w:numPr>
        <w:rPr>
          <w:rFonts w:asciiTheme="minorHAnsi" w:eastAsiaTheme="minorEastAsia" w:hAnsiTheme="minorHAnsi"/>
        </w:rPr>
      </w:pPr>
      <w:r w:rsidRPr="35B84C53">
        <w:rPr>
          <w:rFonts w:asciiTheme="minorHAnsi" w:eastAsiaTheme="minorEastAsia" w:hAnsiTheme="minorHAnsi"/>
        </w:rPr>
        <w:t>Support for staff in developing competence standards</w:t>
      </w:r>
    </w:p>
    <w:p w14:paraId="414CC918" w14:textId="331E6E9A" w:rsidR="00F41185" w:rsidRDefault="00F41185" w:rsidP="35B84C53">
      <w:pPr>
        <w:pStyle w:val="ListParagraph"/>
        <w:numPr>
          <w:ilvl w:val="0"/>
          <w:numId w:val="2"/>
        </w:numPr>
        <w:rPr>
          <w:rFonts w:asciiTheme="minorHAnsi" w:eastAsiaTheme="minorEastAsia" w:hAnsiTheme="minorHAnsi"/>
        </w:rPr>
      </w:pPr>
      <w:r w:rsidRPr="35B84C53">
        <w:rPr>
          <w:rFonts w:asciiTheme="minorHAnsi" w:eastAsiaTheme="minorEastAsia" w:hAnsiTheme="minorHAnsi"/>
        </w:rPr>
        <w:t>Consideration of reviews of:</w:t>
      </w:r>
    </w:p>
    <w:p w14:paraId="3185E030" w14:textId="4E31D915" w:rsidR="00F41185" w:rsidRDefault="00F41185" w:rsidP="35B84C53">
      <w:pPr>
        <w:pStyle w:val="ListParagraph"/>
        <w:numPr>
          <w:ilvl w:val="1"/>
          <w:numId w:val="2"/>
        </w:numPr>
        <w:rPr>
          <w:rFonts w:asciiTheme="minorHAnsi" w:eastAsiaTheme="minorEastAsia" w:hAnsiTheme="minorHAnsi"/>
        </w:rPr>
      </w:pPr>
      <w:r w:rsidRPr="35B84C53">
        <w:rPr>
          <w:rFonts w:asciiTheme="minorHAnsi" w:eastAsiaTheme="minorEastAsia" w:hAnsiTheme="minorHAnsi"/>
        </w:rPr>
        <w:t>Current learning outcomes</w:t>
      </w:r>
    </w:p>
    <w:p w14:paraId="6961D5BD" w14:textId="34906798" w:rsidR="00F41185" w:rsidRDefault="00F41185" w:rsidP="35B84C53">
      <w:pPr>
        <w:pStyle w:val="ListParagraph"/>
        <w:numPr>
          <w:ilvl w:val="1"/>
          <w:numId w:val="2"/>
        </w:numPr>
        <w:rPr>
          <w:rFonts w:asciiTheme="minorHAnsi" w:eastAsiaTheme="minorEastAsia" w:hAnsiTheme="minorHAnsi"/>
        </w:rPr>
      </w:pPr>
      <w:r w:rsidRPr="35B84C53">
        <w:rPr>
          <w:rFonts w:asciiTheme="minorHAnsi" w:eastAsiaTheme="minorEastAsia" w:hAnsiTheme="minorHAnsi"/>
        </w:rPr>
        <w:t>Action on the creation of more inclusively designed assessment practices, based on the principles of Universal Design for Learning</w:t>
      </w:r>
    </w:p>
    <w:p w14:paraId="22E2F44F" w14:textId="21C9A22D" w:rsidR="00B8514F" w:rsidRPr="00EB5F5F" w:rsidRDefault="00B8514F" w:rsidP="35B84C53">
      <w:pPr>
        <w:pStyle w:val="ListParagraph"/>
        <w:numPr>
          <w:ilvl w:val="0"/>
          <w:numId w:val="2"/>
        </w:numPr>
        <w:rPr>
          <w:rFonts w:asciiTheme="minorHAnsi" w:eastAsiaTheme="minorEastAsia" w:hAnsiTheme="minorHAnsi"/>
        </w:rPr>
      </w:pPr>
      <w:r w:rsidRPr="35B84C53">
        <w:rPr>
          <w:rFonts w:asciiTheme="minorHAnsi" w:eastAsiaTheme="minorEastAsia" w:hAnsiTheme="minorHAnsi"/>
        </w:rPr>
        <w:lastRenderedPageBreak/>
        <w:t>Working with PSRBs and the QAA on guidance on competence standards and modes of assessment</w:t>
      </w:r>
    </w:p>
    <w:p w14:paraId="452FAD11" w14:textId="77777777" w:rsidR="002F2B03" w:rsidRPr="00EB5F5F" w:rsidRDefault="002F2B03" w:rsidP="35B84C53">
      <w:pPr>
        <w:pStyle w:val="ListParagraph"/>
        <w:ind w:left="360"/>
        <w:rPr>
          <w:rFonts w:asciiTheme="minorHAnsi" w:eastAsiaTheme="minorEastAsia" w:hAnsiTheme="minorHAnsi"/>
        </w:rPr>
      </w:pPr>
    </w:p>
    <w:p w14:paraId="5ACA7B08" w14:textId="78F8EE70" w:rsidR="005A1E5D" w:rsidRPr="00EB5F5F" w:rsidRDefault="5855B9BE" w:rsidP="35B84C53">
      <w:pPr>
        <w:pStyle w:val="Heading2"/>
        <w:numPr>
          <w:ilvl w:val="0"/>
          <w:numId w:val="0"/>
        </w:numPr>
        <w:rPr>
          <w:rFonts w:asciiTheme="minorHAnsi" w:eastAsiaTheme="minorEastAsia" w:hAnsiTheme="minorHAnsi" w:cstheme="minorBidi"/>
        </w:rPr>
      </w:pPr>
      <w:r w:rsidRPr="35B84C53">
        <w:rPr>
          <w:rFonts w:asciiTheme="minorHAnsi" w:eastAsiaTheme="minorEastAsia" w:hAnsiTheme="minorHAnsi" w:cstheme="minorBidi"/>
        </w:rPr>
        <w:t>Negligence/</w:t>
      </w:r>
      <w:r w:rsidR="005A1E5D" w:rsidRPr="35B84C53">
        <w:rPr>
          <w:rFonts w:asciiTheme="minorHAnsi" w:eastAsiaTheme="minorEastAsia" w:hAnsiTheme="minorHAnsi" w:cstheme="minorBidi"/>
        </w:rPr>
        <w:t>Duty of Care.  </w:t>
      </w:r>
    </w:p>
    <w:p w14:paraId="5688E7D7" w14:textId="5AA03E25" w:rsidR="00EE4259" w:rsidRPr="00EB5F5F" w:rsidRDefault="004A11F5" w:rsidP="35B84C53">
      <w:pPr>
        <w:rPr>
          <w:rFonts w:asciiTheme="minorHAnsi" w:eastAsiaTheme="minorEastAsia" w:hAnsiTheme="minorHAnsi"/>
        </w:rPr>
      </w:pPr>
      <w:r w:rsidRPr="35B84C53">
        <w:rPr>
          <w:rFonts w:asciiTheme="minorHAnsi" w:eastAsiaTheme="minorEastAsia" w:hAnsiTheme="minorHAnsi"/>
        </w:rPr>
        <w:t>The High Court judge decided not to consider the matter of duty of care due to a lack of ‘detailed evidence analysis’ in the original case, concluding this issue would require a retrial</w:t>
      </w:r>
      <w:r w:rsidR="004418B5" w:rsidRPr="35B84C53">
        <w:rPr>
          <w:rFonts w:asciiTheme="minorHAnsi" w:eastAsiaTheme="minorEastAsia" w:hAnsiTheme="minorHAnsi"/>
        </w:rPr>
        <w:t>.</w:t>
      </w:r>
      <w:r w:rsidRPr="35B84C53">
        <w:rPr>
          <w:rFonts w:asciiTheme="minorHAnsi" w:eastAsiaTheme="minorEastAsia" w:hAnsiTheme="minorHAnsi"/>
        </w:rPr>
        <w:t xml:space="preserve"> </w:t>
      </w:r>
    </w:p>
    <w:p w14:paraId="6412744F" w14:textId="1D6562D9" w:rsidR="00E57A51" w:rsidRPr="00EB5F5F" w:rsidRDefault="008300C5" w:rsidP="00FE3865">
      <w:pPr>
        <w:pStyle w:val="Heading1"/>
      </w:pPr>
      <w:r w:rsidRPr="35B84C53">
        <w:t>References:</w:t>
      </w:r>
    </w:p>
    <w:p w14:paraId="3304D643" w14:textId="6669D355" w:rsidR="008300C5" w:rsidRPr="00EB5F5F" w:rsidRDefault="008300C5" w:rsidP="35B84C53">
      <w:pPr>
        <w:pStyle w:val="ListParagraph"/>
        <w:numPr>
          <w:ilvl w:val="0"/>
          <w:numId w:val="2"/>
        </w:numPr>
        <w:rPr>
          <w:rFonts w:asciiTheme="minorHAnsi" w:eastAsiaTheme="minorEastAsia" w:hAnsiTheme="minorHAnsi"/>
        </w:rPr>
      </w:pPr>
      <w:r w:rsidRPr="35B84C53">
        <w:rPr>
          <w:rFonts w:asciiTheme="minorHAnsi" w:eastAsiaTheme="minorEastAsia" w:hAnsiTheme="minorHAnsi"/>
        </w:rPr>
        <w:t xml:space="preserve">Original </w:t>
      </w:r>
      <w:r w:rsidR="002F2B03" w:rsidRPr="35B84C53">
        <w:rPr>
          <w:rFonts w:asciiTheme="minorHAnsi" w:eastAsiaTheme="minorEastAsia" w:hAnsiTheme="minorHAnsi"/>
        </w:rPr>
        <w:t xml:space="preserve">2022 </w:t>
      </w:r>
      <w:r w:rsidRPr="35B84C53">
        <w:rPr>
          <w:rFonts w:asciiTheme="minorHAnsi" w:eastAsiaTheme="minorEastAsia" w:hAnsiTheme="minorHAnsi"/>
        </w:rPr>
        <w:t xml:space="preserve">NADP </w:t>
      </w:r>
      <w:r w:rsidR="002F2B03" w:rsidRPr="35B84C53">
        <w:rPr>
          <w:rFonts w:asciiTheme="minorHAnsi" w:eastAsiaTheme="minorEastAsia" w:hAnsiTheme="minorHAnsi"/>
        </w:rPr>
        <w:t xml:space="preserve">guidance </w:t>
      </w:r>
      <w:r w:rsidRPr="35B84C53">
        <w:rPr>
          <w:rFonts w:asciiTheme="minorHAnsi" w:eastAsiaTheme="minorEastAsia" w:hAnsiTheme="minorHAnsi"/>
        </w:rPr>
        <w:t>document</w:t>
      </w:r>
      <w:r w:rsidR="00B8514F" w:rsidRPr="35B84C53">
        <w:rPr>
          <w:rFonts w:asciiTheme="minorHAnsi" w:eastAsiaTheme="minorEastAsia" w:hAnsiTheme="minorHAnsi"/>
        </w:rPr>
        <w:t xml:space="preserve">: </w:t>
      </w:r>
      <w:hyperlink r:id="rId8">
        <w:r w:rsidR="00B8514F" w:rsidRPr="35B84C53">
          <w:rPr>
            <w:rStyle w:val="Hyperlink"/>
            <w:rFonts w:asciiTheme="minorHAnsi" w:eastAsiaTheme="minorEastAsia" w:hAnsiTheme="minorHAnsi"/>
          </w:rPr>
          <w:t>Sector-implications-of-the-Bristol-case-Final-Version-1.docx (live.com)</w:t>
        </w:r>
      </w:hyperlink>
    </w:p>
    <w:p w14:paraId="051749A3" w14:textId="3B4819E2" w:rsidR="00B8514F" w:rsidRDefault="00B8514F" w:rsidP="35B84C53">
      <w:pPr>
        <w:pStyle w:val="ListParagraph"/>
        <w:numPr>
          <w:ilvl w:val="0"/>
          <w:numId w:val="2"/>
        </w:numPr>
        <w:rPr>
          <w:rFonts w:asciiTheme="minorHAnsi" w:eastAsiaTheme="minorEastAsia" w:hAnsiTheme="minorHAnsi"/>
        </w:rPr>
      </w:pPr>
      <w:r w:rsidRPr="35B84C53">
        <w:rPr>
          <w:rFonts w:asciiTheme="minorHAnsi" w:eastAsiaTheme="minorEastAsia" w:hAnsiTheme="minorHAnsi"/>
        </w:rPr>
        <w:t xml:space="preserve">County Court judgement 2022: </w:t>
      </w:r>
      <w:hyperlink r:id="rId9">
        <w:r w:rsidRPr="35B84C53">
          <w:rPr>
            <w:rStyle w:val="Hyperlink"/>
            <w:rFonts w:asciiTheme="minorHAnsi" w:eastAsiaTheme="minorEastAsia" w:hAnsiTheme="minorHAnsi"/>
          </w:rPr>
          <w:t>Abrahart v-v University of Bristol (judiciary.uk)</w:t>
        </w:r>
      </w:hyperlink>
    </w:p>
    <w:p w14:paraId="5B9CA0D4" w14:textId="46109455" w:rsidR="008300C5" w:rsidRPr="00EB5F5F" w:rsidRDefault="008300C5" w:rsidP="35B84C53">
      <w:pPr>
        <w:pStyle w:val="ListParagraph"/>
        <w:numPr>
          <w:ilvl w:val="0"/>
          <w:numId w:val="2"/>
        </w:numPr>
        <w:rPr>
          <w:rFonts w:asciiTheme="minorHAnsi" w:eastAsiaTheme="minorEastAsia" w:hAnsiTheme="minorHAnsi"/>
        </w:rPr>
      </w:pPr>
      <w:r w:rsidRPr="35B84C53">
        <w:rPr>
          <w:rFonts w:asciiTheme="minorHAnsi" w:eastAsiaTheme="minorEastAsia" w:hAnsiTheme="minorHAnsi"/>
        </w:rPr>
        <w:t>WONKHE article</w:t>
      </w:r>
      <w:r w:rsidR="002F51C1" w:rsidRPr="35B84C53">
        <w:rPr>
          <w:rFonts w:asciiTheme="minorHAnsi" w:eastAsiaTheme="minorEastAsia" w:hAnsiTheme="minorHAnsi"/>
        </w:rPr>
        <w:t>s</w:t>
      </w:r>
    </w:p>
    <w:p w14:paraId="7F520D73" w14:textId="26EAEA2E" w:rsidR="006E1E17" w:rsidRPr="00EB5F5F" w:rsidRDefault="00FE3865" w:rsidP="35B84C53">
      <w:pPr>
        <w:pStyle w:val="ListParagraph"/>
        <w:ind w:left="1080"/>
        <w:rPr>
          <w:rFonts w:asciiTheme="minorHAnsi" w:eastAsiaTheme="minorEastAsia" w:hAnsiTheme="minorHAnsi"/>
        </w:rPr>
      </w:pPr>
      <w:hyperlink r:id="rId10">
        <w:r w:rsidR="006E1E17" w:rsidRPr="35B84C53">
          <w:rPr>
            <w:rStyle w:val="Hyperlink"/>
            <w:rFonts w:asciiTheme="minorHAnsi" w:eastAsiaTheme="minorEastAsia" w:hAnsiTheme="minorHAnsi"/>
          </w:rPr>
          <w:t xml:space="preserve">The University of Bristol loses its appeal over the Abrahart case | </w:t>
        </w:r>
        <w:proofErr w:type="spellStart"/>
        <w:r w:rsidR="006E1E17" w:rsidRPr="35B84C53">
          <w:rPr>
            <w:rStyle w:val="Hyperlink"/>
            <w:rFonts w:asciiTheme="minorHAnsi" w:eastAsiaTheme="minorEastAsia" w:hAnsiTheme="minorHAnsi"/>
          </w:rPr>
          <w:t>Wonkhe</w:t>
        </w:r>
        <w:proofErr w:type="spellEnd"/>
      </w:hyperlink>
    </w:p>
    <w:p w14:paraId="3799BC90" w14:textId="5EA2789C" w:rsidR="002F51C1" w:rsidRPr="00EB5F5F" w:rsidRDefault="00FE3865" w:rsidP="35B84C53">
      <w:pPr>
        <w:pStyle w:val="ListParagraph"/>
        <w:ind w:left="1080"/>
        <w:rPr>
          <w:rFonts w:asciiTheme="minorHAnsi" w:eastAsiaTheme="minorEastAsia" w:hAnsiTheme="minorHAnsi"/>
        </w:rPr>
      </w:pPr>
      <w:hyperlink r:id="rId11">
        <w:r w:rsidR="00DF4FC5" w:rsidRPr="35B84C53">
          <w:rPr>
            <w:rStyle w:val="Hyperlink"/>
            <w:rFonts w:asciiTheme="minorHAnsi" w:eastAsiaTheme="minorEastAsia" w:hAnsiTheme="minorHAnsi"/>
          </w:rPr>
          <w:t xml:space="preserve">It's time to get certain around competence | </w:t>
        </w:r>
        <w:proofErr w:type="spellStart"/>
        <w:r w:rsidR="00DF4FC5" w:rsidRPr="35B84C53">
          <w:rPr>
            <w:rStyle w:val="Hyperlink"/>
            <w:rFonts w:asciiTheme="minorHAnsi" w:eastAsiaTheme="minorEastAsia" w:hAnsiTheme="minorHAnsi"/>
          </w:rPr>
          <w:t>Wonkhe</w:t>
        </w:r>
        <w:proofErr w:type="spellEnd"/>
      </w:hyperlink>
      <w:r w:rsidR="00DF4FC5" w:rsidRPr="35B84C53">
        <w:rPr>
          <w:rFonts w:asciiTheme="minorHAnsi" w:eastAsiaTheme="minorEastAsia" w:hAnsiTheme="minorHAnsi"/>
        </w:rPr>
        <w:t xml:space="preserve"> </w:t>
      </w:r>
    </w:p>
    <w:p w14:paraId="22D2D2B6" w14:textId="72DB6B9C" w:rsidR="008300C5" w:rsidRPr="00EB5F5F" w:rsidRDefault="008300C5" w:rsidP="35B84C53">
      <w:pPr>
        <w:pStyle w:val="ListParagraph"/>
        <w:numPr>
          <w:ilvl w:val="0"/>
          <w:numId w:val="2"/>
        </w:numPr>
        <w:rPr>
          <w:rFonts w:asciiTheme="minorHAnsi" w:eastAsiaTheme="minorEastAsia" w:hAnsiTheme="minorHAnsi"/>
        </w:rPr>
      </w:pPr>
      <w:r w:rsidRPr="35B84C53">
        <w:rPr>
          <w:rFonts w:asciiTheme="minorHAnsi" w:eastAsiaTheme="minorEastAsia" w:hAnsiTheme="minorHAnsi"/>
        </w:rPr>
        <w:t>Ruling press release</w:t>
      </w:r>
      <w:r w:rsidR="002F2B03" w:rsidRPr="35B84C53">
        <w:rPr>
          <w:rFonts w:asciiTheme="minorHAnsi" w:eastAsiaTheme="minorEastAsia" w:hAnsiTheme="minorHAnsi"/>
        </w:rPr>
        <w:t xml:space="preserve"> 2024</w:t>
      </w:r>
      <w:r w:rsidR="00B8514F" w:rsidRPr="35B84C53">
        <w:rPr>
          <w:rFonts w:asciiTheme="minorHAnsi" w:eastAsiaTheme="minorEastAsia" w:hAnsiTheme="minorHAnsi"/>
        </w:rPr>
        <w:t xml:space="preserve">: </w:t>
      </w:r>
      <w:hyperlink r:id="rId12">
        <w:r w:rsidR="00B8514F" w:rsidRPr="35B84C53">
          <w:rPr>
            <w:rStyle w:val="Hyperlink"/>
            <w:rFonts w:asciiTheme="minorHAnsi" w:eastAsiaTheme="minorEastAsia" w:hAnsiTheme="minorHAnsi"/>
          </w:rPr>
          <w:t>High Court Dismisses University of Bristol's Appeal in Natasha Abrahart Case - DPG Law</w:t>
        </w:r>
      </w:hyperlink>
    </w:p>
    <w:p w14:paraId="0CEA66F6" w14:textId="38D23B95" w:rsidR="008300C5" w:rsidRDefault="008300C5" w:rsidP="35B84C53">
      <w:pPr>
        <w:pStyle w:val="ListParagraph"/>
        <w:numPr>
          <w:ilvl w:val="0"/>
          <w:numId w:val="2"/>
        </w:numPr>
        <w:rPr>
          <w:rFonts w:asciiTheme="minorHAnsi" w:eastAsiaTheme="minorEastAsia" w:hAnsiTheme="minorHAnsi"/>
        </w:rPr>
      </w:pPr>
      <w:r w:rsidRPr="35B84C53">
        <w:rPr>
          <w:rFonts w:asciiTheme="minorHAnsi" w:eastAsiaTheme="minorEastAsia" w:hAnsiTheme="minorHAnsi"/>
        </w:rPr>
        <w:t>Full ruling</w:t>
      </w:r>
      <w:r w:rsidR="002F2B03" w:rsidRPr="35B84C53">
        <w:rPr>
          <w:rFonts w:asciiTheme="minorHAnsi" w:eastAsiaTheme="minorEastAsia" w:hAnsiTheme="minorHAnsi"/>
        </w:rPr>
        <w:t xml:space="preserve"> High Court 2024</w:t>
      </w:r>
      <w:r w:rsidR="005C3466" w:rsidRPr="35B84C53">
        <w:rPr>
          <w:rFonts w:asciiTheme="minorHAnsi" w:eastAsiaTheme="minorEastAsia" w:hAnsiTheme="minorHAnsi"/>
        </w:rPr>
        <w:t xml:space="preserve">: </w:t>
      </w:r>
      <w:hyperlink r:id="rId13">
        <w:r w:rsidR="005C3466" w:rsidRPr="35B84C53">
          <w:rPr>
            <w:rStyle w:val="Hyperlink"/>
            <w:rFonts w:asciiTheme="minorHAnsi" w:eastAsiaTheme="minorEastAsia" w:hAnsiTheme="minorHAnsi"/>
          </w:rPr>
          <w:t>The University of Bristol -v- Dr Robert Abrahart (judiciary.uk)</w:t>
        </w:r>
      </w:hyperlink>
    </w:p>
    <w:p w14:paraId="7473F7FD" w14:textId="15E6C375" w:rsidR="003A7476" w:rsidRPr="00EB5F5F" w:rsidRDefault="003A7476" w:rsidP="35B84C53">
      <w:pPr>
        <w:pStyle w:val="ListParagraph"/>
        <w:numPr>
          <w:ilvl w:val="0"/>
          <w:numId w:val="2"/>
        </w:numPr>
        <w:rPr>
          <w:rFonts w:asciiTheme="minorHAnsi" w:eastAsiaTheme="minorEastAsia" w:hAnsiTheme="minorHAnsi"/>
        </w:rPr>
      </w:pPr>
      <w:r w:rsidRPr="35B84C53">
        <w:rPr>
          <w:rFonts w:asciiTheme="minorHAnsi" w:eastAsiaTheme="minorEastAsia" w:hAnsiTheme="minorHAnsi"/>
        </w:rPr>
        <w:t>The Disabled Student Commitment</w:t>
      </w:r>
      <w:r w:rsidR="00B8514F" w:rsidRPr="35B84C53">
        <w:rPr>
          <w:rFonts w:asciiTheme="minorHAnsi" w:eastAsiaTheme="minorEastAsia" w:hAnsiTheme="minorHAnsi"/>
        </w:rPr>
        <w:t xml:space="preserve">: </w:t>
      </w:r>
      <w:hyperlink r:id="rId14">
        <w:r w:rsidR="00B8514F" w:rsidRPr="35B84C53">
          <w:rPr>
            <w:rStyle w:val="Hyperlink"/>
            <w:rFonts w:asciiTheme="minorHAnsi" w:eastAsiaTheme="minorEastAsia" w:hAnsiTheme="minorHAnsi"/>
          </w:rPr>
          <w:t>The Disabled Student Commitment | Advance HE (advance-he.ac.uk)</w:t>
        </w:r>
      </w:hyperlink>
    </w:p>
    <w:p w14:paraId="67A9A8A4" w14:textId="1AF34966" w:rsidR="002F2B03" w:rsidRPr="00EB5F5F" w:rsidRDefault="002F2B03" w:rsidP="35B84C53">
      <w:pPr>
        <w:pStyle w:val="ListParagraph"/>
        <w:numPr>
          <w:ilvl w:val="0"/>
          <w:numId w:val="2"/>
        </w:numPr>
        <w:rPr>
          <w:rFonts w:asciiTheme="minorHAnsi" w:eastAsiaTheme="minorEastAsia" w:hAnsiTheme="minorHAnsi"/>
        </w:rPr>
      </w:pPr>
      <w:r w:rsidRPr="35B84C53">
        <w:rPr>
          <w:rFonts w:asciiTheme="minorHAnsi" w:eastAsiaTheme="minorEastAsia" w:hAnsiTheme="minorHAnsi"/>
        </w:rPr>
        <w:t>EHRC Technical Guidance</w:t>
      </w:r>
      <w:r w:rsidR="00B8514F" w:rsidRPr="35B84C53">
        <w:rPr>
          <w:rFonts w:asciiTheme="minorHAnsi" w:eastAsiaTheme="minorEastAsia" w:hAnsiTheme="minorHAnsi"/>
        </w:rPr>
        <w:t xml:space="preserve"> on the Equality Act: </w:t>
      </w:r>
      <w:hyperlink r:id="rId15">
        <w:r w:rsidR="00B8514F" w:rsidRPr="35B84C53">
          <w:rPr>
            <w:rStyle w:val="Hyperlink"/>
            <w:rFonts w:asciiTheme="minorHAnsi" w:eastAsiaTheme="minorEastAsia" w:hAnsiTheme="minorHAnsi"/>
          </w:rPr>
          <w:t>Technical guidance on further and higher education | EHRC (equalityhumanrights.com)</w:t>
        </w:r>
      </w:hyperlink>
    </w:p>
    <w:p w14:paraId="07850CC7" w14:textId="07059FC5" w:rsidR="002F2B03" w:rsidRPr="00EB5F5F" w:rsidRDefault="002F2B03" w:rsidP="35B84C53">
      <w:pPr>
        <w:pStyle w:val="ListParagraph"/>
        <w:numPr>
          <w:ilvl w:val="0"/>
          <w:numId w:val="2"/>
        </w:numPr>
        <w:rPr>
          <w:rFonts w:asciiTheme="minorHAnsi" w:eastAsiaTheme="minorEastAsia" w:hAnsiTheme="minorHAnsi"/>
        </w:rPr>
      </w:pPr>
      <w:r w:rsidRPr="35B84C53">
        <w:rPr>
          <w:rFonts w:asciiTheme="minorHAnsi" w:eastAsiaTheme="minorEastAsia" w:hAnsiTheme="minorHAnsi"/>
        </w:rPr>
        <w:t>The Equality Act (2010)</w:t>
      </w:r>
      <w:r w:rsidR="00B8514F" w:rsidRPr="35B84C53">
        <w:rPr>
          <w:rFonts w:asciiTheme="minorHAnsi" w:eastAsiaTheme="minorEastAsia" w:hAnsiTheme="minorHAnsi"/>
        </w:rPr>
        <w:t xml:space="preserve">: </w:t>
      </w:r>
      <w:hyperlink r:id="rId16">
        <w:r w:rsidR="00B8514F" w:rsidRPr="35B84C53">
          <w:rPr>
            <w:rStyle w:val="Hyperlink"/>
            <w:rFonts w:asciiTheme="minorHAnsi" w:eastAsiaTheme="minorEastAsia" w:hAnsiTheme="minorHAnsi"/>
          </w:rPr>
          <w:t>Equality Act 2010 (legislation.gov.uk)</w:t>
        </w:r>
      </w:hyperlink>
    </w:p>
    <w:sectPr w:rsidR="002F2B03" w:rsidRPr="00EB5F5F">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9A506" w14:textId="77777777" w:rsidR="00BE0670" w:rsidRDefault="00BE0670" w:rsidP="00E07CBB">
      <w:pPr>
        <w:spacing w:after="0" w:line="240" w:lineRule="auto"/>
      </w:pPr>
      <w:r>
        <w:separator/>
      </w:r>
    </w:p>
  </w:endnote>
  <w:endnote w:type="continuationSeparator" w:id="0">
    <w:p w14:paraId="7628CEF7" w14:textId="77777777" w:rsidR="00BE0670" w:rsidRDefault="00BE0670" w:rsidP="00E07CBB">
      <w:pPr>
        <w:spacing w:after="0" w:line="240" w:lineRule="auto"/>
      </w:pPr>
      <w:r>
        <w:continuationSeparator/>
      </w:r>
    </w:p>
  </w:endnote>
  <w:endnote w:type="continuationNotice" w:id="1">
    <w:p w14:paraId="017D311C" w14:textId="77777777" w:rsidR="00BE0670" w:rsidRDefault="00BE06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960838"/>
      <w:docPartObj>
        <w:docPartGallery w:val="Page Numbers (Bottom of Page)"/>
        <w:docPartUnique/>
      </w:docPartObj>
    </w:sdtPr>
    <w:sdtEndPr>
      <w:rPr>
        <w:noProof/>
      </w:rPr>
    </w:sdtEndPr>
    <w:sdtContent>
      <w:p w14:paraId="6E179BFD" w14:textId="3F8BE1C7" w:rsidR="00CC4BF1" w:rsidRDefault="35B84C53">
        <w:pPr>
          <w:pStyle w:val="Footer"/>
        </w:pPr>
        <w:r>
          <w:t xml:space="preserve">Page | </w:t>
        </w:r>
        <w:r w:rsidR="00CC4BF1" w:rsidRPr="35B84C53">
          <w:rPr>
            <w:noProof/>
          </w:rPr>
          <w:fldChar w:fldCharType="begin"/>
        </w:r>
        <w:r w:rsidR="00CC4BF1">
          <w:instrText xml:space="preserve"> PAGE   \* MERGEFORMAT </w:instrText>
        </w:r>
        <w:r w:rsidR="00CC4BF1" w:rsidRPr="35B84C53">
          <w:fldChar w:fldCharType="separate"/>
        </w:r>
        <w:r w:rsidRPr="35B84C53">
          <w:rPr>
            <w:noProof/>
          </w:rPr>
          <w:t>2</w:t>
        </w:r>
        <w:r w:rsidR="00CC4BF1" w:rsidRPr="35B84C53">
          <w:rPr>
            <w:noProof/>
          </w:rPr>
          <w:fldChar w:fldCharType="end"/>
        </w:r>
      </w:p>
    </w:sdtContent>
  </w:sdt>
  <w:p w14:paraId="0FE4F996" w14:textId="77777777" w:rsidR="00E07CBB" w:rsidRDefault="00E07C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E8364" w14:textId="77777777" w:rsidR="00BE0670" w:rsidRDefault="00BE0670" w:rsidP="00E07CBB">
      <w:pPr>
        <w:spacing w:after="0" w:line="240" w:lineRule="auto"/>
      </w:pPr>
      <w:r>
        <w:separator/>
      </w:r>
    </w:p>
  </w:footnote>
  <w:footnote w:type="continuationSeparator" w:id="0">
    <w:p w14:paraId="11F942C1" w14:textId="77777777" w:rsidR="00BE0670" w:rsidRDefault="00BE0670" w:rsidP="00E07CBB">
      <w:pPr>
        <w:spacing w:after="0" w:line="240" w:lineRule="auto"/>
      </w:pPr>
      <w:r>
        <w:continuationSeparator/>
      </w:r>
    </w:p>
  </w:footnote>
  <w:footnote w:type="continuationNotice" w:id="1">
    <w:p w14:paraId="0A0867FA" w14:textId="77777777" w:rsidR="00BE0670" w:rsidRDefault="00BE0670">
      <w:pPr>
        <w:spacing w:after="0" w:line="240" w:lineRule="auto"/>
      </w:pPr>
    </w:p>
  </w:footnote>
  <w:footnote w:id="2">
    <w:p w14:paraId="6780DB8D" w14:textId="7749C66E" w:rsidR="00D264DA" w:rsidRDefault="00D264DA">
      <w:pPr>
        <w:pStyle w:val="FootnoteText"/>
      </w:pPr>
      <w:r>
        <w:rPr>
          <w:rStyle w:val="FootnoteReference"/>
        </w:rPr>
        <w:footnoteRef/>
      </w:r>
      <w:r>
        <w:t xml:space="preserve"> The High Court judge cited </w:t>
      </w:r>
      <w:r w:rsidRPr="00D264DA">
        <w:rPr>
          <w:i/>
        </w:rPr>
        <w:t>Burke v College of Law</w:t>
      </w:r>
      <w:r w:rsidRPr="00D264DA">
        <w:t xml:space="preserve"> UKEAT/0301/10/SM</w:t>
      </w:r>
      <w:r>
        <w:t xml:space="preserve"> in relation to time in exams and competence standards</w:t>
      </w:r>
    </w:p>
  </w:footnote>
  <w:footnote w:id="3">
    <w:p w14:paraId="3BB9A2C2" w14:textId="1A6B39CE" w:rsidR="00D825E5" w:rsidRDefault="00D825E5">
      <w:pPr>
        <w:pStyle w:val="FootnoteText"/>
      </w:pPr>
      <w:r>
        <w:rPr>
          <w:rStyle w:val="FootnoteReference"/>
        </w:rPr>
        <w:footnoteRef/>
      </w:r>
      <w:r>
        <w:t xml:space="preserve"> </w:t>
      </w:r>
      <w:r w:rsidRPr="00D825E5">
        <w:t>The University of Leeds is in the process of identifying and developing competence standards across 600 programmes as part of its ambitious 10-year Curriculum Redefined programme. Curriculum Redefined | University of Leeds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12D38" w14:textId="678F1698" w:rsidR="00FE3865" w:rsidRDefault="00FE3865">
    <w:pPr>
      <w:pStyle w:val="Header"/>
    </w:pPr>
    <w:r>
      <w:rPr>
        <w:noProof/>
      </w:rPr>
      <w:ptab w:relativeTo="margin" w:alignment="right" w:leader="none"/>
    </w:r>
    <w:r>
      <w:rPr>
        <w:noProof/>
      </w:rPr>
      <w:drawing>
        <wp:inline distT="0" distB="0" distL="0" distR="0" wp14:anchorId="4C1799EF" wp14:editId="5A9602D4">
          <wp:extent cx="1962150" cy="561975"/>
          <wp:effectExtent l="0" t="0" r="0" b="9525"/>
          <wp:docPr id="119" name="Google Shape;119;p1" descr="NADP Logo. The letters NADP followed by an orange circle sitting on two dark orange horizontal brush strokes. "/>
          <wp:cNvGraphicFramePr/>
          <a:graphic xmlns:a="http://schemas.openxmlformats.org/drawingml/2006/main">
            <a:graphicData uri="http://schemas.openxmlformats.org/drawingml/2006/picture">
              <pic:pic xmlns:pic="http://schemas.openxmlformats.org/drawingml/2006/picture">
                <pic:nvPicPr>
                  <pic:cNvPr id="119" name="Google Shape;119;p1" descr="NADP Logo. The letters NADP followed by an orange circle sitting on two dark orange horizontal brush strokes. "/>
                  <pic:cNvPicPr preferRelativeResize="0"/>
                </pic:nvPicPr>
                <pic:blipFill rotWithShape="1">
                  <a:blip r:embed="rId1">
                    <a:alphaModFix/>
                  </a:blip>
                  <a:srcRect/>
                  <a:stretch/>
                </pic:blipFill>
                <pic:spPr>
                  <a:xfrm>
                    <a:off x="0" y="0"/>
                    <a:ext cx="1962897" cy="562189"/>
                  </a:xfrm>
                  <a:prstGeom prst="rect">
                    <a:avLst/>
                  </a:prstGeom>
                  <a:noFill/>
                  <a:ln>
                    <a:noFill/>
                  </a:ln>
                </pic:spPr>
              </pic:pic>
            </a:graphicData>
          </a:graphic>
        </wp:inline>
      </w:drawing>
    </w:r>
  </w:p>
  <w:p w14:paraId="6E43C413" w14:textId="13BEBEC0" w:rsidR="002C59F4" w:rsidRDefault="002C59F4">
    <w:pPr>
      <w:pStyle w:val="Header"/>
    </w:pPr>
  </w:p>
</w:hdr>
</file>

<file path=word/intelligence2.xml><?xml version="1.0" encoding="utf-8"?>
<int2:intelligence xmlns:int2="http://schemas.microsoft.com/office/intelligence/2020/intelligence" xmlns:oel="http://schemas.microsoft.com/office/2019/extlst">
  <int2:observations>
    <int2:textHash int2:hashCode="3IAwr/4HpZuZeD" int2:id="o78xk5Dy">
      <int2:state int2:value="Rejected" int2:type="AugLoop_Text_Critique"/>
    </int2:textHash>
    <int2:textHash int2:hashCode="+mDeWHy6FtzAMl" int2:id="GYx9gqDc">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3632"/>
    <w:multiLevelType w:val="hybridMultilevel"/>
    <w:tmpl w:val="EA00A2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CEA29FB"/>
    <w:multiLevelType w:val="hybridMultilevel"/>
    <w:tmpl w:val="5EA086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A491EC5"/>
    <w:multiLevelType w:val="hybridMultilevel"/>
    <w:tmpl w:val="3B0CB28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CE071E3"/>
    <w:multiLevelType w:val="multilevel"/>
    <w:tmpl w:val="DF1A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69433B"/>
    <w:multiLevelType w:val="hybridMultilevel"/>
    <w:tmpl w:val="DC2ADA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AAC3AF1"/>
    <w:multiLevelType w:val="hybridMultilevel"/>
    <w:tmpl w:val="60503080"/>
    <w:lvl w:ilvl="0" w:tplc="252EC092">
      <w:start w:val="1"/>
      <w:numFmt w:val="decimal"/>
      <w:pStyle w:val="Heading2"/>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5C86534"/>
    <w:multiLevelType w:val="hybridMultilevel"/>
    <w:tmpl w:val="3AB829EA"/>
    <w:lvl w:ilvl="0" w:tplc="0809000F">
      <w:start w:val="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165C7D"/>
    <w:multiLevelType w:val="multilevel"/>
    <w:tmpl w:val="EF24C8F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8" w15:restartNumberingAfterBreak="0">
    <w:nsid w:val="595302F6"/>
    <w:multiLevelType w:val="multilevel"/>
    <w:tmpl w:val="9696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C02976"/>
    <w:multiLevelType w:val="hybridMultilevel"/>
    <w:tmpl w:val="EB828C3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7000861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47885981">
    <w:abstractNumId w:val="9"/>
  </w:num>
  <w:num w:numId="3" w16cid:durableId="1390617308">
    <w:abstractNumId w:val="1"/>
  </w:num>
  <w:num w:numId="4" w16cid:durableId="1065759147">
    <w:abstractNumId w:val="4"/>
  </w:num>
  <w:num w:numId="5" w16cid:durableId="1040202672">
    <w:abstractNumId w:val="0"/>
  </w:num>
  <w:num w:numId="6" w16cid:durableId="1071854145">
    <w:abstractNumId w:val="6"/>
  </w:num>
  <w:num w:numId="7" w16cid:durableId="1405100830">
    <w:abstractNumId w:val="2"/>
  </w:num>
  <w:num w:numId="8" w16cid:durableId="387918451">
    <w:abstractNumId w:val="8"/>
  </w:num>
  <w:num w:numId="9" w16cid:durableId="535968373">
    <w:abstractNumId w:val="3"/>
  </w:num>
  <w:num w:numId="10" w16cid:durableId="20470232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A51"/>
    <w:rsid w:val="00017CD3"/>
    <w:rsid w:val="00026760"/>
    <w:rsid w:val="00035CD0"/>
    <w:rsid w:val="00052B1A"/>
    <w:rsid w:val="000721D4"/>
    <w:rsid w:val="00083B08"/>
    <w:rsid w:val="000B27A7"/>
    <w:rsid w:val="00101BC4"/>
    <w:rsid w:val="001220DA"/>
    <w:rsid w:val="001B1E60"/>
    <w:rsid w:val="001D3F45"/>
    <w:rsid w:val="00227E1D"/>
    <w:rsid w:val="00251DA4"/>
    <w:rsid w:val="0025506C"/>
    <w:rsid w:val="00270072"/>
    <w:rsid w:val="0028346F"/>
    <w:rsid w:val="00292D14"/>
    <w:rsid w:val="002C4AA2"/>
    <w:rsid w:val="002C59F4"/>
    <w:rsid w:val="002F2B03"/>
    <w:rsid w:val="002F3DFF"/>
    <w:rsid w:val="002F51C1"/>
    <w:rsid w:val="00350385"/>
    <w:rsid w:val="00350AE6"/>
    <w:rsid w:val="003A7476"/>
    <w:rsid w:val="003D3601"/>
    <w:rsid w:val="003F0FF6"/>
    <w:rsid w:val="00415048"/>
    <w:rsid w:val="00416BB4"/>
    <w:rsid w:val="00441353"/>
    <w:rsid w:val="004418B5"/>
    <w:rsid w:val="00445869"/>
    <w:rsid w:val="00473B56"/>
    <w:rsid w:val="004832A9"/>
    <w:rsid w:val="00486BD9"/>
    <w:rsid w:val="00486C7F"/>
    <w:rsid w:val="004A11F5"/>
    <w:rsid w:val="004A20C7"/>
    <w:rsid w:val="004F0870"/>
    <w:rsid w:val="004F2644"/>
    <w:rsid w:val="00506A9C"/>
    <w:rsid w:val="0055547C"/>
    <w:rsid w:val="00563ACE"/>
    <w:rsid w:val="005722BA"/>
    <w:rsid w:val="0058181B"/>
    <w:rsid w:val="0058687D"/>
    <w:rsid w:val="005951C1"/>
    <w:rsid w:val="005A1E5D"/>
    <w:rsid w:val="005B48B5"/>
    <w:rsid w:val="005C3466"/>
    <w:rsid w:val="005F143C"/>
    <w:rsid w:val="00682CDB"/>
    <w:rsid w:val="00687DE8"/>
    <w:rsid w:val="006A763E"/>
    <w:rsid w:val="006C4C2F"/>
    <w:rsid w:val="006E1E17"/>
    <w:rsid w:val="00721754"/>
    <w:rsid w:val="00775DE4"/>
    <w:rsid w:val="00792EFB"/>
    <w:rsid w:val="007B0EBD"/>
    <w:rsid w:val="007D27DF"/>
    <w:rsid w:val="007E750B"/>
    <w:rsid w:val="007F0F7E"/>
    <w:rsid w:val="007F124E"/>
    <w:rsid w:val="0081198A"/>
    <w:rsid w:val="008300C5"/>
    <w:rsid w:val="0085137E"/>
    <w:rsid w:val="008562E2"/>
    <w:rsid w:val="00874A34"/>
    <w:rsid w:val="0087529A"/>
    <w:rsid w:val="00883028"/>
    <w:rsid w:val="00892174"/>
    <w:rsid w:val="00892DB3"/>
    <w:rsid w:val="008C0FE5"/>
    <w:rsid w:val="008C4815"/>
    <w:rsid w:val="008F5399"/>
    <w:rsid w:val="00912CF4"/>
    <w:rsid w:val="009C0B8F"/>
    <w:rsid w:val="009D4A9E"/>
    <w:rsid w:val="009F6053"/>
    <w:rsid w:val="00A07505"/>
    <w:rsid w:val="00A25732"/>
    <w:rsid w:val="00A44ED2"/>
    <w:rsid w:val="00A47D41"/>
    <w:rsid w:val="00A60BEE"/>
    <w:rsid w:val="00A671E3"/>
    <w:rsid w:val="00AA739F"/>
    <w:rsid w:val="00AB4180"/>
    <w:rsid w:val="00AB48EF"/>
    <w:rsid w:val="00B040E6"/>
    <w:rsid w:val="00B455B5"/>
    <w:rsid w:val="00B8514F"/>
    <w:rsid w:val="00B904A5"/>
    <w:rsid w:val="00BC26E8"/>
    <w:rsid w:val="00BE0670"/>
    <w:rsid w:val="00C03BE7"/>
    <w:rsid w:val="00C122D3"/>
    <w:rsid w:val="00C25110"/>
    <w:rsid w:val="00C253F0"/>
    <w:rsid w:val="00C34C2F"/>
    <w:rsid w:val="00C41CDC"/>
    <w:rsid w:val="00CA759F"/>
    <w:rsid w:val="00CC118D"/>
    <w:rsid w:val="00CC4BF1"/>
    <w:rsid w:val="00D264DA"/>
    <w:rsid w:val="00D37820"/>
    <w:rsid w:val="00D73D9F"/>
    <w:rsid w:val="00D825E5"/>
    <w:rsid w:val="00D828D4"/>
    <w:rsid w:val="00D93F04"/>
    <w:rsid w:val="00D97051"/>
    <w:rsid w:val="00DA4357"/>
    <w:rsid w:val="00DD65FE"/>
    <w:rsid w:val="00DF4FC5"/>
    <w:rsid w:val="00E07CBB"/>
    <w:rsid w:val="00E27844"/>
    <w:rsid w:val="00E46ABA"/>
    <w:rsid w:val="00E5556B"/>
    <w:rsid w:val="00E57A51"/>
    <w:rsid w:val="00EB20B8"/>
    <w:rsid w:val="00EB5F5F"/>
    <w:rsid w:val="00ED5478"/>
    <w:rsid w:val="00EE0F74"/>
    <w:rsid w:val="00EE4259"/>
    <w:rsid w:val="00F31D51"/>
    <w:rsid w:val="00F41185"/>
    <w:rsid w:val="00F44C3F"/>
    <w:rsid w:val="00F65FEA"/>
    <w:rsid w:val="00F77727"/>
    <w:rsid w:val="00F829AB"/>
    <w:rsid w:val="00F90647"/>
    <w:rsid w:val="00FB09D1"/>
    <w:rsid w:val="00FB44D4"/>
    <w:rsid w:val="00FD1CD1"/>
    <w:rsid w:val="00FE2915"/>
    <w:rsid w:val="00FE3865"/>
    <w:rsid w:val="031023FA"/>
    <w:rsid w:val="03D8A00F"/>
    <w:rsid w:val="03F6DA41"/>
    <w:rsid w:val="13B39CF6"/>
    <w:rsid w:val="1452595B"/>
    <w:rsid w:val="1D6C3DE5"/>
    <w:rsid w:val="344CAB3F"/>
    <w:rsid w:val="35B84C53"/>
    <w:rsid w:val="35E87BA0"/>
    <w:rsid w:val="361B7935"/>
    <w:rsid w:val="383BA6E6"/>
    <w:rsid w:val="3BAEDAD0"/>
    <w:rsid w:val="444DE2EB"/>
    <w:rsid w:val="4538D985"/>
    <w:rsid w:val="572AD497"/>
    <w:rsid w:val="5855B9BE"/>
    <w:rsid w:val="5ED9F23F"/>
    <w:rsid w:val="65719EB9"/>
    <w:rsid w:val="700493D5"/>
    <w:rsid w:val="7093D3F0"/>
    <w:rsid w:val="7190AB63"/>
    <w:rsid w:val="71D1585C"/>
    <w:rsid w:val="71EB076C"/>
    <w:rsid w:val="72873A4A"/>
    <w:rsid w:val="7639F223"/>
    <w:rsid w:val="785A1EA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A895DD"/>
  <w15:chartTrackingRefBased/>
  <w15:docId w15:val="{1052A340-B871-424C-8B63-663B2E4D7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478"/>
    <w:rPr>
      <w:rFonts w:ascii="Verdana" w:hAnsi="Verdana"/>
      <w:sz w:val="24"/>
    </w:rPr>
  </w:style>
  <w:style w:type="paragraph" w:styleId="Heading1">
    <w:name w:val="heading 1"/>
    <w:basedOn w:val="Normal"/>
    <w:next w:val="Normal"/>
    <w:link w:val="Heading1Char"/>
    <w:autoRedefine/>
    <w:uiPriority w:val="9"/>
    <w:qFormat/>
    <w:rsid w:val="00FE3865"/>
    <w:pPr>
      <w:keepNext/>
      <w:keepLines/>
      <w:spacing w:before="240" w:after="0"/>
      <w:outlineLvl w:val="0"/>
    </w:pPr>
    <w:rPr>
      <w:rFonts w:asciiTheme="minorHAnsi" w:eastAsiaTheme="minorEastAsia" w:hAnsiTheme="minorHAnsi"/>
      <w:b/>
      <w:sz w:val="36"/>
      <w:szCs w:val="36"/>
    </w:rPr>
  </w:style>
  <w:style w:type="paragraph" w:styleId="Heading2">
    <w:name w:val="heading 2"/>
    <w:basedOn w:val="Normal"/>
    <w:next w:val="Normal"/>
    <w:link w:val="Heading2Char"/>
    <w:autoRedefine/>
    <w:uiPriority w:val="9"/>
    <w:unhideWhenUsed/>
    <w:qFormat/>
    <w:rsid w:val="002F2B03"/>
    <w:pPr>
      <w:keepNext/>
      <w:keepLines/>
      <w:numPr>
        <w:numId w:val="10"/>
      </w:numPr>
      <w:spacing w:before="40" w:after="0"/>
      <w:ind w:left="426"/>
      <w:outlineLvl w:val="1"/>
    </w:pPr>
    <w:rPr>
      <w:rFonts w:eastAsiaTheme="majorEastAsia" w:cstheme="majorBidi"/>
      <w:b/>
      <w:color w:val="000000" w:themeColor="text1"/>
      <w:szCs w:val="26"/>
    </w:rPr>
  </w:style>
  <w:style w:type="paragraph" w:styleId="Heading3">
    <w:name w:val="heading 3"/>
    <w:basedOn w:val="Normal"/>
    <w:next w:val="Normal"/>
    <w:link w:val="Heading3Char"/>
    <w:qFormat/>
    <w:rsid w:val="00D97051"/>
    <w:pPr>
      <w:keepNext/>
      <w:spacing w:before="240" w:after="0" w:line="240" w:lineRule="auto"/>
      <w:outlineLvl w:val="2"/>
    </w:pPr>
    <w:rPr>
      <w:rFonts w:cs="Arial"/>
      <w:b/>
      <w:bCs/>
      <w:szCs w:val="26"/>
    </w:rPr>
  </w:style>
  <w:style w:type="paragraph" w:styleId="Heading4">
    <w:name w:val="heading 4"/>
    <w:basedOn w:val="Normal"/>
    <w:next w:val="Normal"/>
    <w:link w:val="Heading4Char"/>
    <w:uiPriority w:val="9"/>
    <w:semiHidden/>
    <w:unhideWhenUsed/>
    <w:qFormat/>
    <w:rsid w:val="00350AE6"/>
    <w:pPr>
      <w:keepNext/>
      <w:keepLines/>
      <w:spacing w:before="40" w:after="0"/>
      <w:outlineLvl w:val="3"/>
    </w:pPr>
    <w:rPr>
      <w:rFonts w:eastAsiaTheme="majorEastAsia" w:cstheme="majorBidi"/>
      <w:iCs/>
      <w:color w:val="0020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2B03"/>
    <w:rPr>
      <w:rFonts w:ascii="Verdana" w:eastAsiaTheme="majorEastAsia" w:hAnsi="Verdana" w:cstheme="majorBidi"/>
      <w:b/>
      <w:color w:val="000000" w:themeColor="text1"/>
      <w:sz w:val="24"/>
      <w:szCs w:val="26"/>
    </w:rPr>
  </w:style>
  <w:style w:type="character" w:customStyle="1" w:styleId="Heading1Char">
    <w:name w:val="Heading 1 Char"/>
    <w:basedOn w:val="DefaultParagraphFont"/>
    <w:link w:val="Heading1"/>
    <w:uiPriority w:val="9"/>
    <w:rsid w:val="00FE3865"/>
    <w:rPr>
      <w:rFonts w:eastAsiaTheme="minorEastAsia"/>
      <w:b/>
      <w:sz w:val="36"/>
      <w:szCs w:val="36"/>
    </w:rPr>
  </w:style>
  <w:style w:type="paragraph" w:styleId="Title">
    <w:name w:val="Title"/>
    <w:basedOn w:val="Normal"/>
    <w:next w:val="Normal"/>
    <w:link w:val="TitleChar"/>
    <w:autoRedefine/>
    <w:uiPriority w:val="10"/>
    <w:qFormat/>
    <w:rsid w:val="00350AE6"/>
    <w:pPr>
      <w:spacing w:after="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350AE6"/>
    <w:rPr>
      <w:rFonts w:ascii="Verdana" w:eastAsiaTheme="majorEastAsia" w:hAnsi="Verdana" w:cstheme="majorBidi"/>
      <w:b/>
      <w:spacing w:val="-10"/>
      <w:kern w:val="28"/>
      <w:sz w:val="32"/>
      <w:szCs w:val="56"/>
    </w:rPr>
  </w:style>
  <w:style w:type="paragraph" w:customStyle="1" w:styleId="Heading2John">
    <w:name w:val="Heading 2 John"/>
    <w:basedOn w:val="Normal"/>
    <w:link w:val="Heading2JohnChar"/>
    <w:autoRedefine/>
    <w:qFormat/>
    <w:rsid w:val="00892174"/>
    <w:pPr>
      <w:spacing w:after="0" w:line="240" w:lineRule="auto"/>
      <w:ind w:left="-709" w:right="-483"/>
    </w:pPr>
    <w:rPr>
      <w:rFonts w:ascii="Arial" w:hAnsi="Arial"/>
      <w:b/>
      <w:szCs w:val="24"/>
    </w:rPr>
  </w:style>
  <w:style w:type="character" w:customStyle="1" w:styleId="Heading2JohnChar">
    <w:name w:val="Heading 2 John Char"/>
    <w:basedOn w:val="DefaultParagraphFont"/>
    <w:link w:val="Heading2John"/>
    <w:rsid w:val="00892174"/>
    <w:rPr>
      <w:rFonts w:ascii="Arial" w:hAnsi="Arial"/>
      <w:b/>
      <w:sz w:val="24"/>
      <w:szCs w:val="24"/>
    </w:rPr>
  </w:style>
  <w:style w:type="paragraph" w:customStyle="1" w:styleId="Heading3John">
    <w:name w:val="Heading 3 John"/>
    <w:basedOn w:val="Normal"/>
    <w:link w:val="Heading3JohnChar"/>
    <w:autoRedefine/>
    <w:qFormat/>
    <w:rsid w:val="00892174"/>
    <w:rPr>
      <w:rFonts w:ascii="Arial" w:hAnsi="Arial"/>
      <w:b/>
    </w:rPr>
  </w:style>
  <w:style w:type="character" w:customStyle="1" w:styleId="Heading3JohnChar">
    <w:name w:val="Heading 3 John Char"/>
    <w:basedOn w:val="DefaultParagraphFont"/>
    <w:link w:val="Heading3John"/>
    <w:rsid w:val="00892174"/>
    <w:rPr>
      <w:rFonts w:ascii="Arial" w:hAnsi="Arial"/>
      <w:b/>
    </w:rPr>
  </w:style>
  <w:style w:type="character" w:customStyle="1" w:styleId="Heading3Char">
    <w:name w:val="Heading 3 Char"/>
    <w:link w:val="Heading3"/>
    <w:rsid w:val="00D97051"/>
    <w:rPr>
      <w:rFonts w:ascii="Verdana" w:hAnsi="Verdana" w:cs="Arial"/>
      <w:b/>
      <w:bCs/>
      <w:sz w:val="24"/>
      <w:szCs w:val="26"/>
    </w:rPr>
  </w:style>
  <w:style w:type="character" w:customStyle="1" w:styleId="Heading4Char">
    <w:name w:val="Heading 4 Char"/>
    <w:basedOn w:val="DefaultParagraphFont"/>
    <w:link w:val="Heading4"/>
    <w:uiPriority w:val="9"/>
    <w:semiHidden/>
    <w:rsid w:val="00350AE6"/>
    <w:rPr>
      <w:rFonts w:ascii="Verdana" w:eastAsiaTheme="majorEastAsia" w:hAnsi="Verdana" w:cstheme="majorBidi"/>
      <w:iCs/>
      <w:color w:val="002060"/>
      <w:sz w:val="24"/>
    </w:rPr>
  </w:style>
  <w:style w:type="paragraph" w:styleId="Subtitle">
    <w:name w:val="Subtitle"/>
    <w:basedOn w:val="Normal"/>
    <w:next w:val="Normal"/>
    <w:link w:val="SubtitleChar"/>
    <w:uiPriority w:val="11"/>
    <w:qFormat/>
    <w:rsid w:val="00350AE6"/>
    <w:pPr>
      <w:numPr>
        <w:ilvl w:val="1"/>
      </w:numPr>
    </w:pPr>
    <w:rPr>
      <w:rFonts w:eastAsiaTheme="minorEastAsia"/>
      <w:b/>
      <w:color w:val="5A5A5A" w:themeColor="text1" w:themeTint="A5"/>
      <w:spacing w:val="15"/>
    </w:rPr>
  </w:style>
  <w:style w:type="character" w:customStyle="1" w:styleId="SubtitleChar">
    <w:name w:val="Subtitle Char"/>
    <w:basedOn w:val="DefaultParagraphFont"/>
    <w:link w:val="Subtitle"/>
    <w:uiPriority w:val="11"/>
    <w:rsid w:val="00350AE6"/>
    <w:rPr>
      <w:rFonts w:ascii="Verdana" w:eastAsiaTheme="minorEastAsia" w:hAnsi="Verdana"/>
      <w:b/>
      <w:color w:val="5A5A5A" w:themeColor="text1" w:themeTint="A5"/>
      <w:spacing w:val="15"/>
      <w:sz w:val="24"/>
    </w:rPr>
  </w:style>
  <w:style w:type="paragraph" w:customStyle="1" w:styleId="TableorFigure">
    <w:name w:val="Table or Figure"/>
    <w:basedOn w:val="Normal"/>
    <w:link w:val="TableorFigureChar"/>
    <w:qFormat/>
    <w:rsid w:val="00ED5478"/>
    <w:rPr>
      <w:b/>
      <w:sz w:val="22"/>
    </w:rPr>
  </w:style>
  <w:style w:type="character" w:customStyle="1" w:styleId="TableorFigureChar">
    <w:name w:val="Table or Figure Char"/>
    <w:basedOn w:val="DefaultParagraphFont"/>
    <w:link w:val="TableorFigure"/>
    <w:rsid w:val="00ED5478"/>
    <w:rPr>
      <w:rFonts w:ascii="Verdana" w:hAnsi="Verdana"/>
      <w:b/>
    </w:rPr>
  </w:style>
  <w:style w:type="paragraph" w:styleId="Quote">
    <w:name w:val="Quote"/>
    <w:basedOn w:val="Normal"/>
    <w:next w:val="Normal"/>
    <w:link w:val="QuoteChar"/>
    <w:uiPriority w:val="29"/>
    <w:qFormat/>
    <w:rsid w:val="0081198A"/>
    <w:pPr>
      <w:autoSpaceDE w:val="0"/>
      <w:autoSpaceDN w:val="0"/>
      <w:adjustRightInd w:val="0"/>
      <w:spacing w:before="200"/>
      <w:ind w:left="720" w:right="864"/>
    </w:pPr>
    <w:rPr>
      <w:rFonts w:cs="Calibri"/>
      <w:i/>
      <w:iCs/>
      <w:color w:val="404040" w:themeColor="text1" w:themeTint="BF"/>
      <w:sz w:val="22"/>
    </w:rPr>
  </w:style>
  <w:style w:type="character" w:customStyle="1" w:styleId="QuoteChar">
    <w:name w:val="Quote Char"/>
    <w:basedOn w:val="DefaultParagraphFont"/>
    <w:link w:val="Quote"/>
    <w:uiPriority w:val="29"/>
    <w:rsid w:val="0081198A"/>
    <w:rPr>
      <w:rFonts w:ascii="Verdana" w:hAnsi="Verdana" w:cs="Calibri"/>
      <w:i/>
      <w:iCs/>
      <w:color w:val="404040" w:themeColor="text1" w:themeTint="BF"/>
    </w:rPr>
  </w:style>
  <w:style w:type="paragraph" w:customStyle="1" w:styleId="Figureortable">
    <w:name w:val="Figure or table"/>
    <w:basedOn w:val="Normal"/>
    <w:link w:val="FigureortableChar"/>
    <w:qFormat/>
    <w:rsid w:val="008C0FE5"/>
    <w:rPr>
      <w:b/>
      <w:sz w:val="22"/>
      <w:szCs w:val="24"/>
    </w:rPr>
  </w:style>
  <w:style w:type="character" w:customStyle="1" w:styleId="FigureortableChar">
    <w:name w:val="Figure or table Char"/>
    <w:basedOn w:val="DefaultParagraphFont"/>
    <w:link w:val="Figureortable"/>
    <w:rsid w:val="008C0FE5"/>
    <w:rPr>
      <w:rFonts w:ascii="Verdana" w:hAnsi="Verdana"/>
      <w:b/>
      <w:szCs w:val="24"/>
    </w:rPr>
  </w:style>
  <w:style w:type="paragraph" w:customStyle="1" w:styleId="Tableorfigure0">
    <w:name w:val="Table or figure"/>
    <w:basedOn w:val="Normal"/>
    <w:link w:val="TableorfigureChar0"/>
    <w:qFormat/>
    <w:rsid w:val="00292D14"/>
    <w:pPr>
      <w:autoSpaceDE w:val="0"/>
      <w:autoSpaceDN w:val="0"/>
      <w:adjustRightInd w:val="0"/>
    </w:pPr>
    <w:rPr>
      <w:rFonts w:cs="Calibri"/>
      <w:b/>
      <w:sz w:val="22"/>
    </w:rPr>
  </w:style>
  <w:style w:type="character" w:customStyle="1" w:styleId="TableorfigureChar0">
    <w:name w:val="Table or figure Char"/>
    <w:basedOn w:val="DefaultParagraphFont"/>
    <w:link w:val="Tableorfigure0"/>
    <w:rsid w:val="00292D14"/>
    <w:rPr>
      <w:rFonts w:ascii="Verdana" w:hAnsi="Verdana" w:cs="Calibri"/>
      <w:b/>
    </w:rPr>
  </w:style>
  <w:style w:type="paragraph" w:styleId="ListParagraph">
    <w:name w:val="List Paragraph"/>
    <w:basedOn w:val="Normal"/>
    <w:uiPriority w:val="34"/>
    <w:qFormat/>
    <w:rsid w:val="005A1E5D"/>
    <w:pPr>
      <w:ind w:left="720"/>
      <w:contextualSpacing/>
    </w:pPr>
  </w:style>
  <w:style w:type="character" w:styleId="CommentReference">
    <w:name w:val="annotation reference"/>
    <w:basedOn w:val="DefaultParagraphFont"/>
    <w:uiPriority w:val="99"/>
    <w:semiHidden/>
    <w:unhideWhenUsed/>
    <w:rsid w:val="00AB4180"/>
    <w:rPr>
      <w:sz w:val="16"/>
      <w:szCs w:val="16"/>
    </w:rPr>
  </w:style>
  <w:style w:type="paragraph" w:styleId="CommentText">
    <w:name w:val="annotation text"/>
    <w:basedOn w:val="Normal"/>
    <w:link w:val="CommentTextChar"/>
    <w:uiPriority w:val="99"/>
    <w:unhideWhenUsed/>
    <w:rsid w:val="00AB4180"/>
    <w:pPr>
      <w:spacing w:line="240" w:lineRule="auto"/>
    </w:pPr>
    <w:rPr>
      <w:sz w:val="20"/>
      <w:szCs w:val="20"/>
    </w:rPr>
  </w:style>
  <w:style w:type="character" w:customStyle="1" w:styleId="CommentTextChar">
    <w:name w:val="Comment Text Char"/>
    <w:basedOn w:val="DefaultParagraphFont"/>
    <w:link w:val="CommentText"/>
    <w:uiPriority w:val="99"/>
    <w:rsid w:val="00AB4180"/>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AB4180"/>
    <w:rPr>
      <w:b/>
      <w:bCs/>
    </w:rPr>
  </w:style>
  <w:style w:type="character" w:customStyle="1" w:styleId="CommentSubjectChar">
    <w:name w:val="Comment Subject Char"/>
    <w:basedOn w:val="CommentTextChar"/>
    <w:link w:val="CommentSubject"/>
    <w:uiPriority w:val="99"/>
    <w:semiHidden/>
    <w:rsid w:val="00AB4180"/>
    <w:rPr>
      <w:rFonts w:ascii="Verdana" w:hAnsi="Verdana"/>
      <w:b/>
      <w:bCs/>
      <w:sz w:val="20"/>
      <w:szCs w:val="20"/>
    </w:rPr>
  </w:style>
  <w:style w:type="paragraph" w:styleId="BalloonText">
    <w:name w:val="Balloon Text"/>
    <w:basedOn w:val="Normal"/>
    <w:link w:val="BalloonTextChar"/>
    <w:uiPriority w:val="99"/>
    <w:semiHidden/>
    <w:unhideWhenUsed/>
    <w:rsid w:val="00AB41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180"/>
    <w:rPr>
      <w:rFonts w:ascii="Segoe UI" w:hAnsi="Segoe UI" w:cs="Segoe UI"/>
      <w:sz w:val="18"/>
      <w:szCs w:val="18"/>
    </w:rPr>
  </w:style>
  <w:style w:type="paragraph" w:styleId="Header">
    <w:name w:val="header"/>
    <w:basedOn w:val="Normal"/>
    <w:link w:val="HeaderChar"/>
    <w:uiPriority w:val="99"/>
    <w:unhideWhenUsed/>
    <w:rsid w:val="00E07C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CBB"/>
    <w:rPr>
      <w:rFonts w:ascii="Verdana" w:hAnsi="Verdana"/>
      <w:sz w:val="24"/>
    </w:rPr>
  </w:style>
  <w:style w:type="paragraph" w:styleId="Footer">
    <w:name w:val="footer"/>
    <w:basedOn w:val="Normal"/>
    <w:link w:val="FooterChar"/>
    <w:uiPriority w:val="99"/>
    <w:unhideWhenUsed/>
    <w:rsid w:val="00E07C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CBB"/>
    <w:rPr>
      <w:rFonts w:ascii="Verdana" w:hAnsi="Verdana"/>
      <w:sz w:val="24"/>
    </w:rPr>
  </w:style>
  <w:style w:type="character" w:styleId="Hyperlink">
    <w:name w:val="Hyperlink"/>
    <w:basedOn w:val="DefaultParagraphFont"/>
    <w:uiPriority w:val="99"/>
    <w:unhideWhenUsed/>
    <w:rsid w:val="00DF4FC5"/>
    <w:rPr>
      <w:color w:val="0000FF"/>
      <w:u w:val="single"/>
    </w:rPr>
  </w:style>
  <w:style w:type="paragraph" w:styleId="FootnoteText">
    <w:name w:val="footnote text"/>
    <w:basedOn w:val="Normal"/>
    <w:link w:val="FootnoteTextChar"/>
    <w:uiPriority w:val="99"/>
    <w:semiHidden/>
    <w:unhideWhenUsed/>
    <w:rsid w:val="00D264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64DA"/>
    <w:rPr>
      <w:rFonts w:ascii="Verdana" w:hAnsi="Verdana"/>
      <w:sz w:val="20"/>
      <w:szCs w:val="20"/>
    </w:rPr>
  </w:style>
  <w:style w:type="character" w:styleId="FootnoteReference">
    <w:name w:val="footnote reference"/>
    <w:basedOn w:val="DefaultParagraphFont"/>
    <w:uiPriority w:val="99"/>
    <w:semiHidden/>
    <w:unhideWhenUsed/>
    <w:rsid w:val="00D264DA"/>
    <w:rPr>
      <w:vertAlign w:val="superscript"/>
    </w:rPr>
  </w:style>
  <w:style w:type="character" w:styleId="UnresolvedMention">
    <w:name w:val="Unresolved Mention"/>
    <w:basedOn w:val="DefaultParagraphFont"/>
    <w:uiPriority w:val="99"/>
    <w:semiHidden/>
    <w:unhideWhenUsed/>
    <w:rsid w:val="006C4C2F"/>
    <w:rPr>
      <w:color w:val="605E5C"/>
      <w:shd w:val="clear" w:color="auto" w:fill="E1DFDD"/>
    </w:rPr>
  </w:style>
  <w:style w:type="paragraph" w:styleId="Revision">
    <w:name w:val="Revision"/>
    <w:hidden/>
    <w:uiPriority w:val="99"/>
    <w:semiHidden/>
    <w:rsid w:val="00EB20B8"/>
    <w:pPr>
      <w:spacing w:after="0" w:line="240" w:lineRule="auto"/>
    </w:pPr>
    <w:rPr>
      <w:rFonts w:ascii="Verdana" w:hAnsi="Verdana"/>
      <w:sz w:val="24"/>
    </w:rPr>
  </w:style>
  <w:style w:type="character" w:customStyle="1" w:styleId="cf01">
    <w:name w:val="cf01"/>
    <w:basedOn w:val="DefaultParagraphFont"/>
    <w:rsid w:val="00F829AB"/>
    <w:rPr>
      <w:rFonts w:ascii="Segoe UI" w:hAnsi="Segoe UI" w:cs="Segoe UI" w:hint="default"/>
      <w:i/>
      <w:iCs/>
      <w:sz w:val="18"/>
      <w:szCs w:val="18"/>
    </w:rPr>
  </w:style>
  <w:style w:type="paragraph" w:customStyle="1" w:styleId="pf0">
    <w:name w:val="pf0"/>
    <w:basedOn w:val="Normal"/>
    <w:rsid w:val="00F829AB"/>
    <w:pPr>
      <w:spacing w:before="100" w:beforeAutospacing="1" w:after="100" w:afterAutospacing="1" w:line="240" w:lineRule="auto"/>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981756">
      <w:bodyDiv w:val="1"/>
      <w:marLeft w:val="0"/>
      <w:marRight w:val="0"/>
      <w:marTop w:val="0"/>
      <w:marBottom w:val="0"/>
      <w:divBdr>
        <w:top w:val="none" w:sz="0" w:space="0" w:color="auto"/>
        <w:left w:val="none" w:sz="0" w:space="0" w:color="auto"/>
        <w:bottom w:val="none" w:sz="0" w:space="0" w:color="auto"/>
        <w:right w:val="none" w:sz="0" w:space="0" w:color="auto"/>
      </w:divBdr>
    </w:div>
    <w:div w:id="1393114545">
      <w:bodyDiv w:val="1"/>
      <w:marLeft w:val="0"/>
      <w:marRight w:val="0"/>
      <w:marTop w:val="0"/>
      <w:marBottom w:val="0"/>
      <w:divBdr>
        <w:top w:val="none" w:sz="0" w:space="0" w:color="auto"/>
        <w:left w:val="none" w:sz="0" w:space="0" w:color="auto"/>
        <w:bottom w:val="none" w:sz="0" w:space="0" w:color="auto"/>
        <w:right w:val="none" w:sz="0" w:space="0" w:color="auto"/>
      </w:divBdr>
    </w:div>
    <w:div w:id="1771730319">
      <w:bodyDiv w:val="1"/>
      <w:marLeft w:val="0"/>
      <w:marRight w:val="0"/>
      <w:marTop w:val="0"/>
      <w:marBottom w:val="0"/>
      <w:divBdr>
        <w:top w:val="none" w:sz="0" w:space="0" w:color="auto"/>
        <w:left w:val="none" w:sz="0" w:space="0" w:color="auto"/>
        <w:bottom w:val="none" w:sz="0" w:space="0" w:color="auto"/>
        <w:right w:val="none" w:sz="0" w:space="0" w:color="auto"/>
      </w:divBdr>
    </w:div>
    <w:div w:id="1822111322">
      <w:bodyDiv w:val="1"/>
      <w:marLeft w:val="0"/>
      <w:marRight w:val="0"/>
      <w:marTop w:val="0"/>
      <w:marBottom w:val="0"/>
      <w:divBdr>
        <w:top w:val="none" w:sz="0" w:space="0" w:color="auto"/>
        <w:left w:val="none" w:sz="0" w:space="0" w:color="auto"/>
        <w:bottom w:val="none" w:sz="0" w:space="0" w:color="auto"/>
        <w:right w:val="none" w:sz="0" w:space="0" w:color="auto"/>
      </w:divBdr>
    </w:div>
    <w:div w:id="188343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w.officeapps.live.com/op/view.aspx?src=https%3A%2F%2Fnadp-uk.org%2Fwp-content%2Fuploads%2F2022%2F09%2FSector-implications-of-the-Bristol-case-Final-Version-1.docx&amp;wdOrigin=BROWSELINK" TargetMode="External"/><Relationship Id="rId13" Type="http://schemas.openxmlformats.org/officeDocument/2006/relationships/hyperlink" Target="https://www.judiciary.uk/wp-content/uploads/2024/02/The-University-of-Bristol-v-Dr-Robert-Abrahart.pdf"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hyperlink" Target="https://dpglaw.co.uk/high-court-dismisses-university-of-bristols-appeal-in-natasha-abrahart-cas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legislation.gov.uk/ukpga/2010/15/conten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onkhe.com/blogs/its-time-to-get-certain-around-competence/?utm_medium=email&amp;utm_campaign=Wonkhe%20Monday%20Briefing%20-%2019%20February&amp;utm_content=Wonkhe%20Monday%20Briefing%20-%2019%20February+CID_5a9e9340e30ebccd1470a42eedbd7016&amp;utm_source=Email%20marketing%20software&amp;utm_term=the%20Abrahart%20judgement%20raises%20questions%20about%20academic%20and%20professional%20competences%20in%20the%20curriculum%20that%20could%20have%20far-reaching%20implications" TargetMode="External"/><Relationship Id="rId5" Type="http://schemas.openxmlformats.org/officeDocument/2006/relationships/webSettings" Target="webSettings.xml"/><Relationship Id="rId15" Type="http://schemas.openxmlformats.org/officeDocument/2006/relationships/hyperlink" Target="https://www.equalityhumanrights.com/equality/equality-act-2010/technical-guidance-further-and-higher-education" TargetMode="External"/><Relationship Id="rId10" Type="http://schemas.openxmlformats.org/officeDocument/2006/relationships/hyperlink" Target="https://wonkhe.com/blogs/the-university-of-bristol-loses-its-appeal-over-the-abrahart-case/?utm_medium=email&amp;utm_campaign=Wonkhe%20Monday%20Briefing%20-%2019%20February&amp;utm_content=Wonkhe%20Monday%20Briefing%20-%2019%20February+CID_5a9e9340e30ebccd1470a42eedbd7016&amp;utm_source=Email%20marketing%20software&amp;utm_term=Jim%20Dickinson%20and%20Sunday%20Blake%20explai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udiciary.uk/wp-content/uploads/2022/05/Abrahart-v-Uni-Bristol-judgment-200522.pdf" TargetMode="External"/><Relationship Id="rId14" Type="http://schemas.openxmlformats.org/officeDocument/2006/relationships/hyperlink" Target="https://www.advance-he.ac.uk/equality-diversity-inclusion/disability-equality-higher-education/disabled-students-commission/disabled-student-commit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8A2A8-D49E-4452-83FA-ED70CF24F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2362</Words>
  <Characters>13465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Cambridge</Company>
  <LinksUpToDate>false</LinksUpToDate>
  <CharactersWithSpaces>15796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Harding</dc:creator>
  <cp:keywords/>
  <dc:description/>
  <cp:lastModifiedBy>Alice Speller | NADP</cp:lastModifiedBy>
  <cp:revision>2</cp:revision>
  <dcterms:created xsi:type="dcterms:W3CDTF">2024-03-14T14:22:00Z</dcterms:created>
  <dcterms:modified xsi:type="dcterms:W3CDTF">2024-03-14T14:22:00Z</dcterms:modified>
</cp:coreProperties>
</file>