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44" w:rsidRDefault="009464A9">
      <w:pPr>
        <w:pStyle w:val="Titre"/>
      </w:pPr>
      <w:bookmarkStart w:id="0" w:name="_GoBack"/>
      <w:bookmarkEnd w:id="0"/>
      <w:r>
        <w:t>Analyse en Composantes Principales</w:t>
      </w:r>
    </w:p>
    <w:p w:rsidR="008C2B44" w:rsidRDefault="009464A9">
      <w:pPr>
        <w:pStyle w:val="Author"/>
      </w:pPr>
      <w:r>
        <w:t>Jeu de données restau</w:t>
      </w:r>
    </w:p>
    <w:p w:rsidR="008C2B44" w:rsidRDefault="009464A9">
      <w:pPr>
        <w:pStyle w:val="FirstParagraph"/>
      </w:pPr>
      <w:r>
        <w:t>Ce jeu de données contient 41 individus et 13 variables, 1 variable qualitative est illustrative.</w:t>
      </w:r>
    </w:p>
    <w:p w:rsidR="008C2B44" w:rsidRDefault="009464A9">
      <w:r>
        <w:pict>
          <v:rect id="_x0000_i1025" style="width:0;height:1.5pt" o:hralign="center" o:hrstd="t" o:hr="t"/>
        </w:pict>
      </w:r>
    </w:p>
    <w:p w:rsidR="008C2B44" w:rsidRDefault="009464A9">
      <w:pPr>
        <w:pStyle w:val="Titre3"/>
      </w:pPr>
      <w:bookmarkStart w:id="1" w:name="observation-dindividus-extrêmes"/>
      <w:r>
        <w:t>1. Observation d’individus extrêmes</w:t>
      </w:r>
    </w:p>
    <w:p w:rsidR="008C2B44" w:rsidRDefault="009464A9">
      <w:pPr>
        <w:pStyle w:val="FirstParagraph"/>
      </w:pPr>
      <w:r>
        <w:t>L’analyse des graphes ne révèle aucun individu singulier.</w:t>
      </w:r>
    </w:p>
    <w:p w:rsidR="008C2B44" w:rsidRDefault="009464A9">
      <w:r>
        <w:pict>
          <v:rect id="_x0000_i1026" style="width:0;height:1.5pt" o:hralign="center" o:hrstd="t" o:hr="t"/>
        </w:pict>
      </w:r>
    </w:p>
    <w:p w:rsidR="008C2B44" w:rsidRDefault="009464A9">
      <w:pPr>
        <w:pStyle w:val="Titre3"/>
      </w:pPr>
      <w:bookmarkStart w:id="2" w:name="distribution-de-linertie"/>
      <w:bookmarkEnd w:id="1"/>
      <w:r>
        <w:t>2. Distribution de l’inertie</w:t>
      </w:r>
    </w:p>
    <w:p w:rsidR="008C2B44" w:rsidRDefault="009464A9">
      <w:pPr>
        <w:pStyle w:val="FirstParagraph"/>
      </w:pPr>
      <w:r>
        <w:t>L’inertie des axes factoriels indique d’une part si les variables sont structurées et suggère d’autre part le nombre judicieux de composantes principales à étudier.</w:t>
      </w:r>
    </w:p>
    <w:p w:rsidR="008C2B44" w:rsidRDefault="009464A9">
      <w:pPr>
        <w:pStyle w:val="Corpsdetexte"/>
      </w:pPr>
      <w:r>
        <w:t xml:space="preserve">Les 2 premiers axes de l’ analyse expriment </w:t>
      </w:r>
      <w:r>
        <w:rPr>
          <w:b/>
          <w:bCs/>
        </w:rPr>
        <w:t>54.16%</w:t>
      </w:r>
      <w:r>
        <w:t xml:space="preserve"> de l’inerti</w:t>
      </w:r>
      <w:r>
        <w:t>e totale du jeu de données ; cela signifie que 54.16% de la variabilité totale du nuage des individus (ou des variables) est représentée dans ce plan. C’est un pourcentage assez important, et le premier plan représente donc convenablement la variabilité co</w:t>
      </w:r>
      <w:r>
        <w:t xml:space="preserve">ntenue dans une grande part du jeu de données actif. Cette valeur est nettement supérieure à la valeur référence de </w:t>
      </w:r>
      <w:r>
        <w:rPr>
          <w:b/>
          <w:bCs/>
        </w:rPr>
        <w:t>34.05%</w:t>
      </w:r>
      <w:r>
        <w:t xml:space="preserve">, la variabilité expliquée par ce plan est donc hautement significative (cette intertie de référence est le quantile 0.95-quantile de </w:t>
      </w:r>
      <w:r>
        <w:t>la distribution des pourcentages d’inertie obtenue en simulant 2793 jeux de données aléatoires de dimensions comparables sur la base d’une distribution normale).</w:t>
      </w:r>
    </w:p>
    <w:p w:rsidR="008C2B44" w:rsidRDefault="009464A9">
      <w:pPr>
        <w:pStyle w:val="Corpsdetexte"/>
      </w:pPr>
      <w:r>
        <w:t>Du fait de ces observations, il serait tout de même probablement préférable de considérer égal</w:t>
      </w:r>
      <w:r>
        <w:t>ement dans l’analyse les dimensions supérieures ou égales à la troisième.</w:t>
      </w:r>
    </w:p>
    <w:p w:rsidR="008C2B44" w:rsidRDefault="009464A9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5082138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2021-08-0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44" w:rsidRDefault="009464A9">
      <w:pPr>
        <w:pStyle w:val="Corpsdetexte"/>
      </w:pPr>
      <w:r>
        <w:rPr>
          <w:b/>
          <w:bCs/>
        </w:rPr>
        <w:t>Figure 2 - Décomposition de l’inertie totale</w:t>
      </w:r>
    </w:p>
    <w:p w:rsidR="008C2B44" w:rsidRDefault="009464A9">
      <w:pPr>
        <w:pStyle w:val="Corpsdetexte"/>
      </w:pPr>
      <w:r>
        <w:t>Une estimation du nombre pertinent d’axes à interpréter suggère de restreindre l’analyse à la description des 1 premiers axes. Ces comp</w:t>
      </w:r>
      <w:r>
        <w:t>osantes révèlent un taux d’inertie supérieur à celle du quantile 0.95-quantile de distributions aléatoires (39.66% contre 19.1%). Cette observation suggère que seul cet axe est porteur d’une véritable information. En conséquence, la description de l’analys</w:t>
      </w:r>
      <w:r>
        <w:t>e sera restreinte à ces seuls axes.</w:t>
      </w:r>
    </w:p>
    <w:p w:rsidR="008C2B44" w:rsidRDefault="009464A9">
      <w:r>
        <w:pict>
          <v:rect id="_x0000_i1027" style="width:0;height:1.5pt" o:hralign="center" o:hrstd="t" o:hr="t"/>
        </w:pict>
      </w:r>
    </w:p>
    <w:p w:rsidR="008C2B44" w:rsidRDefault="009464A9">
      <w:pPr>
        <w:pStyle w:val="Titre3"/>
      </w:pPr>
      <w:bookmarkStart w:id="3" w:name="description-de-la-dimension-1"/>
      <w:bookmarkEnd w:id="2"/>
      <w:r>
        <w:lastRenderedPageBreak/>
        <w:t>3. Description de la dimension 1</w:t>
      </w:r>
    </w:p>
    <w:p w:rsidR="008C2B44" w:rsidRDefault="009464A9">
      <w:pPr>
        <w:pStyle w:val="FirstParagraph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2021-08-0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44" w:rsidRDefault="009464A9">
      <w:pPr>
        <w:pStyle w:val="Corpsdetexte"/>
      </w:pPr>
      <w:r>
        <w:rPr>
          <w:b/>
          <w:bCs/>
        </w:rPr>
        <w:t>Figure 3.1 - Graphe des individus (ACP)</w:t>
      </w:r>
      <w:r>
        <w:t xml:space="preserve"> </w:t>
      </w:r>
      <w:r>
        <w:rPr>
          <w:i/>
          <w:iCs/>
        </w:rPr>
        <w:t>Les individus libellés sont ceux ayant la plus grande contribution à la construction du plan.</w:t>
      </w:r>
    </w:p>
    <w:p w:rsidR="008C2B44" w:rsidRDefault="009464A9">
      <w:pPr>
        <w:pStyle w:val="Corpsdetexte"/>
      </w:pPr>
      <w:r>
        <w:t xml:space="preserve">La probabilité critique du test de Wilks indique </w:t>
      </w:r>
      <w:r>
        <w:t>la variable dont les modalités sépare au mieux les individus sur le plan (i.e. qui explique au mieux les distances entre individus).</w:t>
      </w:r>
    </w:p>
    <w:p w:rsidR="008C2B44" w:rsidRDefault="009464A9">
      <w:pPr>
        <w:pStyle w:val="SourceCode"/>
      </w:pPr>
      <w:r>
        <w:rPr>
          <w:rStyle w:val="VerbatimChar"/>
        </w:rPr>
        <w:t xml:space="preserve">## Competition </w:t>
      </w:r>
      <w:r>
        <w:br/>
      </w:r>
      <w:r>
        <w:rPr>
          <w:rStyle w:val="VerbatimChar"/>
        </w:rPr>
        <w:t>##   0.7384367</w:t>
      </w:r>
    </w:p>
    <w:p w:rsidR="008C2B44" w:rsidRDefault="009464A9">
      <w:pPr>
        <w:pStyle w:val="FirstParagraph"/>
      </w:pPr>
      <w:r>
        <w:t>Il n’y a qu’une unique variable qualitative possible pour illustrer les distances entre indi</w:t>
      </w:r>
      <w:r>
        <w:t xml:space="preserve">vidus : </w:t>
      </w:r>
      <w:r>
        <w:rPr>
          <w:i/>
          <w:iCs/>
        </w:rPr>
        <w:t>Competition</w:t>
      </w:r>
      <w:r>
        <w:t>.</w:t>
      </w:r>
    </w:p>
    <w:p w:rsidR="008C2B44" w:rsidRDefault="009464A9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5082138" cy="32340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2021-08-0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44" w:rsidRDefault="009464A9">
      <w:pPr>
        <w:pStyle w:val="Corpsdetexte"/>
      </w:pPr>
      <w:r>
        <w:rPr>
          <w:b/>
          <w:bCs/>
        </w:rPr>
        <w:t>Figure 3.2 - Graphe des individus (ACP)</w:t>
      </w:r>
      <w:r>
        <w:t xml:space="preserve"> </w:t>
      </w:r>
      <w:r>
        <w:rPr>
          <w:i/>
          <w:iCs/>
        </w:rPr>
        <w:t>Les individus libellés sont ceux ayant la plus grande contribution à la construction du plan.</w:t>
      </w:r>
      <w:r>
        <w:t xml:space="preserve"> </w:t>
      </w:r>
      <w:r>
        <w:rPr>
          <w:i/>
          <w:iCs/>
        </w:rPr>
        <w:t>Les individus sont colorés selon leur appartenance aux modalités de la variable</w:t>
      </w:r>
      <w:r>
        <w:t xml:space="preserve"> Competition.</w:t>
      </w:r>
    </w:p>
    <w:p w:rsidR="008C2B44" w:rsidRDefault="009464A9">
      <w:pPr>
        <w:pStyle w:val="Corpsdetexte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2021-08-0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44" w:rsidRDefault="009464A9">
      <w:pPr>
        <w:pStyle w:val="Corpsdetexte"/>
      </w:pPr>
      <w:r>
        <w:rPr>
          <w:b/>
          <w:bCs/>
        </w:rPr>
        <w:t>Figu</w:t>
      </w:r>
      <w:r>
        <w:rPr>
          <w:b/>
          <w:bCs/>
        </w:rPr>
        <w:t>re 3.3 - Graphe des variables (ACP)</w:t>
      </w:r>
      <w:r>
        <w:t xml:space="preserve"> </w:t>
      </w:r>
      <w:r>
        <w:rPr>
          <w:i/>
          <w:iCs/>
        </w:rPr>
        <w:t>Les variables libellées sont celles les mieux représentées sur le plan.</w:t>
      </w:r>
    </w:p>
    <w:p w:rsidR="008C2B44" w:rsidRDefault="009464A9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5082138" cy="323408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2021-08-07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44" w:rsidRDefault="009464A9">
      <w:pPr>
        <w:pStyle w:val="Corpsdetexte"/>
      </w:pPr>
      <w:r>
        <w:rPr>
          <w:b/>
          <w:bCs/>
        </w:rPr>
        <w:t>Figure 3.4 - Graphe des modalités (ACP)</w:t>
      </w:r>
      <w:r>
        <w:t xml:space="preserve"> </w:t>
      </w:r>
      <w:r>
        <w:rPr>
          <w:i/>
          <w:iCs/>
        </w:rPr>
        <w:t>Les facteurs libellés sont ceux les mieux représentés sur le plan.</w:t>
      </w:r>
    </w:p>
    <w:p w:rsidR="008C2B44" w:rsidRDefault="009464A9">
      <w:r>
        <w:pict>
          <v:rect id="_x0000_i1028" style="width:0;height:1.5pt" o:hralign="center" o:hrstd="t" o:hr="t"/>
        </w:pict>
      </w:r>
    </w:p>
    <w:p w:rsidR="008C2B44" w:rsidRDefault="009464A9">
      <w:pPr>
        <w:pStyle w:val="FirstParagraph"/>
      </w:pPr>
      <w:r>
        <w:t xml:space="preserve">La </w:t>
      </w:r>
      <w:r>
        <w:rPr>
          <w:b/>
          <w:bCs/>
        </w:rPr>
        <w:t>dimension 1</w:t>
      </w:r>
      <w:r>
        <w:t xml:space="preserve"> </w:t>
      </w:r>
      <w:r>
        <w:t xml:space="preserve">oppose des individus tels que </w:t>
      </w:r>
      <w:r>
        <w:rPr>
          <w:i/>
          <w:iCs/>
        </w:rPr>
        <w:t>Sebrle</w:t>
      </w:r>
      <w:r>
        <w:t xml:space="preserve">, </w:t>
      </w:r>
      <w:r>
        <w:rPr>
          <w:i/>
          <w:iCs/>
        </w:rPr>
        <w:t>Karpov</w:t>
      </w:r>
      <w:r>
        <w:t xml:space="preserve">, </w:t>
      </w:r>
      <w:r>
        <w:rPr>
          <w:i/>
          <w:iCs/>
        </w:rPr>
        <w:t>Clay</w:t>
      </w:r>
      <w:r>
        <w:t xml:space="preserve"> et </w:t>
      </w:r>
      <w:r>
        <w:rPr>
          <w:i/>
          <w:iCs/>
        </w:rPr>
        <w:t>Macey</w:t>
      </w:r>
      <w:r>
        <w:t xml:space="preserve"> (à droite du graphe, caractérisés par une coordonnée fortement positive sur l’axe) à des individus comme </w:t>
      </w:r>
      <w:r>
        <w:rPr>
          <w:i/>
          <w:iCs/>
        </w:rPr>
        <w:t>Casarsa</w:t>
      </w:r>
      <w:r>
        <w:t xml:space="preserve">, </w:t>
      </w:r>
      <w:r>
        <w:rPr>
          <w:i/>
          <w:iCs/>
        </w:rPr>
        <w:t>Uldal</w:t>
      </w:r>
      <w:r>
        <w:t xml:space="preserve">, </w:t>
      </w:r>
      <w:r>
        <w:rPr>
          <w:i/>
          <w:iCs/>
        </w:rPr>
        <w:t>BOURGUIGNON</w:t>
      </w:r>
      <w:r>
        <w:t xml:space="preserve">, </w:t>
      </w:r>
      <w:r>
        <w:rPr>
          <w:i/>
          <w:iCs/>
        </w:rPr>
        <w:t>Lorenzo</w:t>
      </w:r>
      <w:r>
        <w:t xml:space="preserve">, </w:t>
      </w:r>
      <w:r>
        <w:rPr>
          <w:i/>
          <w:iCs/>
        </w:rPr>
        <w:t>Karlivans</w:t>
      </w:r>
      <w:r>
        <w:t xml:space="preserve">, </w:t>
      </w:r>
      <w:r>
        <w:rPr>
          <w:i/>
          <w:iCs/>
        </w:rPr>
        <w:t>NOOL</w:t>
      </w:r>
      <w:r>
        <w:t xml:space="preserve">, </w:t>
      </w:r>
      <w:r>
        <w:rPr>
          <w:i/>
          <w:iCs/>
        </w:rPr>
        <w:t>Parkhomenko</w:t>
      </w:r>
      <w:r>
        <w:t xml:space="preserve"> et </w:t>
      </w:r>
      <w:r>
        <w:rPr>
          <w:i/>
          <w:iCs/>
        </w:rPr>
        <w:t>Korkizoglou</w:t>
      </w:r>
      <w:r>
        <w:t xml:space="preserve"> </w:t>
      </w:r>
      <w:r>
        <w:t>(à gauche du graphe, caractérisés par une coordonnée fortement négative sur l’axe).</w:t>
      </w:r>
    </w:p>
    <w:p w:rsidR="008C2B44" w:rsidRDefault="009464A9">
      <w:pPr>
        <w:pStyle w:val="Corpsdetexte"/>
      </w:pPr>
      <w:r>
        <w:t xml:space="preserve">Le groupe auquel les individus </w:t>
      </w:r>
      <w:r>
        <w:rPr>
          <w:i/>
          <w:iCs/>
        </w:rPr>
        <w:t>Sebrle</w:t>
      </w:r>
      <w:r>
        <w:t xml:space="preserve">, </w:t>
      </w:r>
      <w:r>
        <w:rPr>
          <w:i/>
          <w:iCs/>
        </w:rPr>
        <w:t>Karpov</w:t>
      </w:r>
      <w:r>
        <w:t xml:space="preserve">, </w:t>
      </w:r>
      <w:r>
        <w:rPr>
          <w:i/>
          <w:iCs/>
        </w:rPr>
        <w:t>Clay</w:t>
      </w:r>
      <w:r>
        <w:t xml:space="preserve"> et </w:t>
      </w:r>
      <w:r>
        <w:rPr>
          <w:i/>
          <w:iCs/>
        </w:rPr>
        <w:t>Macey</w:t>
      </w:r>
      <w:r>
        <w:t xml:space="preserve"> appartiennent (caractérisés par une coordonnée positive sur l’axe) partage :</w:t>
      </w:r>
    </w:p>
    <w:p w:rsidR="008C2B44" w:rsidRDefault="009464A9">
      <w:pPr>
        <w:pStyle w:val="Compact"/>
        <w:numPr>
          <w:ilvl w:val="0"/>
          <w:numId w:val="2"/>
        </w:numPr>
      </w:pPr>
      <w:r>
        <w:t>de fortes valeurs pour les variabl</w:t>
      </w:r>
      <w:r>
        <w:t xml:space="preserve">es </w:t>
      </w:r>
      <w:r>
        <w:rPr>
          <w:i/>
          <w:iCs/>
        </w:rPr>
        <w:t>Hauteur</w:t>
      </w:r>
      <w:r>
        <w:t xml:space="preserve">, </w:t>
      </w:r>
      <w:r>
        <w:rPr>
          <w:i/>
          <w:iCs/>
        </w:rPr>
        <w:t>Points</w:t>
      </w:r>
      <w:r>
        <w:t xml:space="preserve">, </w:t>
      </w:r>
      <w:r>
        <w:rPr>
          <w:i/>
          <w:iCs/>
        </w:rPr>
        <w:t>Disque</w:t>
      </w:r>
      <w:r>
        <w:t xml:space="preserve">, </w:t>
      </w:r>
      <w:r>
        <w:rPr>
          <w:i/>
          <w:iCs/>
        </w:rPr>
        <w:t>Poids</w:t>
      </w:r>
      <w:r>
        <w:t xml:space="preserve">, </w:t>
      </w:r>
      <w:r>
        <w:rPr>
          <w:i/>
          <w:iCs/>
        </w:rPr>
        <w:t>Javelot</w:t>
      </w:r>
      <w:r>
        <w:t xml:space="preserve"> et </w:t>
      </w:r>
      <w:r>
        <w:rPr>
          <w:i/>
          <w:iCs/>
        </w:rPr>
        <w:t>Longueur</w:t>
      </w:r>
      <w:r>
        <w:t xml:space="preserve"> (de la plus extrême à la moins extrême).</w:t>
      </w:r>
    </w:p>
    <w:p w:rsidR="008C2B44" w:rsidRDefault="009464A9">
      <w:pPr>
        <w:pStyle w:val="Compact"/>
        <w:numPr>
          <w:ilvl w:val="0"/>
          <w:numId w:val="2"/>
        </w:numPr>
      </w:pPr>
      <w:r>
        <w:t xml:space="preserve">de faibles valeurs pour les variables </w:t>
      </w:r>
      <w:r>
        <w:rPr>
          <w:i/>
          <w:iCs/>
        </w:rPr>
        <w:t>Classement</w:t>
      </w:r>
      <w:r>
        <w:t xml:space="preserve"> et </w:t>
      </w:r>
      <w:r>
        <w:rPr>
          <w:i/>
          <w:iCs/>
        </w:rPr>
        <w:t>100m</w:t>
      </w:r>
      <w:r>
        <w:t xml:space="preserve"> (de la plus extrême à la moins extrême).</w:t>
      </w:r>
    </w:p>
    <w:p w:rsidR="008C2B44" w:rsidRDefault="009464A9">
      <w:pPr>
        <w:pStyle w:val="FirstParagraph"/>
      </w:pPr>
      <w:r>
        <w:t xml:space="preserve">Le groupe auquel les individus </w:t>
      </w:r>
      <w:r>
        <w:rPr>
          <w:i/>
          <w:iCs/>
        </w:rPr>
        <w:t>Uldal</w:t>
      </w:r>
      <w:r>
        <w:t xml:space="preserve">, </w:t>
      </w:r>
      <w:r>
        <w:rPr>
          <w:i/>
          <w:iCs/>
        </w:rPr>
        <w:t>BOURGUIGNON</w:t>
      </w:r>
      <w:r>
        <w:t xml:space="preserve">, </w:t>
      </w:r>
      <w:r>
        <w:rPr>
          <w:i/>
          <w:iCs/>
        </w:rPr>
        <w:t>Lorenzo</w:t>
      </w:r>
      <w:r>
        <w:t xml:space="preserve">, </w:t>
      </w:r>
      <w:r>
        <w:rPr>
          <w:i/>
          <w:iCs/>
        </w:rPr>
        <w:t>Ka</w:t>
      </w:r>
      <w:r>
        <w:rPr>
          <w:i/>
          <w:iCs/>
        </w:rPr>
        <w:t>rlivans</w:t>
      </w:r>
      <w:r>
        <w:t xml:space="preserve"> et </w:t>
      </w:r>
      <w:r>
        <w:rPr>
          <w:i/>
          <w:iCs/>
        </w:rPr>
        <w:t>NOOL</w:t>
      </w:r>
      <w:r>
        <w:t xml:space="preserve"> appartiennent (caractérisés par une coordonnées négative sur l’axe) partage :</w:t>
      </w:r>
    </w:p>
    <w:p w:rsidR="008C2B44" w:rsidRDefault="009464A9">
      <w:pPr>
        <w:pStyle w:val="Compact"/>
        <w:numPr>
          <w:ilvl w:val="0"/>
          <w:numId w:val="3"/>
        </w:numPr>
      </w:pPr>
      <w:r>
        <w:t xml:space="preserve">de fortes valeurs pour les variables </w:t>
      </w:r>
      <w:r>
        <w:rPr>
          <w:i/>
          <w:iCs/>
        </w:rPr>
        <w:t>100m</w:t>
      </w:r>
      <w:r>
        <w:t xml:space="preserve"> et </w:t>
      </w:r>
      <w:r>
        <w:rPr>
          <w:i/>
          <w:iCs/>
        </w:rPr>
        <w:t>110m.H</w:t>
      </w:r>
      <w:r>
        <w:t xml:space="preserve"> (de la plus extrême à la moins extrême).</w:t>
      </w:r>
    </w:p>
    <w:p w:rsidR="008C2B44" w:rsidRDefault="009464A9">
      <w:pPr>
        <w:pStyle w:val="Compact"/>
        <w:numPr>
          <w:ilvl w:val="0"/>
          <w:numId w:val="3"/>
        </w:numPr>
      </w:pPr>
      <w:r>
        <w:t xml:space="preserve">de faibles valeurs pour les variables </w:t>
      </w:r>
      <w:r>
        <w:rPr>
          <w:i/>
          <w:iCs/>
        </w:rPr>
        <w:t>Poids</w:t>
      </w:r>
      <w:r>
        <w:t xml:space="preserve">, </w:t>
      </w:r>
      <w:r>
        <w:rPr>
          <w:i/>
          <w:iCs/>
        </w:rPr>
        <w:t>Points</w:t>
      </w:r>
      <w:r>
        <w:t xml:space="preserve">, </w:t>
      </w:r>
      <w:r>
        <w:rPr>
          <w:i/>
          <w:iCs/>
        </w:rPr>
        <w:t>Hauteur</w:t>
      </w:r>
      <w:r>
        <w:t xml:space="preserve"> et </w:t>
      </w:r>
      <w:r>
        <w:rPr>
          <w:i/>
          <w:iCs/>
        </w:rPr>
        <w:t>Disqu</w:t>
      </w:r>
      <w:r>
        <w:rPr>
          <w:i/>
          <w:iCs/>
        </w:rPr>
        <w:t>e</w:t>
      </w:r>
      <w:r>
        <w:t xml:space="preserve"> (de la plus extrême à la moins extrême).</w:t>
      </w:r>
    </w:p>
    <w:p w:rsidR="008C2B44" w:rsidRDefault="009464A9">
      <w:pPr>
        <w:pStyle w:val="FirstParagraph"/>
      </w:pPr>
      <w:r>
        <w:t xml:space="preserve">Le groupe auquel les individus </w:t>
      </w:r>
      <w:r>
        <w:rPr>
          <w:i/>
          <w:iCs/>
        </w:rPr>
        <w:t>Casarsa</w:t>
      </w:r>
      <w:r>
        <w:t xml:space="preserve">, </w:t>
      </w:r>
      <w:r>
        <w:rPr>
          <w:i/>
          <w:iCs/>
        </w:rPr>
        <w:t>Parkhomenko</w:t>
      </w:r>
      <w:r>
        <w:t xml:space="preserve"> et </w:t>
      </w:r>
      <w:r>
        <w:rPr>
          <w:i/>
          <w:iCs/>
        </w:rPr>
        <w:t>Korkizoglou</w:t>
      </w:r>
      <w:r>
        <w:t xml:space="preserve"> appartiennent (caractérisés par une coordonnées négative sur l’axe) partage :</w:t>
      </w:r>
    </w:p>
    <w:p w:rsidR="008C2B44" w:rsidRDefault="009464A9">
      <w:pPr>
        <w:pStyle w:val="Compact"/>
        <w:numPr>
          <w:ilvl w:val="0"/>
          <w:numId w:val="4"/>
        </w:numPr>
      </w:pPr>
      <w:r>
        <w:lastRenderedPageBreak/>
        <w:t xml:space="preserve">de fortes valeurs pour les variables </w:t>
      </w:r>
      <w:r>
        <w:rPr>
          <w:i/>
          <w:iCs/>
        </w:rPr>
        <w:t>400m</w:t>
      </w:r>
      <w:r>
        <w:t xml:space="preserve">, </w:t>
      </w:r>
      <w:r>
        <w:rPr>
          <w:i/>
          <w:iCs/>
        </w:rPr>
        <w:t>1500m</w:t>
      </w:r>
      <w:r>
        <w:t xml:space="preserve"> et </w:t>
      </w:r>
      <w:r>
        <w:rPr>
          <w:i/>
          <w:iCs/>
        </w:rPr>
        <w:t>Classement</w:t>
      </w:r>
      <w:r>
        <w:t xml:space="preserve"> (de l</w:t>
      </w:r>
      <w:r>
        <w:t>a plus extrême à la moins extrême).</w:t>
      </w:r>
    </w:p>
    <w:p w:rsidR="008C2B44" w:rsidRDefault="009464A9">
      <w:pPr>
        <w:pStyle w:val="Compact"/>
        <w:numPr>
          <w:ilvl w:val="0"/>
          <w:numId w:val="4"/>
        </w:numPr>
      </w:pPr>
      <w:r>
        <w:t xml:space="preserve">de faibles valeurs pour la variable </w:t>
      </w:r>
      <w:r>
        <w:rPr>
          <w:i/>
          <w:iCs/>
        </w:rPr>
        <w:t>Longueur</w:t>
      </w:r>
      <w:r>
        <w:t>.</w:t>
      </w:r>
    </w:p>
    <w:p w:rsidR="008C2B44" w:rsidRDefault="009464A9">
      <w:pPr>
        <w:pStyle w:val="FirstParagraph"/>
      </w:pPr>
      <w:r>
        <w:t xml:space="preserve">Notons que la variable </w:t>
      </w:r>
      <w:r>
        <w:rPr>
          <w:i/>
          <w:iCs/>
        </w:rPr>
        <w:t>Points</w:t>
      </w:r>
      <w:r>
        <w:t xml:space="preserve"> est extrêmement corrélée à cette dimension (corrélation de 0.96). Cette variable pourrait donc résumer à elle seule la dimension 1.</w:t>
      </w:r>
    </w:p>
    <w:p w:rsidR="008C2B44" w:rsidRDefault="009464A9">
      <w:r>
        <w:pict>
          <v:rect id="_x0000_i1029" style="width:0;height:1.5pt" o:hralign="center" o:hrstd="t" o:hr="t"/>
        </w:pict>
      </w:r>
    </w:p>
    <w:p w:rsidR="008C2B44" w:rsidRDefault="009464A9">
      <w:r>
        <w:pict>
          <v:rect id="_x0000_i1030" style="width:0;height:1.5pt" o:hralign="center" o:hrstd="t" o:hr="t"/>
        </w:pict>
      </w:r>
    </w:p>
    <w:p w:rsidR="008C2B44" w:rsidRDefault="009464A9">
      <w:pPr>
        <w:pStyle w:val="Titre2"/>
      </w:pPr>
      <w:bookmarkStart w:id="4" w:name="annexes"/>
      <w:bookmarkEnd w:id="3"/>
      <w:r>
        <w:t>Annexes</w:t>
      </w:r>
      <w:bookmarkEnd w:id="4"/>
    </w:p>
    <w:sectPr w:rsidR="008C2B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4A9" w:rsidRDefault="009464A9">
      <w:pPr>
        <w:spacing w:after="0"/>
      </w:pPr>
      <w:r>
        <w:separator/>
      </w:r>
    </w:p>
  </w:endnote>
  <w:endnote w:type="continuationSeparator" w:id="0">
    <w:p w:rsidR="009464A9" w:rsidRDefault="00946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4A9" w:rsidRDefault="009464A9">
      <w:r>
        <w:separator/>
      </w:r>
    </w:p>
  </w:footnote>
  <w:footnote w:type="continuationSeparator" w:id="0">
    <w:p w:rsidR="009464A9" w:rsidRDefault="00946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40EC8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13657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C2B44"/>
    <w:rsid w:val="008D6863"/>
    <w:rsid w:val="009464A9"/>
    <w:rsid w:val="00B86B75"/>
    <w:rsid w:val="00BC48D5"/>
    <w:rsid w:val="00BD1FB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68DC4-0EED-45A8-957C-15916B23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en Composantes Principales</vt:lpstr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</dc:title>
  <dc:creator>Jeu de données restau</dc:creator>
  <cp:keywords/>
  <cp:lastModifiedBy>MAKAIMARA</cp:lastModifiedBy>
  <cp:revision>2</cp:revision>
  <dcterms:created xsi:type="dcterms:W3CDTF">2021-08-07T17:31:00Z</dcterms:created>
  <dcterms:modified xsi:type="dcterms:W3CDTF">2021-08-07T17:31:00Z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