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F62BE7" w14:textId="77777777" w:rsidR="00BF57C6" w:rsidRDefault="00000000">
      <w:pPr>
        <w:pStyle w:val="Title"/>
      </w:pPr>
      <w:r>
        <w:t>Estimating missing trait data in comparative biology using Bayesian Augmentation by Chained Equations: the BACE R package</w:t>
      </w:r>
    </w:p>
    <w:p w14:paraId="4FFEE873" w14:textId="77777777" w:rsidR="00BF57C6" w:rsidRDefault="00000000">
      <w:pPr>
        <w:pStyle w:val="FirstParagraph"/>
      </w:pPr>
      <w:r>
        <w:t>Daniel W. A. Noble</w:t>
      </w:r>
      <w:r>
        <w:rPr>
          <w:vertAlign w:val="superscript"/>
        </w:rPr>
        <w:t>1</w:t>
      </w:r>
      <w:r>
        <w:t>, Szymon M. Drobniak</w:t>
      </w:r>
      <w:r>
        <w:rPr>
          <w:vertAlign w:val="superscript"/>
        </w:rPr>
        <w:t>2,3</w:t>
      </w:r>
      <w:r>
        <w:t>, Ayumi Mizuno</w:t>
      </w:r>
      <w:r>
        <w:rPr>
          <w:vertAlign w:val="superscript"/>
        </w:rPr>
        <w:t>4</w:t>
      </w:r>
      <w:r>
        <w:t>, Patrice Pottier</w:t>
      </w:r>
      <w:r>
        <w:rPr>
          <w:vertAlign w:val="superscript"/>
        </w:rPr>
        <w:t>5</w:t>
      </w:r>
      <w:r>
        <w:t>, Shinichi Nakagawa</w:t>
      </w:r>
      <w:r>
        <w:rPr>
          <w:vertAlign w:val="superscript"/>
        </w:rPr>
        <w:t>3,4</w:t>
      </w:r>
    </w:p>
    <w:p w14:paraId="01287213" w14:textId="77777777" w:rsidR="00BF57C6" w:rsidRDefault="00000000">
      <w:pPr>
        <w:pStyle w:val="BodyText"/>
      </w:pPr>
      <w:r>
        <w:rPr>
          <w:vertAlign w:val="superscript"/>
        </w:rPr>
        <w:t>1</w:t>
      </w:r>
      <w:r>
        <w:t xml:space="preserve"> Division of Ecology and Evolution, Research School of Biology, The Australian National University, Canberra, ACT, Australia</w:t>
      </w:r>
    </w:p>
    <w:p w14:paraId="07AD04C5" w14:textId="77777777" w:rsidR="00BF57C6" w:rsidRDefault="00000000">
      <w:pPr>
        <w:pStyle w:val="BodyText"/>
      </w:pPr>
      <w:r>
        <w:rPr>
          <w:vertAlign w:val="superscript"/>
        </w:rPr>
        <w:t>2</w:t>
      </w:r>
      <w:r>
        <w:t xml:space="preserve"> Institute of Environmental Sciences, Faculty of Biology, Jagiellonian University, Kraków, Poland</w:t>
      </w:r>
    </w:p>
    <w:p w14:paraId="139CA015" w14:textId="77777777" w:rsidR="00BF57C6" w:rsidRDefault="00000000">
      <w:pPr>
        <w:pStyle w:val="BodyText"/>
      </w:pPr>
      <w:r>
        <w:rPr>
          <w:vertAlign w:val="superscript"/>
        </w:rPr>
        <w:t>3</w:t>
      </w:r>
      <w:r>
        <w:t xml:space="preserve"> School of Biological, Earth and Environmental Sciences, University of New South Wales, Sydney, NSW, Australia</w:t>
      </w:r>
    </w:p>
    <w:p w14:paraId="7AB6128A" w14:textId="77777777" w:rsidR="00BF57C6" w:rsidRDefault="00000000">
      <w:pPr>
        <w:pStyle w:val="BodyText"/>
      </w:pPr>
      <w:r>
        <w:rPr>
          <w:vertAlign w:val="superscript"/>
        </w:rPr>
        <w:t>4</w:t>
      </w:r>
      <w:r>
        <w:t xml:space="preserve"> Department of Biological Sciences, Faculty of Science, University of Alberta, Edmonton, Alberta, Canada</w:t>
      </w:r>
    </w:p>
    <w:p w14:paraId="35F23693" w14:textId="77777777" w:rsidR="00BF57C6" w:rsidRDefault="00000000">
      <w:pPr>
        <w:pStyle w:val="BodyText"/>
      </w:pPr>
      <w:r>
        <w:rPr>
          <w:vertAlign w:val="superscript"/>
        </w:rPr>
        <w:t>5</w:t>
      </w:r>
      <w:r>
        <w:t xml:space="preserve"> Department of Biological and Environmental Sciences, University of Gothenburg, Gothenburg, Sweden</w:t>
      </w:r>
    </w:p>
    <w:p w14:paraId="28247FFE" w14:textId="77777777" w:rsidR="00BF57C6" w:rsidRDefault="00000000">
      <w:pPr>
        <w:pStyle w:val="Heading1"/>
      </w:pPr>
      <w:bookmarkStart w:id="0" w:name="abstract"/>
      <w:r>
        <w:t>Abstract</w:t>
      </w:r>
    </w:p>
    <w:p w14:paraId="1B4EFDE8" w14:textId="77777777" w:rsidR="00BF57C6" w:rsidRDefault="00000000">
      <w:pPr>
        <w:pStyle w:val="Compact"/>
        <w:numPr>
          <w:ilvl w:val="0"/>
          <w:numId w:val="2"/>
        </w:numPr>
      </w:pPr>
      <w:r>
        <w:t>Missing trait data are pervasive in comparative datasets limiting the types of questions that can be tested and compromising the power of comparative analyses. Standard approaches, such as complete-case analyses and single imputation, can bias inference and underestimate uncertainty, particularly when missing data is non-random. While robust imputation methods exits, many existing software are restricted to imputing only continuous or count variables and lack the capacity to impute discrete / categorical traits (e.g., multinomial, ordered categorical), which are common trait types in comparative datasets. Such limitations have prevented the widespread use of imputation approaches in comparative biology.</w:t>
      </w:r>
    </w:p>
    <w:p w14:paraId="406F5D76" w14:textId="77777777" w:rsidR="00BF57C6" w:rsidRDefault="00000000">
      <w:pPr>
        <w:pStyle w:val="Compact"/>
        <w:numPr>
          <w:ilvl w:val="0"/>
          <w:numId w:val="2"/>
        </w:numPr>
      </w:pPr>
      <w:r>
        <w:t xml:space="preserve">We introduce </w:t>
      </w:r>
      <w:r>
        <w:rPr>
          <w:i/>
          <w:iCs/>
        </w:rPr>
        <w:t>BACE</w:t>
      </w:r>
      <w:r>
        <w:t xml:space="preserve">, an R package implementing Bayesian Augmentation by Chained Equations for phylogenetic comparative data. </w:t>
      </w:r>
      <w:r>
        <w:rPr>
          <w:i/>
          <w:iCs/>
        </w:rPr>
        <w:t>BACE</w:t>
      </w:r>
      <w:r>
        <w:t xml:space="preserve"> enables imputation with phylogeny-informed covariance that can account for both phylogenetic and non-phylogenetic species effects, along with mixed data types, in a fully Bayesian pipeline. </w:t>
      </w:r>
      <w:r>
        <w:rPr>
          <w:i/>
          <w:iCs/>
        </w:rPr>
        <w:t>BACE</w:t>
      </w:r>
      <w:r>
        <w:t xml:space="preserve"> provides substantial flexibility in the imputation models fit, can decouple imputation models from analysis models, and propagates both parameter and imputation uncertainty in subsequent downstream analyses.</w:t>
      </w:r>
    </w:p>
    <w:p w14:paraId="0B6149D8" w14:textId="77777777" w:rsidR="00BF57C6" w:rsidRDefault="00000000">
      <w:pPr>
        <w:pStyle w:val="Compact"/>
        <w:numPr>
          <w:ilvl w:val="0"/>
          <w:numId w:val="2"/>
        </w:numPr>
      </w:pPr>
      <w:r>
        <w:t xml:space="preserve">We show using simulations that </w:t>
      </w:r>
      <w:r>
        <w:rPr>
          <w:i/>
          <w:iCs/>
        </w:rPr>
        <w:t>BACE</w:t>
      </w:r>
      <w:r>
        <w:t xml:space="preserve"> recovers missing trait values with a high degree of accuracy. Across 18 different scenarios that vary in sample size (n = 100, 300, 1000 species), phylogenetic signal (Pagel’s λ = 0.3, 0.7, 1) and trait correlation (ρ = 0, 0.5), we show </w:t>
      </w:r>
      <w:r>
        <w:rPr>
          <w:i/>
          <w:iCs/>
        </w:rPr>
        <w:t>BACE</w:t>
      </w:r>
      <w:r>
        <w:t xml:space="preserve"> recovers model parameters with little bias and nominal coverage. </w:t>
      </w:r>
      <w:r>
        <w:rPr>
          <w:i/>
          <w:iCs/>
        </w:rPr>
        <w:t>BACE</w:t>
      </w:r>
      <w:r>
        <w:t xml:space="preserve"> outperformed other comparable frequentist approaches. We illustrate </w:t>
      </w:r>
      <w:r>
        <w:rPr>
          <w:i/>
          <w:iCs/>
        </w:rPr>
        <w:t>BACE</w:t>
      </w:r>
      <w:r>
        <w:t xml:space="preserve"> using two case studies. The first imputes amphibian heat tolerance (continuous) under standardised conditions across 5,203 species using 2,661 experimental estimates from 524 species; 89.9% of species lack experimental measurements. The second uses AVONET data for 10,563 bird species to impute migratory behaviour (ordered categorical) and hand-wing index (continuous), </w:t>
      </w:r>
      <w:r>
        <w:lastRenderedPageBreak/>
        <w:t>addressing 17 naturally missing migration records (0.16%) and testing imputation after withholding approximately 20% of observed values for each trait.</w:t>
      </w:r>
    </w:p>
    <w:p w14:paraId="2E5A8C02" w14:textId="77777777" w:rsidR="00BF57C6" w:rsidRDefault="00000000">
      <w:pPr>
        <w:pStyle w:val="Heading1"/>
      </w:pPr>
      <w:bookmarkStart w:id="1" w:name="introduction"/>
      <w:bookmarkEnd w:id="0"/>
      <w:r>
        <w:t>Introduction</w:t>
      </w:r>
    </w:p>
    <w:p w14:paraId="62B9E677" w14:textId="77777777" w:rsidR="00BF57C6" w:rsidRDefault="00000000">
      <w:pPr>
        <w:pStyle w:val="FirstParagraph"/>
      </w:pPr>
      <w:r>
        <w:t>Phylogenetic comparative methods (PCMs) provide a framework for understanding how traits evolve and covary across species (Felsenstein, 1985; Grafen, 1989; Martins &amp; Hansen, 1997; Pagel, 1994). Expanding trait databases, increasingly comprehensive phylogenies, and greater access to environmental data are providing opportunities to investigate how evolutionary history and environmental conditions jointly shape variation and covariation among traits allowing a rich set of new evolutionary hypotheses to be tested (Blomberg &amp; Todorov, 2025; Halliwell et al., 2025). However, missing trait data limit the questions that can be addressed, and excluding species with incomplete records can reduce sample sizes, statistical power and precision (Blomberg &amp; Todorov, 2025; R. J. Little et al., 2024; Nakagawa &amp; Freckleton, 2008). When the availability of trait data depends on species’ characteristics, this exclusion can also bias estimates of trait relationships with significant consequences for inferences (Garamszegi &amp; Møller, 2011; González-Suárez et al., 2012; Nakagawa &amp; Freckleton, 2008). For example, incomplete trait coverage has been shown to alter inferred relationships between mammalian traits and extinction risk (González-Suárez et al., 2012). As such, there is a need for versatile and rigorous statistical approaches to deal with missing data in comparative biology.</w:t>
      </w:r>
    </w:p>
    <w:p w14:paraId="10CB56D9" w14:textId="77777777" w:rsidR="00BF57C6" w:rsidRDefault="00000000">
      <w:pPr>
        <w:pStyle w:val="BodyText"/>
      </w:pPr>
      <w:r>
        <w:t xml:space="preserve">Methods for handling missing data have a long history in statistics (R. J. A. Little &amp; Rubin, 2002; Schafer &amp; Graham, 2002). Approaches developed for comparative datasets include phylogenetic prediction of missing trait values (Bruggeman et al., 2009; Goolsby et al., 2017), as well as multiple-imputation procedures that account for phylogenetic and species-sampling uncertainty (Blomberg &amp; Todorov, 2025; Pottier et al., 2025). Missing values can be accommodated within model fitting, for example through Bayesian data augmentation, which samples missing values alongside model parameters (Tanner &amp; Wong, 1987). Alternatively, missing data can be handled in a multiple-imputation workflow, where </w:t>
      </w:r>
      <w:r>
        <w:rPr>
          <w:i/>
          <w:iCs/>
        </w:rPr>
        <w:t>m</w:t>
      </w:r>
      <w:r>
        <w:t xml:space="preserve"> complete datasets are generated and analysed separately. Parameter estimates and their variances are then combined, commonly using Rubin’s rules, to account for both within- and between-imputation uncertainty (Noble &amp; Nakagawa, 2021; Rubin, 1987). Multiple imputations can be generated using a joint model for all variables or separate conditional models linked through chained equations. Chained equations cycle through these models, drawing missing values for each incomplete variable using the latest values of the others. This approach, also called fully conditional specification, allows different models for continuous and categorical variables and provides substantial flexibility in model structure (Buuren &amp; Groothuis-Oudshoorn, 2011). Importantly, multiple imputation — like most missing-data methods — assumes data are missing at random (MAR), and the plausibility of this assumption rests on imputation models that include the traits covarying with both the missing values and the probability of missingness (Gelman &amp; Hill, 2007, 25; Noble &amp; Nakagawa, 2021; Schafer &amp; Graham, 2002). Because these relationships, and the types of the traits involved, differ from trait to trait, imputation requires substantial flexibility in the models fit to each one.</w:t>
      </w:r>
    </w:p>
    <w:p w14:paraId="63CF80B9" w14:textId="77777777" w:rsidR="00BF57C6" w:rsidRDefault="00000000">
      <w:pPr>
        <w:pStyle w:val="BodyText"/>
      </w:pPr>
      <w:r>
        <w:t>While a broad array of statistical methods and packages exist to deal with missing data, many are not suited to the datasets typical of comparative biology (</w:t>
      </w:r>
      <w:hyperlink w:anchor="tbl-software">
        <w:r>
          <w:rPr>
            <w:rStyle w:val="Hyperlink"/>
          </w:rPr>
          <w:t>Table 1</w:t>
        </w:r>
      </w:hyperlink>
      <w:r>
        <w:t xml:space="preserve">). A few packages can use the phylogeny in their imputation models (e.g., </w:t>
      </w:r>
      <w:r>
        <w:rPr>
          <w:i/>
          <w:iCs/>
        </w:rPr>
        <w:t>Rphylopars</w:t>
      </w:r>
      <w:r>
        <w:t xml:space="preserve">, </w:t>
      </w:r>
      <w:r>
        <w:rPr>
          <w:i/>
          <w:iCs/>
        </w:rPr>
        <w:t>phylomice</w:t>
      </w:r>
      <w:r>
        <w:t xml:space="preserve">, </w:t>
      </w:r>
      <w:r>
        <w:rPr>
          <w:i/>
          <w:iCs/>
        </w:rPr>
        <w:t>TDIP</w:t>
      </w:r>
      <w:r>
        <w:t xml:space="preserve">), but most cannot (e.g., </w:t>
      </w:r>
      <w:r>
        <w:rPr>
          <w:i/>
          <w:iCs/>
        </w:rPr>
        <w:t>mice</w:t>
      </w:r>
      <w:r>
        <w:t xml:space="preserve">, </w:t>
      </w:r>
      <w:r>
        <w:rPr>
          <w:i/>
          <w:iCs/>
        </w:rPr>
        <w:t>miceadds</w:t>
      </w:r>
      <w:r>
        <w:t xml:space="preserve">, </w:t>
      </w:r>
      <w:r>
        <w:rPr>
          <w:i/>
          <w:iCs/>
        </w:rPr>
        <w:t>jomo</w:t>
      </w:r>
      <w:r>
        <w:t xml:space="preserve">, </w:t>
      </w:r>
      <w:r>
        <w:rPr>
          <w:i/>
          <w:iCs/>
        </w:rPr>
        <w:t>pan</w:t>
      </w:r>
      <w:r>
        <w:t xml:space="preserve">; </w:t>
      </w:r>
      <w:hyperlink w:anchor="tbl-software">
        <w:r>
          <w:rPr>
            <w:rStyle w:val="Hyperlink"/>
          </w:rPr>
          <w:t>Table 1</w:t>
        </w:r>
      </w:hyperlink>
      <w:r>
        <w:t xml:space="preserve">). Moreover, the phylogeny-aware packages generally return a single completed dataset or single predicted values rather than multiple imputations, and most impute only continuous traits. A notable exception is </w:t>
      </w:r>
      <w:r>
        <w:rPr>
          <w:i/>
          <w:iCs/>
        </w:rPr>
        <w:t>TDIP</w:t>
      </w:r>
      <w:r>
        <w:t xml:space="preserve"> (Gendre et al., 2024), which combines phylogenetic and machine-learning methods in an ensemble and can impute discrete traits. However, it too returns single completed datasets, and it cannot handle multi-level data structures, count data, or ordered categorical traits (</w:t>
      </w:r>
      <w:hyperlink w:anchor="tbl-software">
        <w:r>
          <w:rPr>
            <w:rStyle w:val="Hyperlink"/>
          </w:rPr>
          <w:t>Table 1</w:t>
        </w:r>
      </w:hyperlink>
      <w:r>
        <w:t xml:space="preserve">). As such, there is a need for a statistically robust and flexible imputation approach that can handle multi-level data structures and a diversity of trait </w:t>
      </w:r>
      <w:r>
        <w:lastRenderedPageBreak/>
        <w:t>types, while ensuring imputation uncertainty is correctly accounted for in any downstream analyses and interpretations.</w:t>
      </w:r>
    </w:p>
    <w:p w14:paraId="2A8A1465" w14:textId="77777777" w:rsidR="00BF57C6" w:rsidRDefault="00000000">
      <w:pPr>
        <w:pStyle w:val="BodyText"/>
      </w:pPr>
      <w:r>
        <w:t xml:space="preserve">Here, we introduce a new Bayesian imputation software package for comparative biology, named </w:t>
      </w:r>
      <w:r>
        <w:rPr>
          <w:i/>
          <w:iCs/>
        </w:rPr>
        <w:t>BACE</w:t>
      </w:r>
      <w:r>
        <w:t xml:space="preserve"> (</w:t>
      </w:r>
      <w:r>
        <w:rPr>
          <w:b/>
          <w:bCs/>
        </w:rPr>
        <w:t>B</w:t>
      </w:r>
      <w:r>
        <w:t xml:space="preserve">ayesian </w:t>
      </w:r>
      <w:r>
        <w:rPr>
          <w:b/>
          <w:bCs/>
        </w:rPr>
        <w:t>A</w:t>
      </w:r>
      <w:r>
        <w:t xml:space="preserve">ugmentation by </w:t>
      </w:r>
      <w:r>
        <w:rPr>
          <w:b/>
          <w:bCs/>
        </w:rPr>
        <w:t>C</w:t>
      </w:r>
      <w:r>
        <w:t xml:space="preserve">hained </w:t>
      </w:r>
      <w:r>
        <w:rPr>
          <w:b/>
          <w:bCs/>
        </w:rPr>
        <w:t>E</w:t>
      </w:r>
      <w:r>
        <w:t xml:space="preserve">quations), which uses the versatile Bayesian software </w:t>
      </w:r>
      <w:r>
        <w:rPr>
          <w:i/>
          <w:iCs/>
        </w:rPr>
        <w:t>MCMCglmm</w:t>
      </w:r>
      <w:r>
        <w:t xml:space="preserve"> (Hadfield, 2010) to conduct multiple imputation through chained equations. </w:t>
      </w:r>
      <w:r>
        <w:rPr>
          <w:i/>
          <w:iCs/>
        </w:rPr>
        <w:t>BACE</w:t>
      </w:r>
      <w:r>
        <w:t xml:space="preserve"> provides substantial flexibility in the imputation / analysis models fit, as well as a simple user interface, which makes it easy to apply in practice. </w:t>
      </w:r>
      <w:r>
        <w:rPr>
          <w:i/>
          <w:iCs/>
        </w:rPr>
        <w:t>BACE</w:t>
      </w:r>
      <w:r>
        <w:t xml:space="preserve"> also provides options to decouple imputation and analysis models. Given its Bayesian approach, imputation and analysis models can be fit jointly and a final analysis model allows for pooling of posterior distributions to account for within and across imputation uncertainty. Additionally, samples from the posterior predictive distribution can be used to generate a set of </w:t>
      </w:r>
      <w:r>
        <w:rPr>
          <w:i/>
          <w:iCs/>
        </w:rPr>
        <w:t>m</w:t>
      </w:r>
      <w:r>
        <w:t xml:space="preserve"> complete datasets and these datasets can be used with any modelling approach and pooled using Rubin’s rules. We describe how </w:t>
      </w:r>
      <w:r>
        <w:rPr>
          <w:i/>
          <w:iCs/>
        </w:rPr>
        <w:t>BACE</w:t>
      </w:r>
      <w:r>
        <w:t xml:space="preserve"> works, test its robustness using simulations, and demonstrate how to apply it using two case studies.</w:t>
      </w:r>
    </w:p>
    <w:tbl>
      <w:tblPr>
        <w:tblStyle w:val="Table"/>
        <w:tblW w:w="5000" w:type="pct"/>
        <w:tblLayout w:type="fixed"/>
        <w:tblLook w:val="0000" w:firstRow="0" w:lastRow="0" w:firstColumn="0" w:lastColumn="0" w:noHBand="0" w:noVBand="0"/>
      </w:tblPr>
      <w:tblGrid>
        <w:gridCol w:w="10538"/>
      </w:tblGrid>
      <w:tr w:rsidR="00BF57C6" w14:paraId="08029E7D" w14:textId="77777777">
        <w:tc>
          <w:tcPr>
            <w:tcW w:w="7920" w:type="dxa"/>
          </w:tcPr>
          <w:p w14:paraId="0E3D42B5" w14:textId="77777777" w:rsidR="00BF57C6" w:rsidRDefault="00000000">
            <w:pPr>
              <w:pStyle w:val="Compact"/>
              <w:jc w:val="center"/>
            </w:pPr>
            <w:bookmarkStart w:id="2" w:name="fig-bace-workflow"/>
            <w:r>
              <w:rPr>
                <w:noProof/>
              </w:rPr>
              <w:drawing>
                <wp:inline distT="0" distB="0" distL="0" distR="0" wp14:anchorId="4BB8A6EA" wp14:editId="05E84643">
                  <wp:extent cx="5334000" cy="5016582"/>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vignettes/figs/bace_workflow.png"/>
                          <pic:cNvPicPr>
                            <a:picLocks noChangeAspect="1" noChangeArrowheads="1"/>
                          </pic:cNvPicPr>
                        </pic:nvPicPr>
                        <pic:blipFill>
                          <a:blip r:embed="rId5"/>
                          <a:stretch>
                            <a:fillRect/>
                          </a:stretch>
                        </pic:blipFill>
                        <pic:spPr bwMode="auto">
                          <a:xfrm>
                            <a:off x="0" y="0"/>
                            <a:ext cx="5334000" cy="5016582"/>
                          </a:xfrm>
                          <a:prstGeom prst="rect">
                            <a:avLst/>
                          </a:prstGeom>
                          <a:noFill/>
                          <a:ln w="9525">
                            <a:noFill/>
                            <a:headEnd/>
                            <a:tailEnd/>
                          </a:ln>
                        </pic:spPr>
                      </pic:pic>
                    </a:graphicData>
                  </a:graphic>
                </wp:inline>
              </w:drawing>
            </w:r>
          </w:p>
          <w:p w14:paraId="5F34CF53" w14:textId="77777777" w:rsidR="00BF57C6" w:rsidRDefault="00000000">
            <w:pPr>
              <w:pStyle w:val="ImageCaption"/>
              <w:spacing w:before="200"/>
            </w:pPr>
            <w:r>
              <w:t xml:space="preserve">Figure 1- </w:t>
            </w:r>
            <w:r>
              <w:rPr>
                <w:b/>
                <w:bCs/>
              </w:rPr>
              <w:t>Overview of the BACE imputation workflow</w:t>
            </w:r>
            <w:r>
              <w:t xml:space="preserve">. (1) Inputs are an incomplete trait dataset and a phylogeny covering the species. (2) Chained imputation: a separate phylogenetic mixed model is fitted for each incomplete trait, and missing values are updated with point estimates until they stabilise. (3) Final imputation: models are refitted and missing values are drawn from their posterior predictive distributions. Repeated runs produce multiple completed datasets while retaining the observed values. (4) Downstream analysis: models are fitted to each completed dataset and posterior draws are pooled across imputations. Alternatively, parameter estimates and </w:t>
            </w:r>
            <w:r>
              <w:lastRenderedPageBreak/>
              <w:t>their variances can be combined using Rubin’s rules to include imputation uncertainty.</w:t>
            </w:r>
          </w:p>
        </w:tc>
        <w:bookmarkEnd w:id="2"/>
      </w:tr>
      <w:tr w:rsidR="00BF57C6" w14:paraId="6239B008" w14:textId="77777777">
        <w:tc>
          <w:tcPr>
            <w:tcW w:w="7920" w:type="dxa"/>
          </w:tcPr>
          <w:p w14:paraId="6786D422" w14:textId="77777777" w:rsidR="00BF57C6" w:rsidRDefault="00000000">
            <w:pPr>
              <w:pStyle w:val="ImageCaption"/>
              <w:spacing w:before="200"/>
            </w:pPr>
            <w:bookmarkStart w:id="3" w:name="tbl-software"/>
            <w:r>
              <w:lastRenderedPageBreak/>
              <w:t xml:space="preserve">Table 1- R tools for imputing missing data, against the needs of phylogenetic comparative analysis. </w:t>
            </w:r>
            <w:r>
              <w:rPr>
                <w:i/>
                <w:iCs/>
              </w:rPr>
              <w:t>Phylogeny</w:t>
            </w:r>
            <w:r>
              <w:t xml:space="preserve"> (Phylo.): a tree-derived covariance informs the imputation. </w:t>
            </w:r>
            <w:r>
              <w:rPr>
                <w:i/>
                <w:iCs/>
              </w:rPr>
              <w:t>Proper multiple imputation</w:t>
            </w:r>
            <w:r>
              <w:t xml:space="preserve"> (MI): multiple imputed datasets (or an integrated Bayesian posterior) are produced, so downstream analyses reflect imputation uncertainty. </w:t>
            </w:r>
            <w:r>
              <w:rPr>
                <w:i/>
                <w:iCs/>
              </w:rPr>
              <w:t>Multilevel</w:t>
            </w:r>
            <w:r>
              <w:t xml:space="preserve"> (Multi.): non-independence beyond the phylogeny (random effects / clustered rows). Remaining columns: an explicit imputation model for continuous (Cont.), count, binary (Bin.), ordinal (Ord., treated as ordered) and nominal (Nom., unordered multinomial) variables. ✓ = documented in the package’s reference documentation (October 2026); (✓) = partial support; ✗ = not documented.</w:t>
            </w:r>
          </w:p>
          <w:tbl>
            <w:tblPr>
              <w:tblStyle w:val="Table"/>
              <w:tblW w:w="5000" w:type="pct"/>
              <w:tblLayout w:type="fixed"/>
              <w:tblLook w:val="0020" w:firstRow="1" w:lastRow="0" w:firstColumn="0" w:lastColumn="0" w:noHBand="0" w:noVBand="0"/>
            </w:tblPr>
            <w:tblGrid>
              <w:gridCol w:w="1341"/>
              <w:gridCol w:w="825"/>
              <w:gridCol w:w="825"/>
              <w:gridCol w:w="929"/>
              <w:gridCol w:w="826"/>
              <w:gridCol w:w="826"/>
              <w:gridCol w:w="826"/>
              <w:gridCol w:w="826"/>
              <w:gridCol w:w="929"/>
              <w:gridCol w:w="2169"/>
            </w:tblGrid>
            <w:tr w:rsidR="00BF57C6" w14:paraId="61A493FC" w14:textId="77777777" w:rsidTr="00BF57C6">
              <w:trPr>
                <w:cnfStyle w:val="100000000000" w:firstRow="1" w:lastRow="0" w:firstColumn="0" w:lastColumn="0" w:oddVBand="0" w:evenVBand="0" w:oddHBand="0" w:evenHBand="0" w:firstRowFirstColumn="0" w:firstRowLastColumn="0" w:lastRowFirstColumn="0" w:lastRowLastColumn="0"/>
                <w:tblHeader/>
              </w:trPr>
              <w:tc>
                <w:tcPr>
                  <w:tcW w:w="1029" w:type="dxa"/>
                </w:tcPr>
                <w:p w14:paraId="3A851B6E" w14:textId="77777777" w:rsidR="00BF57C6" w:rsidRDefault="00000000">
                  <w:pPr>
                    <w:pStyle w:val="Compact"/>
                    <w:jc w:val="center"/>
                  </w:pPr>
                  <w:r>
                    <w:t>Package</w:t>
                  </w:r>
                </w:p>
              </w:tc>
              <w:tc>
                <w:tcPr>
                  <w:tcW w:w="633" w:type="dxa"/>
                </w:tcPr>
                <w:p w14:paraId="1F7A2733" w14:textId="77777777" w:rsidR="00BF57C6" w:rsidRDefault="00000000">
                  <w:pPr>
                    <w:pStyle w:val="Compact"/>
                    <w:jc w:val="center"/>
                  </w:pPr>
                  <w:r>
                    <w:t>Phylo.</w:t>
                  </w:r>
                </w:p>
              </w:tc>
              <w:tc>
                <w:tcPr>
                  <w:tcW w:w="633" w:type="dxa"/>
                </w:tcPr>
                <w:p w14:paraId="2C3E9A02" w14:textId="77777777" w:rsidR="00BF57C6" w:rsidRDefault="00000000">
                  <w:pPr>
                    <w:pStyle w:val="Compact"/>
                    <w:jc w:val="center"/>
                  </w:pPr>
                  <w:r>
                    <w:t>MI</w:t>
                  </w:r>
                </w:p>
              </w:tc>
              <w:tc>
                <w:tcPr>
                  <w:tcW w:w="712" w:type="dxa"/>
                </w:tcPr>
                <w:p w14:paraId="78A70754" w14:textId="77777777" w:rsidR="00BF57C6" w:rsidRDefault="00000000">
                  <w:pPr>
                    <w:pStyle w:val="Compact"/>
                    <w:jc w:val="center"/>
                  </w:pPr>
                  <w:r>
                    <w:t>Multi.</w:t>
                  </w:r>
                </w:p>
              </w:tc>
              <w:tc>
                <w:tcPr>
                  <w:tcW w:w="633" w:type="dxa"/>
                </w:tcPr>
                <w:p w14:paraId="3AD12218" w14:textId="77777777" w:rsidR="00BF57C6" w:rsidRDefault="00000000">
                  <w:pPr>
                    <w:pStyle w:val="Compact"/>
                    <w:jc w:val="center"/>
                  </w:pPr>
                  <w:r>
                    <w:t>Cont.</w:t>
                  </w:r>
                </w:p>
              </w:tc>
              <w:tc>
                <w:tcPr>
                  <w:tcW w:w="633" w:type="dxa"/>
                </w:tcPr>
                <w:p w14:paraId="0415C0DF" w14:textId="77777777" w:rsidR="00BF57C6" w:rsidRDefault="00000000">
                  <w:pPr>
                    <w:pStyle w:val="Compact"/>
                    <w:jc w:val="center"/>
                  </w:pPr>
                  <w:r>
                    <w:t>Count</w:t>
                  </w:r>
                </w:p>
              </w:tc>
              <w:tc>
                <w:tcPr>
                  <w:tcW w:w="633" w:type="dxa"/>
                </w:tcPr>
                <w:p w14:paraId="5194EFCC" w14:textId="77777777" w:rsidR="00BF57C6" w:rsidRDefault="00000000">
                  <w:pPr>
                    <w:pStyle w:val="Compact"/>
                    <w:jc w:val="center"/>
                  </w:pPr>
                  <w:r>
                    <w:t>Bin.</w:t>
                  </w:r>
                </w:p>
              </w:tc>
              <w:tc>
                <w:tcPr>
                  <w:tcW w:w="633" w:type="dxa"/>
                </w:tcPr>
                <w:p w14:paraId="59C03535" w14:textId="77777777" w:rsidR="00BF57C6" w:rsidRDefault="00000000">
                  <w:pPr>
                    <w:pStyle w:val="Compact"/>
                    <w:jc w:val="center"/>
                  </w:pPr>
                  <w:r>
                    <w:t>Ord.</w:t>
                  </w:r>
                </w:p>
              </w:tc>
              <w:tc>
                <w:tcPr>
                  <w:tcW w:w="712" w:type="dxa"/>
                </w:tcPr>
                <w:p w14:paraId="3DC612C3" w14:textId="77777777" w:rsidR="00BF57C6" w:rsidRDefault="00000000">
                  <w:pPr>
                    <w:pStyle w:val="Compact"/>
                    <w:jc w:val="center"/>
                  </w:pPr>
                  <w:r>
                    <w:t>Nom.</w:t>
                  </w:r>
                </w:p>
              </w:tc>
              <w:tc>
                <w:tcPr>
                  <w:tcW w:w="1663" w:type="dxa"/>
                </w:tcPr>
                <w:p w14:paraId="72CA9AE1" w14:textId="77777777" w:rsidR="00BF57C6" w:rsidRDefault="00000000">
                  <w:pPr>
                    <w:pStyle w:val="Compact"/>
                    <w:jc w:val="center"/>
                  </w:pPr>
                  <w:r>
                    <w:t>Reference</w:t>
                  </w:r>
                </w:p>
              </w:tc>
            </w:tr>
            <w:tr w:rsidR="00BF57C6" w14:paraId="6F2103C5" w14:textId="77777777">
              <w:tc>
                <w:tcPr>
                  <w:tcW w:w="1029" w:type="dxa"/>
                </w:tcPr>
                <w:p w14:paraId="01CE1A1F" w14:textId="77777777" w:rsidR="00BF57C6" w:rsidRDefault="00000000">
                  <w:pPr>
                    <w:pStyle w:val="Compact"/>
                    <w:jc w:val="center"/>
                  </w:pPr>
                  <w:r>
                    <w:rPr>
                      <w:b/>
                      <w:bCs/>
                    </w:rPr>
                    <w:t>BACE</w:t>
                  </w:r>
                </w:p>
              </w:tc>
              <w:tc>
                <w:tcPr>
                  <w:tcW w:w="633" w:type="dxa"/>
                </w:tcPr>
                <w:p w14:paraId="5ACCB622" w14:textId="77777777" w:rsidR="00BF57C6" w:rsidRDefault="00000000">
                  <w:pPr>
                    <w:pStyle w:val="Compact"/>
                    <w:jc w:val="center"/>
                  </w:pPr>
                  <w:r>
                    <w:rPr>
                      <w:b/>
                      <w:bCs/>
                    </w:rPr>
                    <w:t>✓</w:t>
                  </w:r>
                </w:p>
              </w:tc>
              <w:tc>
                <w:tcPr>
                  <w:tcW w:w="633" w:type="dxa"/>
                </w:tcPr>
                <w:p w14:paraId="7A7409E5" w14:textId="77777777" w:rsidR="00BF57C6" w:rsidRDefault="00000000">
                  <w:pPr>
                    <w:pStyle w:val="Compact"/>
                    <w:jc w:val="center"/>
                  </w:pPr>
                  <w:r>
                    <w:rPr>
                      <w:b/>
                      <w:bCs/>
                    </w:rPr>
                    <w:t>✓</w:t>
                  </w:r>
                </w:p>
              </w:tc>
              <w:tc>
                <w:tcPr>
                  <w:tcW w:w="712" w:type="dxa"/>
                </w:tcPr>
                <w:p w14:paraId="50AC9B57" w14:textId="77777777" w:rsidR="00BF57C6" w:rsidRDefault="00000000">
                  <w:pPr>
                    <w:pStyle w:val="Compact"/>
                    <w:jc w:val="center"/>
                  </w:pPr>
                  <w:r>
                    <w:t>(✓)</w:t>
                  </w:r>
                  <w:r>
                    <w:rPr>
                      <w:vertAlign w:val="superscript"/>
                    </w:rPr>
                    <w:t>a</w:t>
                  </w:r>
                </w:p>
              </w:tc>
              <w:tc>
                <w:tcPr>
                  <w:tcW w:w="633" w:type="dxa"/>
                </w:tcPr>
                <w:p w14:paraId="08D029E8" w14:textId="77777777" w:rsidR="00BF57C6" w:rsidRDefault="00000000">
                  <w:pPr>
                    <w:pStyle w:val="Compact"/>
                    <w:jc w:val="center"/>
                  </w:pPr>
                  <w:r>
                    <w:rPr>
                      <w:b/>
                      <w:bCs/>
                    </w:rPr>
                    <w:t>✓</w:t>
                  </w:r>
                </w:p>
              </w:tc>
              <w:tc>
                <w:tcPr>
                  <w:tcW w:w="633" w:type="dxa"/>
                </w:tcPr>
                <w:p w14:paraId="34E45FD4" w14:textId="77777777" w:rsidR="00BF57C6" w:rsidRDefault="00000000">
                  <w:pPr>
                    <w:pStyle w:val="Compact"/>
                    <w:jc w:val="center"/>
                  </w:pPr>
                  <w:r>
                    <w:rPr>
                      <w:b/>
                      <w:bCs/>
                    </w:rPr>
                    <w:t>✓</w:t>
                  </w:r>
                </w:p>
              </w:tc>
              <w:tc>
                <w:tcPr>
                  <w:tcW w:w="633" w:type="dxa"/>
                </w:tcPr>
                <w:p w14:paraId="383D2AD9" w14:textId="77777777" w:rsidR="00BF57C6" w:rsidRDefault="00000000">
                  <w:pPr>
                    <w:pStyle w:val="Compact"/>
                    <w:jc w:val="center"/>
                  </w:pPr>
                  <w:r>
                    <w:rPr>
                      <w:b/>
                      <w:bCs/>
                    </w:rPr>
                    <w:t>✓</w:t>
                  </w:r>
                </w:p>
              </w:tc>
              <w:tc>
                <w:tcPr>
                  <w:tcW w:w="633" w:type="dxa"/>
                </w:tcPr>
                <w:p w14:paraId="1DA190B7" w14:textId="77777777" w:rsidR="00BF57C6" w:rsidRDefault="00000000">
                  <w:pPr>
                    <w:pStyle w:val="Compact"/>
                    <w:jc w:val="center"/>
                  </w:pPr>
                  <w:r>
                    <w:rPr>
                      <w:b/>
                      <w:bCs/>
                    </w:rPr>
                    <w:t>✓</w:t>
                  </w:r>
                </w:p>
              </w:tc>
              <w:tc>
                <w:tcPr>
                  <w:tcW w:w="712" w:type="dxa"/>
                </w:tcPr>
                <w:p w14:paraId="5A3973B4" w14:textId="77777777" w:rsidR="00BF57C6" w:rsidRDefault="00000000">
                  <w:pPr>
                    <w:pStyle w:val="Compact"/>
                    <w:jc w:val="center"/>
                  </w:pPr>
                  <w:r>
                    <w:rPr>
                      <w:b/>
                      <w:bCs/>
                    </w:rPr>
                    <w:t>✓</w:t>
                  </w:r>
                </w:p>
              </w:tc>
              <w:tc>
                <w:tcPr>
                  <w:tcW w:w="1663" w:type="dxa"/>
                </w:tcPr>
                <w:p w14:paraId="69189535" w14:textId="77777777" w:rsidR="00BF57C6" w:rsidRDefault="00000000">
                  <w:pPr>
                    <w:pStyle w:val="Compact"/>
                    <w:jc w:val="center"/>
                  </w:pPr>
                  <w:r>
                    <w:t>this paper</w:t>
                  </w:r>
                </w:p>
              </w:tc>
            </w:tr>
            <w:tr w:rsidR="00BF57C6" w14:paraId="4C309B13" w14:textId="77777777">
              <w:tc>
                <w:tcPr>
                  <w:tcW w:w="1029" w:type="dxa"/>
                </w:tcPr>
                <w:p w14:paraId="609A7D86" w14:textId="77777777" w:rsidR="00BF57C6" w:rsidRDefault="00000000">
                  <w:pPr>
                    <w:pStyle w:val="Compact"/>
                    <w:jc w:val="center"/>
                  </w:pPr>
                  <w:r>
                    <w:t>Rphylopars</w:t>
                  </w:r>
                </w:p>
              </w:tc>
              <w:tc>
                <w:tcPr>
                  <w:tcW w:w="633" w:type="dxa"/>
                </w:tcPr>
                <w:p w14:paraId="21CE592B" w14:textId="77777777" w:rsidR="00BF57C6" w:rsidRDefault="00000000">
                  <w:pPr>
                    <w:pStyle w:val="Compact"/>
                    <w:jc w:val="center"/>
                  </w:pPr>
                  <w:r>
                    <w:t>✓</w:t>
                  </w:r>
                </w:p>
              </w:tc>
              <w:tc>
                <w:tcPr>
                  <w:tcW w:w="633" w:type="dxa"/>
                </w:tcPr>
                <w:p w14:paraId="043F9826" w14:textId="77777777" w:rsidR="00BF57C6" w:rsidRDefault="00000000">
                  <w:pPr>
                    <w:pStyle w:val="Compact"/>
                    <w:jc w:val="center"/>
                  </w:pPr>
                  <w:r>
                    <w:t>✗</w:t>
                  </w:r>
                </w:p>
              </w:tc>
              <w:tc>
                <w:tcPr>
                  <w:tcW w:w="712" w:type="dxa"/>
                </w:tcPr>
                <w:p w14:paraId="16BC8EE6" w14:textId="77777777" w:rsidR="00BF57C6" w:rsidRDefault="00000000">
                  <w:pPr>
                    <w:pStyle w:val="Compact"/>
                    <w:jc w:val="center"/>
                  </w:pPr>
                  <w:r>
                    <w:t>(✓)</w:t>
                  </w:r>
                </w:p>
              </w:tc>
              <w:tc>
                <w:tcPr>
                  <w:tcW w:w="633" w:type="dxa"/>
                </w:tcPr>
                <w:p w14:paraId="5AC2BDA8" w14:textId="77777777" w:rsidR="00BF57C6" w:rsidRDefault="00000000">
                  <w:pPr>
                    <w:pStyle w:val="Compact"/>
                    <w:jc w:val="center"/>
                  </w:pPr>
                  <w:r>
                    <w:t>✓</w:t>
                  </w:r>
                </w:p>
              </w:tc>
              <w:tc>
                <w:tcPr>
                  <w:tcW w:w="633" w:type="dxa"/>
                </w:tcPr>
                <w:p w14:paraId="7BF2C765" w14:textId="77777777" w:rsidR="00BF57C6" w:rsidRDefault="00000000">
                  <w:pPr>
                    <w:pStyle w:val="Compact"/>
                    <w:jc w:val="center"/>
                  </w:pPr>
                  <w:r>
                    <w:t>✗</w:t>
                  </w:r>
                </w:p>
              </w:tc>
              <w:tc>
                <w:tcPr>
                  <w:tcW w:w="633" w:type="dxa"/>
                </w:tcPr>
                <w:p w14:paraId="2BD86714" w14:textId="77777777" w:rsidR="00BF57C6" w:rsidRDefault="00000000">
                  <w:pPr>
                    <w:pStyle w:val="Compact"/>
                    <w:jc w:val="center"/>
                  </w:pPr>
                  <w:r>
                    <w:t>✗</w:t>
                  </w:r>
                </w:p>
              </w:tc>
              <w:tc>
                <w:tcPr>
                  <w:tcW w:w="633" w:type="dxa"/>
                </w:tcPr>
                <w:p w14:paraId="27F727A2" w14:textId="77777777" w:rsidR="00BF57C6" w:rsidRDefault="00000000">
                  <w:pPr>
                    <w:pStyle w:val="Compact"/>
                    <w:jc w:val="center"/>
                  </w:pPr>
                  <w:r>
                    <w:t>✗</w:t>
                  </w:r>
                </w:p>
              </w:tc>
              <w:tc>
                <w:tcPr>
                  <w:tcW w:w="712" w:type="dxa"/>
                </w:tcPr>
                <w:p w14:paraId="4FB842A0" w14:textId="77777777" w:rsidR="00BF57C6" w:rsidRDefault="00000000">
                  <w:pPr>
                    <w:pStyle w:val="Compact"/>
                    <w:jc w:val="center"/>
                  </w:pPr>
                  <w:r>
                    <w:t>✗</w:t>
                  </w:r>
                </w:p>
              </w:tc>
              <w:tc>
                <w:tcPr>
                  <w:tcW w:w="1663" w:type="dxa"/>
                </w:tcPr>
                <w:p w14:paraId="6AE0C69E" w14:textId="77777777" w:rsidR="00BF57C6" w:rsidRDefault="00000000">
                  <w:pPr>
                    <w:pStyle w:val="Compact"/>
                    <w:jc w:val="center"/>
                  </w:pPr>
                  <w:r>
                    <w:t>Goolsby et al. (2017)</w:t>
                  </w:r>
                </w:p>
              </w:tc>
            </w:tr>
            <w:tr w:rsidR="00BF57C6" w14:paraId="175C0556" w14:textId="77777777">
              <w:tc>
                <w:tcPr>
                  <w:tcW w:w="1029" w:type="dxa"/>
                </w:tcPr>
                <w:p w14:paraId="7FBA1585" w14:textId="77777777" w:rsidR="00BF57C6" w:rsidRDefault="00000000">
                  <w:pPr>
                    <w:pStyle w:val="Compact"/>
                    <w:jc w:val="center"/>
                  </w:pPr>
                  <w:r>
                    <w:t>phylomice</w:t>
                  </w:r>
                  <w:r>
                    <w:rPr>
                      <w:vertAlign w:val="superscript"/>
                    </w:rPr>
                    <w:t>c</w:t>
                  </w:r>
                </w:p>
              </w:tc>
              <w:tc>
                <w:tcPr>
                  <w:tcW w:w="633" w:type="dxa"/>
                </w:tcPr>
                <w:p w14:paraId="20D8858E" w14:textId="77777777" w:rsidR="00BF57C6" w:rsidRDefault="00000000">
                  <w:pPr>
                    <w:pStyle w:val="Compact"/>
                    <w:jc w:val="center"/>
                  </w:pPr>
                  <w:r>
                    <w:t>✓</w:t>
                  </w:r>
                </w:p>
              </w:tc>
              <w:tc>
                <w:tcPr>
                  <w:tcW w:w="633" w:type="dxa"/>
                </w:tcPr>
                <w:p w14:paraId="2D886431" w14:textId="77777777" w:rsidR="00BF57C6" w:rsidRDefault="00000000">
                  <w:pPr>
                    <w:pStyle w:val="Compact"/>
                    <w:jc w:val="center"/>
                  </w:pPr>
                  <w:r>
                    <w:t>✓</w:t>
                  </w:r>
                </w:p>
              </w:tc>
              <w:tc>
                <w:tcPr>
                  <w:tcW w:w="712" w:type="dxa"/>
                </w:tcPr>
                <w:p w14:paraId="647869D7" w14:textId="77777777" w:rsidR="00BF57C6" w:rsidRDefault="00000000">
                  <w:pPr>
                    <w:pStyle w:val="Compact"/>
                    <w:jc w:val="center"/>
                  </w:pPr>
                  <w:r>
                    <w:t>✗</w:t>
                  </w:r>
                </w:p>
              </w:tc>
              <w:tc>
                <w:tcPr>
                  <w:tcW w:w="633" w:type="dxa"/>
                </w:tcPr>
                <w:p w14:paraId="7A81463A" w14:textId="77777777" w:rsidR="00BF57C6" w:rsidRDefault="00000000">
                  <w:pPr>
                    <w:pStyle w:val="Compact"/>
                    <w:jc w:val="center"/>
                  </w:pPr>
                  <w:r>
                    <w:t>✓</w:t>
                  </w:r>
                </w:p>
              </w:tc>
              <w:tc>
                <w:tcPr>
                  <w:tcW w:w="633" w:type="dxa"/>
                </w:tcPr>
                <w:p w14:paraId="4C701934" w14:textId="77777777" w:rsidR="00BF57C6" w:rsidRDefault="00000000">
                  <w:pPr>
                    <w:pStyle w:val="Compact"/>
                    <w:jc w:val="center"/>
                  </w:pPr>
                  <w:r>
                    <w:t>✗</w:t>
                  </w:r>
                </w:p>
              </w:tc>
              <w:tc>
                <w:tcPr>
                  <w:tcW w:w="633" w:type="dxa"/>
                </w:tcPr>
                <w:p w14:paraId="0383BC95" w14:textId="77777777" w:rsidR="00BF57C6" w:rsidRDefault="00000000">
                  <w:pPr>
                    <w:pStyle w:val="Compact"/>
                    <w:jc w:val="center"/>
                  </w:pPr>
                  <w:r>
                    <w:t>✗</w:t>
                  </w:r>
                </w:p>
              </w:tc>
              <w:tc>
                <w:tcPr>
                  <w:tcW w:w="633" w:type="dxa"/>
                </w:tcPr>
                <w:p w14:paraId="6FE647B0" w14:textId="77777777" w:rsidR="00BF57C6" w:rsidRDefault="00000000">
                  <w:pPr>
                    <w:pStyle w:val="Compact"/>
                    <w:jc w:val="center"/>
                  </w:pPr>
                  <w:r>
                    <w:t>✗</w:t>
                  </w:r>
                </w:p>
              </w:tc>
              <w:tc>
                <w:tcPr>
                  <w:tcW w:w="712" w:type="dxa"/>
                </w:tcPr>
                <w:p w14:paraId="7059278A" w14:textId="77777777" w:rsidR="00BF57C6" w:rsidRDefault="00000000">
                  <w:pPr>
                    <w:pStyle w:val="Compact"/>
                    <w:jc w:val="center"/>
                  </w:pPr>
                  <w:r>
                    <w:t>✗</w:t>
                  </w:r>
                </w:p>
              </w:tc>
              <w:tc>
                <w:tcPr>
                  <w:tcW w:w="1663" w:type="dxa"/>
                </w:tcPr>
                <w:p w14:paraId="274EDC09" w14:textId="77777777" w:rsidR="00BF57C6" w:rsidRDefault="00000000">
                  <w:pPr>
                    <w:pStyle w:val="Compact"/>
                    <w:jc w:val="center"/>
                  </w:pPr>
                  <w:r>
                    <w:t>Drhlik (2016)</w:t>
                  </w:r>
                </w:p>
              </w:tc>
            </w:tr>
            <w:tr w:rsidR="00BF57C6" w14:paraId="73E56141" w14:textId="77777777">
              <w:tc>
                <w:tcPr>
                  <w:tcW w:w="1029" w:type="dxa"/>
                </w:tcPr>
                <w:p w14:paraId="40457355" w14:textId="77777777" w:rsidR="00BF57C6" w:rsidRDefault="00000000">
                  <w:pPr>
                    <w:pStyle w:val="Compact"/>
                    <w:jc w:val="center"/>
                  </w:pPr>
                  <w:r>
                    <w:t>TDIP</w:t>
                  </w:r>
                  <w:r>
                    <w:rPr>
                      <w:vertAlign w:val="superscript"/>
                    </w:rPr>
                    <w:t>c</w:t>
                  </w:r>
                </w:p>
              </w:tc>
              <w:tc>
                <w:tcPr>
                  <w:tcW w:w="633" w:type="dxa"/>
                </w:tcPr>
                <w:p w14:paraId="43665B78" w14:textId="77777777" w:rsidR="00BF57C6" w:rsidRDefault="00000000">
                  <w:pPr>
                    <w:pStyle w:val="Compact"/>
                    <w:jc w:val="center"/>
                  </w:pPr>
                  <w:r>
                    <w:t>✓</w:t>
                  </w:r>
                </w:p>
              </w:tc>
              <w:tc>
                <w:tcPr>
                  <w:tcW w:w="633" w:type="dxa"/>
                </w:tcPr>
                <w:p w14:paraId="48CFF165" w14:textId="77777777" w:rsidR="00BF57C6" w:rsidRDefault="00000000">
                  <w:pPr>
                    <w:pStyle w:val="Compact"/>
                    <w:jc w:val="center"/>
                  </w:pPr>
                  <w:r>
                    <w:t>✗</w:t>
                  </w:r>
                </w:p>
              </w:tc>
              <w:tc>
                <w:tcPr>
                  <w:tcW w:w="712" w:type="dxa"/>
                </w:tcPr>
                <w:p w14:paraId="6C6C919F" w14:textId="77777777" w:rsidR="00BF57C6" w:rsidRDefault="00000000">
                  <w:pPr>
                    <w:pStyle w:val="Compact"/>
                    <w:jc w:val="center"/>
                  </w:pPr>
                  <w:r>
                    <w:t>✗</w:t>
                  </w:r>
                </w:p>
              </w:tc>
              <w:tc>
                <w:tcPr>
                  <w:tcW w:w="633" w:type="dxa"/>
                </w:tcPr>
                <w:p w14:paraId="1C1B6A1D" w14:textId="77777777" w:rsidR="00BF57C6" w:rsidRDefault="00000000">
                  <w:pPr>
                    <w:pStyle w:val="Compact"/>
                    <w:jc w:val="center"/>
                  </w:pPr>
                  <w:r>
                    <w:t>✓</w:t>
                  </w:r>
                </w:p>
              </w:tc>
              <w:tc>
                <w:tcPr>
                  <w:tcW w:w="633" w:type="dxa"/>
                </w:tcPr>
                <w:p w14:paraId="62C29CD8" w14:textId="77777777" w:rsidR="00BF57C6" w:rsidRDefault="00000000">
                  <w:pPr>
                    <w:pStyle w:val="Compact"/>
                    <w:jc w:val="center"/>
                  </w:pPr>
                  <w:r>
                    <w:t>✗</w:t>
                  </w:r>
                </w:p>
              </w:tc>
              <w:tc>
                <w:tcPr>
                  <w:tcW w:w="633" w:type="dxa"/>
                </w:tcPr>
                <w:p w14:paraId="5F080127" w14:textId="77777777" w:rsidR="00BF57C6" w:rsidRDefault="00000000">
                  <w:pPr>
                    <w:pStyle w:val="Compact"/>
                    <w:jc w:val="center"/>
                  </w:pPr>
                  <w:r>
                    <w:t>✓</w:t>
                  </w:r>
                </w:p>
              </w:tc>
              <w:tc>
                <w:tcPr>
                  <w:tcW w:w="633" w:type="dxa"/>
                </w:tcPr>
                <w:p w14:paraId="51212A94" w14:textId="77777777" w:rsidR="00BF57C6" w:rsidRDefault="00000000">
                  <w:pPr>
                    <w:pStyle w:val="Compact"/>
                    <w:jc w:val="center"/>
                  </w:pPr>
                  <w:r>
                    <w:t>✗</w:t>
                  </w:r>
                </w:p>
              </w:tc>
              <w:tc>
                <w:tcPr>
                  <w:tcW w:w="712" w:type="dxa"/>
                </w:tcPr>
                <w:p w14:paraId="006B61D0" w14:textId="77777777" w:rsidR="00BF57C6" w:rsidRDefault="00000000">
                  <w:pPr>
                    <w:pStyle w:val="Compact"/>
                    <w:jc w:val="center"/>
                  </w:pPr>
                  <w:r>
                    <w:t>✓</w:t>
                  </w:r>
                </w:p>
              </w:tc>
              <w:tc>
                <w:tcPr>
                  <w:tcW w:w="1663" w:type="dxa"/>
                </w:tcPr>
                <w:p w14:paraId="32940736" w14:textId="77777777" w:rsidR="00BF57C6" w:rsidRDefault="00000000">
                  <w:pPr>
                    <w:pStyle w:val="Compact"/>
                    <w:jc w:val="center"/>
                  </w:pPr>
                  <w:r>
                    <w:t>Gendre et al. (2024)</w:t>
                  </w:r>
                </w:p>
              </w:tc>
            </w:tr>
            <w:tr w:rsidR="00BF57C6" w14:paraId="18A4194D" w14:textId="77777777">
              <w:tc>
                <w:tcPr>
                  <w:tcW w:w="1029" w:type="dxa"/>
                </w:tcPr>
                <w:p w14:paraId="41D1009F" w14:textId="77777777" w:rsidR="00BF57C6" w:rsidRDefault="00000000">
                  <w:pPr>
                    <w:pStyle w:val="Compact"/>
                    <w:jc w:val="center"/>
                  </w:pPr>
                  <w:r>
                    <w:t>BHPMF</w:t>
                  </w:r>
                  <w:r>
                    <w:rPr>
                      <w:vertAlign w:val="superscript"/>
                    </w:rPr>
                    <w:t>c</w:t>
                  </w:r>
                </w:p>
              </w:tc>
              <w:tc>
                <w:tcPr>
                  <w:tcW w:w="633" w:type="dxa"/>
                </w:tcPr>
                <w:p w14:paraId="0A11BB8B" w14:textId="77777777" w:rsidR="00BF57C6" w:rsidRDefault="00000000">
                  <w:pPr>
                    <w:pStyle w:val="Compact"/>
                    <w:jc w:val="center"/>
                  </w:pPr>
                  <w:r>
                    <w:t>(✓)</w:t>
                  </w:r>
                  <w:r>
                    <w:rPr>
                      <w:vertAlign w:val="superscript"/>
                    </w:rPr>
                    <w:t>b</w:t>
                  </w:r>
                </w:p>
              </w:tc>
              <w:tc>
                <w:tcPr>
                  <w:tcW w:w="633" w:type="dxa"/>
                </w:tcPr>
                <w:p w14:paraId="65546690" w14:textId="77777777" w:rsidR="00BF57C6" w:rsidRDefault="00000000">
                  <w:pPr>
                    <w:pStyle w:val="Compact"/>
                    <w:jc w:val="center"/>
                  </w:pPr>
                  <w:r>
                    <w:t>✗</w:t>
                  </w:r>
                </w:p>
              </w:tc>
              <w:tc>
                <w:tcPr>
                  <w:tcW w:w="712" w:type="dxa"/>
                </w:tcPr>
                <w:p w14:paraId="71EF7C73" w14:textId="77777777" w:rsidR="00BF57C6" w:rsidRDefault="00000000">
                  <w:pPr>
                    <w:pStyle w:val="Compact"/>
                    <w:jc w:val="center"/>
                  </w:pPr>
                  <w:r>
                    <w:t>(✓)</w:t>
                  </w:r>
                </w:p>
              </w:tc>
              <w:tc>
                <w:tcPr>
                  <w:tcW w:w="633" w:type="dxa"/>
                </w:tcPr>
                <w:p w14:paraId="0B863553" w14:textId="77777777" w:rsidR="00BF57C6" w:rsidRDefault="00000000">
                  <w:pPr>
                    <w:pStyle w:val="Compact"/>
                    <w:jc w:val="center"/>
                  </w:pPr>
                  <w:r>
                    <w:t>✓</w:t>
                  </w:r>
                </w:p>
              </w:tc>
              <w:tc>
                <w:tcPr>
                  <w:tcW w:w="633" w:type="dxa"/>
                </w:tcPr>
                <w:p w14:paraId="36B87A0F" w14:textId="77777777" w:rsidR="00BF57C6" w:rsidRDefault="00000000">
                  <w:pPr>
                    <w:pStyle w:val="Compact"/>
                    <w:jc w:val="center"/>
                  </w:pPr>
                  <w:r>
                    <w:t>✗</w:t>
                  </w:r>
                </w:p>
              </w:tc>
              <w:tc>
                <w:tcPr>
                  <w:tcW w:w="633" w:type="dxa"/>
                </w:tcPr>
                <w:p w14:paraId="5E2F612C" w14:textId="77777777" w:rsidR="00BF57C6" w:rsidRDefault="00000000">
                  <w:pPr>
                    <w:pStyle w:val="Compact"/>
                    <w:jc w:val="center"/>
                  </w:pPr>
                  <w:r>
                    <w:t>✗</w:t>
                  </w:r>
                </w:p>
              </w:tc>
              <w:tc>
                <w:tcPr>
                  <w:tcW w:w="633" w:type="dxa"/>
                </w:tcPr>
                <w:p w14:paraId="5AAFB903" w14:textId="77777777" w:rsidR="00BF57C6" w:rsidRDefault="00000000">
                  <w:pPr>
                    <w:pStyle w:val="Compact"/>
                    <w:jc w:val="center"/>
                  </w:pPr>
                  <w:r>
                    <w:t>✗</w:t>
                  </w:r>
                </w:p>
              </w:tc>
              <w:tc>
                <w:tcPr>
                  <w:tcW w:w="712" w:type="dxa"/>
                </w:tcPr>
                <w:p w14:paraId="225994BD" w14:textId="77777777" w:rsidR="00BF57C6" w:rsidRDefault="00000000">
                  <w:pPr>
                    <w:pStyle w:val="Compact"/>
                    <w:jc w:val="center"/>
                  </w:pPr>
                  <w:r>
                    <w:t>✗</w:t>
                  </w:r>
                </w:p>
              </w:tc>
              <w:tc>
                <w:tcPr>
                  <w:tcW w:w="1663" w:type="dxa"/>
                </w:tcPr>
                <w:p w14:paraId="61ABD8AC" w14:textId="77777777" w:rsidR="00BF57C6" w:rsidRDefault="00000000">
                  <w:pPr>
                    <w:pStyle w:val="Compact"/>
                    <w:jc w:val="center"/>
                  </w:pPr>
                  <w:r>
                    <w:t>Schrodt et al. (2015)</w:t>
                  </w:r>
                </w:p>
              </w:tc>
            </w:tr>
            <w:tr w:rsidR="00BF57C6" w14:paraId="31BE01AD" w14:textId="77777777">
              <w:tc>
                <w:tcPr>
                  <w:tcW w:w="1029" w:type="dxa"/>
                </w:tcPr>
                <w:p w14:paraId="6A6B5824" w14:textId="77777777" w:rsidR="00BF57C6" w:rsidRDefault="00000000">
                  <w:pPr>
                    <w:pStyle w:val="Compact"/>
                    <w:jc w:val="center"/>
                  </w:pPr>
                  <w:r>
                    <w:t>mice</w:t>
                  </w:r>
                </w:p>
              </w:tc>
              <w:tc>
                <w:tcPr>
                  <w:tcW w:w="633" w:type="dxa"/>
                </w:tcPr>
                <w:p w14:paraId="33214D9F" w14:textId="77777777" w:rsidR="00BF57C6" w:rsidRDefault="00000000">
                  <w:pPr>
                    <w:pStyle w:val="Compact"/>
                    <w:jc w:val="center"/>
                  </w:pPr>
                  <w:r>
                    <w:t>✗</w:t>
                  </w:r>
                </w:p>
              </w:tc>
              <w:tc>
                <w:tcPr>
                  <w:tcW w:w="633" w:type="dxa"/>
                </w:tcPr>
                <w:p w14:paraId="1FAB9FDC" w14:textId="77777777" w:rsidR="00BF57C6" w:rsidRDefault="00000000">
                  <w:pPr>
                    <w:pStyle w:val="Compact"/>
                    <w:jc w:val="center"/>
                  </w:pPr>
                  <w:r>
                    <w:t>✓</w:t>
                  </w:r>
                </w:p>
              </w:tc>
              <w:tc>
                <w:tcPr>
                  <w:tcW w:w="712" w:type="dxa"/>
                </w:tcPr>
                <w:p w14:paraId="16207F42" w14:textId="77777777" w:rsidR="00BF57C6" w:rsidRDefault="00000000">
                  <w:pPr>
                    <w:pStyle w:val="Compact"/>
                    <w:jc w:val="center"/>
                  </w:pPr>
                  <w:r>
                    <w:t>(✓)</w:t>
                  </w:r>
                </w:p>
              </w:tc>
              <w:tc>
                <w:tcPr>
                  <w:tcW w:w="633" w:type="dxa"/>
                </w:tcPr>
                <w:p w14:paraId="77BED3A0" w14:textId="77777777" w:rsidR="00BF57C6" w:rsidRDefault="00000000">
                  <w:pPr>
                    <w:pStyle w:val="Compact"/>
                    <w:jc w:val="center"/>
                  </w:pPr>
                  <w:r>
                    <w:t>✓</w:t>
                  </w:r>
                </w:p>
              </w:tc>
              <w:tc>
                <w:tcPr>
                  <w:tcW w:w="633" w:type="dxa"/>
                </w:tcPr>
                <w:p w14:paraId="6EC99A5B" w14:textId="77777777" w:rsidR="00BF57C6" w:rsidRDefault="00000000">
                  <w:pPr>
                    <w:pStyle w:val="Compact"/>
                    <w:jc w:val="center"/>
                  </w:pPr>
                  <w:r>
                    <w:t>✗</w:t>
                  </w:r>
                </w:p>
              </w:tc>
              <w:tc>
                <w:tcPr>
                  <w:tcW w:w="633" w:type="dxa"/>
                </w:tcPr>
                <w:p w14:paraId="47339137" w14:textId="77777777" w:rsidR="00BF57C6" w:rsidRDefault="00000000">
                  <w:pPr>
                    <w:pStyle w:val="Compact"/>
                    <w:jc w:val="center"/>
                  </w:pPr>
                  <w:r>
                    <w:t>✓</w:t>
                  </w:r>
                </w:p>
              </w:tc>
              <w:tc>
                <w:tcPr>
                  <w:tcW w:w="633" w:type="dxa"/>
                </w:tcPr>
                <w:p w14:paraId="2056C413" w14:textId="77777777" w:rsidR="00BF57C6" w:rsidRDefault="00000000">
                  <w:pPr>
                    <w:pStyle w:val="Compact"/>
                    <w:jc w:val="center"/>
                  </w:pPr>
                  <w:r>
                    <w:t>✓</w:t>
                  </w:r>
                </w:p>
              </w:tc>
              <w:tc>
                <w:tcPr>
                  <w:tcW w:w="712" w:type="dxa"/>
                </w:tcPr>
                <w:p w14:paraId="3BACBF41" w14:textId="77777777" w:rsidR="00BF57C6" w:rsidRDefault="00000000">
                  <w:pPr>
                    <w:pStyle w:val="Compact"/>
                    <w:jc w:val="center"/>
                  </w:pPr>
                  <w:r>
                    <w:t>✓</w:t>
                  </w:r>
                </w:p>
              </w:tc>
              <w:tc>
                <w:tcPr>
                  <w:tcW w:w="1663" w:type="dxa"/>
                </w:tcPr>
                <w:p w14:paraId="6D31FCD9" w14:textId="77777777" w:rsidR="00BF57C6" w:rsidRDefault="00000000">
                  <w:pPr>
                    <w:pStyle w:val="Compact"/>
                    <w:jc w:val="center"/>
                  </w:pPr>
                  <w:r>
                    <w:t>Buuren &amp; Groothuis-Oudshoorn (2011)</w:t>
                  </w:r>
                </w:p>
              </w:tc>
            </w:tr>
            <w:tr w:rsidR="00BF57C6" w14:paraId="6C8DC0B4" w14:textId="77777777">
              <w:tc>
                <w:tcPr>
                  <w:tcW w:w="1029" w:type="dxa"/>
                </w:tcPr>
                <w:p w14:paraId="61531274" w14:textId="77777777" w:rsidR="00BF57C6" w:rsidRDefault="00000000">
                  <w:pPr>
                    <w:pStyle w:val="Compact"/>
                    <w:jc w:val="center"/>
                  </w:pPr>
                  <w:r>
                    <w:t>miceadds</w:t>
                  </w:r>
                </w:p>
              </w:tc>
              <w:tc>
                <w:tcPr>
                  <w:tcW w:w="633" w:type="dxa"/>
                </w:tcPr>
                <w:p w14:paraId="4AF7C65B" w14:textId="77777777" w:rsidR="00BF57C6" w:rsidRDefault="00000000">
                  <w:pPr>
                    <w:pStyle w:val="Compact"/>
                    <w:jc w:val="center"/>
                  </w:pPr>
                  <w:r>
                    <w:t>✗</w:t>
                  </w:r>
                </w:p>
              </w:tc>
              <w:tc>
                <w:tcPr>
                  <w:tcW w:w="633" w:type="dxa"/>
                </w:tcPr>
                <w:p w14:paraId="1E815F36" w14:textId="77777777" w:rsidR="00BF57C6" w:rsidRDefault="00000000">
                  <w:pPr>
                    <w:pStyle w:val="Compact"/>
                    <w:jc w:val="center"/>
                  </w:pPr>
                  <w:r>
                    <w:t>✓</w:t>
                  </w:r>
                </w:p>
              </w:tc>
              <w:tc>
                <w:tcPr>
                  <w:tcW w:w="712" w:type="dxa"/>
                </w:tcPr>
                <w:p w14:paraId="642E5F66" w14:textId="77777777" w:rsidR="00BF57C6" w:rsidRDefault="00000000">
                  <w:pPr>
                    <w:pStyle w:val="Compact"/>
                    <w:jc w:val="center"/>
                  </w:pPr>
                  <w:r>
                    <w:t>✓</w:t>
                  </w:r>
                </w:p>
              </w:tc>
              <w:tc>
                <w:tcPr>
                  <w:tcW w:w="633" w:type="dxa"/>
                </w:tcPr>
                <w:p w14:paraId="620EC284" w14:textId="77777777" w:rsidR="00BF57C6" w:rsidRDefault="00000000">
                  <w:pPr>
                    <w:pStyle w:val="Compact"/>
                    <w:jc w:val="center"/>
                  </w:pPr>
                  <w:r>
                    <w:t>✓</w:t>
                  </w:r>
                </w:p>
              </w:tc>
              <w:tc>
                <w:tcPr>
                  <w:tcW w:w="633" w:type="dxa"/>
                </w:tcPr>
                <w:p w14:paraId="6B492275" w14:textId="77777777" w:rsidR="00BF57C6" w:rsidRDefault="00000000">
                  <w:pPr>
                    <w:pStyle w:val="Compact"/>
                    <w:jc w:val="center"/>
                  </w:pPr>
                  <w:r>
                    <w:t>✗</w:t>
                  </w:r>
                </w:p>
              </w:tc>
              <w:tc>
                <w:tcPr>
                  <w:tcW w:w="633" w:type="dxa"/>
                </w:tcPr>
                <w:p w14:paraId="6FBBE0E8" w14:textId="77777777" w:rsidR="00BF57C6" w:rsidRDefault="00000000">
                  <w:pPr>
                    <w:pStyle w:val="Compact"/>
                    <w:jc w:val="center"/>
                  </w:pPr>
                  <w:r>
                    <w:t>✓</w:t>
                  </w:r>
                </w:p>
              </w:tc>
              <w:tc>
                <w:tcPr>
                  <w:tcW w:w="633" w:type="dxa"/>
                </w:tcPr>
                <w:p w14:paraId="15B00E9B" w14:textId="77777777" w:rsidR="00BF57C6" w:rsidRDefault="00000000">
                  <w:pPr>
                    <w:pStyle w:val="Compact"/>
                    <w:jc w:val="center"/>
                  </w:pPr>
                  <w:r>
                    <w:t>(✓)</w:t>
                  </w:r>
                  <w:r>
                    <w:rPr>
                      <w:vertAlign w:val="superscript"/>
                    </w:rPr>
                    <w:t>d</w:t>
                  </w:r>
                </w:p>
              </w:tc>
              <w:tc>
                <w:tcPr>
                  <w:tcW w:w="712" w:type="dxa"/>
                </w:tcPr>
                <w:p w14:paraId="1E2D208F" w14:textId="77777777" w:rsidR="00BF57C6" w:rsidRDefault="00000000">
                  <w:pPr>
                    <w:pStyle w:val="Compact"/>
                    <w:jc w:val="center"/>
                  </w:pPr>
                  <w:r>
                    <w:t>✗</w:t>
                  </w:r>
                  <w:r>
                    <w:rPr>
                      <w:vertAlign w:val="superscript"/>
                    </w:rPr>
                    <w:t>d</w:t>
                  </w:r>
                </w:p>
              </w:tc>
              <w:tc>
                <w:tcPr>
                  <w:tcW w:w="1663" w:type="dxa"/>
                </w:tcPr>
                <w:p w14:paraId="4446D608" w14:textId="77777777" w:rsidR="00BF57C6" w:rsidRDefault="00000000">
                  <w:pPr>
                    <w:pStyle w:val="Compact"/>
                    <w:jc w:val="center"/>
                  </w:pPr>
                  <w:r>
                    <w:t>Robitzsch &amp; Grund (2026)</w:t>
                  </w:r>
                </w:p>
              </w:tc>
            </w:tr>
            <w:tr w:rsidR="00BF57C6" w14:paraId="502D4D71" w14:textId="77777777">
              <w:tc>
                <w:tcPr>
                  <w:tcW w:w="1029" w:type="dxa"/>
                </w:tcPr>
                <w:p w14:paraId="1526A464" w14:textId="77777777" w:rsidR="00BF57C6" w:rsidRDefault="00000000">
                  <w:pPr>
                    <w:pStyle w:val="Compact"/>
                    <w:jc w:val="center"/>
                  </w:pPr>
                  <w:r>
                    <w:t>micemd</w:t>
                  </w:r>
                </w:p>
              </w:tc>
              <w:tc>
                <w:tcPr>
                  <w:tcW w:w="633" w:type="dxa"/>
                </w:tcPr>
                <w:p w14:paraId="067D527E" w14:textId="77777777" w:rsidR="00BF57C6" w:rsidRDefault="00000000">
                  <w:pPr>
                    <w:pStyle w:val="Compact"/>
                    <w:jc w:val="center"/>
                  </w:pPr>
                  <w:r>
                    <w:t>✗</w:t>
                  </w:r>
                </w:p>
              </w:tc>
              <w:tc>
                <w:tcPr>
                  <w:tcW w:w="633" w:type="dxa"/>
                </w:tcPr>
                <w:p w14:paraId="10D26E2A" w14:textId="77777777" w:rsidR="00BF57C6" w:rsidRDefault="00000000">
                  <w:pPr>
                    <w:pStyle w:val="Compact"/>
                    <w:jc w:val="center"/>
                  </w:pPr>
                  <w:r>
                    <w:t>✓</w:t>
                  </w:r>
                </w:p>
              </w:tc>
              <w:tc>
                <w:tcPr>
                  <w:tcW w:w="712" w:type="dxa"/>
                </w:tcPr>
                <w:p w14:paraId="73D8F22F" w14:textId="77777777" w:rsidR="00BF57C6" w:rsidRDefault="00000000">
                  <w:pPr>
                    <w:pStyle w:val="Compact"/>
                    <w:jc w:val="center"/>
                  </w:pPr>
                  <w:r>
                    <w:t>✓</w:t>
                  </w:r>
                </w:p>
              </w:tc>
              <w:tc>
                <w:tcPr>
                  <w:tcW w:w="633" w:type="dxa"/>
                </w:tcPr>
                <w:p w14:paraId="64CFE65D" w14:textId="77777777" w:rsidR="00BF57C6" w:rsidRDefault="00000000">
                  <w:pPr>
                    <w:pStyle w:val="Compact"/>
                    <w:jc w:val="center"/>
                  </w:pPr>
                  <w:r>
                    <w:t>✓</w:t>
                  </w:r>
                </w:p>
              </w:tc>
              <w:tc>
                <w:tcPr>
                  <w:tcW w:w="633" w:type="dxa"/>
                </w:tcPr>
                <w:p w14:paraId="16C57034" w14:textId="77777777" w:rsidR="00BF57C6" w:rsidRDefault="00000000">
                  <w:pPr>
                    <w:pStyle w:val="Compact"/>
                    <w:jc w:val="center"/>
                  </w:pPr>
                  <w:r>
                    <w:t>✓</w:t>
                  </w:r>
                </w:p>
              </w:tc>
              <w:tc>
                <w:tcPr>
                  <w:tcW w:w="633" w:type="dxa"/>
                </w:tcPr>
                <w:p w14:paraId="2F6E3C61" w14:textId="77777777" w:rsidR="00BF57C6" w:rsidRDefault="00000000">
                  <w:pPr>
                    <w:pStyle w:val="Compact"/>
                    <w:jc w:val="center"/>
                  </w:pPr>
                  <w:r>
                    <w:t>✓</w:t>
                  </w:r>
                </w:p>
              </w:tc>
              <w:tc>
                <w:tcPr>
                  <w:tcW w:w="633" w:type="dxa"/>
                </w:tcPr>
                <w:p w14:paraId="330F25A3" w14:textId="77777777" w:rsidR="00BF57C6" w:rsidRDefault="00000000">
                  <w:pPr>
                    <w:pStyle w:val="Compact"/>
                    <w:jc w:val="center"/>
                  </w:pPr>
                  <w:r>
                    <w:t>(✓)</w:t>
                  </w:r>
                  <w:r>
                    <w:rPr>
                      <w:vertAlign w:val="superscript"/>
                    </w:rPr>
                    <w:t>d</w:t>
                  </w:r>
                </w:p>
              </w:tc>
              <w:tc>
                <w:tcPr>
                  <w:tcW w:w="712" w:type="dxa"/>
                </w:tcPr>
                <w:p w14:paraId="6723B43B" w14:textId="77777777" w:rsidR="00BF57C6" w:rsidRDefault="00000000">
                  <w:pPr>
                    <w:pStyle w:val="Compact"/>
                    <w:jc w:val="center"/>
                  </w:pPr>
                  <w:r>
                    <w:t>(✓)</w:t>
                  </w:r>
                  <w:r>
                    <w:rPr>
                      <w:vertAlign w:val="superscript"/>
                    </w:rPr>
                    <w:t>d</w:t>
                  </w:r>
                </w:p>
              </w:tc>
              <w:tc>
                <w:tcPr>
                  <w:tcW w:w="1663" w:type="dxa"/>
                </w:tcPr>
                <w:p w14:paraId="5FC6295A" w14:textId="77777777" w:rsidR="00BF57C6" w:rsidRDefault="00000000">
                  <w:pPr>
                    <w:pStyle w:val="Compact"/>
                    <w:jc w:val="center"/>
                  </w:pPr>
                  <w:r>
                    <w:t>Audigier et al. (2018)</w:t>
                  </w:r>
                </w:p>
              </w:tc>
            </w:tr>
            <w:tr w:rsidR="00BF57C6" w14:paraId="4BD3B3FA" w14:textId="77777777">
              <w:tc>
                <w:tcPr>
                  <w:tcW w:w="1029" w:type="dxa"/>
                </w:tcPr>
                <w:p w14:paraId="7500C988" w14:textId="77777777" w:rsidR="00BF57C6" w:rsidRDefault="00000000">
                  <w:pPr>
                    <w:pStyle w:val="Compact"/>
                    <w:jc w:val="center"/>
                  </w:pPr>
                  <w:r>
                    <w:t>pan</w:t>
                  </w:r>
                </w:p>
              </w:tc>
              <w:tc>
                <w:tcPr>
                  <w:tcW w:w="633" w:type="dxa"/>
                </w:tcPr>
                <w:p w14:paraId="3A404C4F" w14:textId="77777777" w:rsidR="00BF57C6" w:rsidRDefault="00000000">
                  <w:pPr>
                    <w:pStyle w:val="Compact"/>
                    <w:jc w:val="center"/>
                  </w:pPr>
                  <w:r>
                    <w:t>✗</w:t>
                  </w:r>
                </w:p>
              </w:tc>
              <w:tc>
                <w:tcPr>
                  <w:tcW w:w="633" w:type="dxa"/>
                </w:tcPr>
                <w:p w14:paraId="4FBC4DBD" w14:textId="77777777" w:rsidR="00BF57C6" w:rsidRDefault="00000000">
                  <w:pPr>
                    <w:pStyle w:val="Compact"/>
                    <w:jc w:val="center"/>
                  </w:pPr>
                  <w:r>
                    <w:t>✓</w:t>
                  </w:r>
                </w:p>
              </w:tc>
              <w:tc>
                <w:tcPr>
                  <w:tcW w:w="712" w:type="dxa"/>
                </w:tcPr>
                <w:p w14:paraId="05FF19BD" w14:textId="77777777" w:rsidR="00BF57C6" w:rsidRDefault="00000000">
                  <w:pPr>
                    <w:pStyle w:val="Compact"/>
                    <w:jc w:val="center"/>
                  </w:pPr>
                  <w:r>
                    <w:t>✓</w:t>
                  </w:r>
                </w:p>
              </w:tc>
              <w:tc>
                <w:tcPr>
                  <w:tcW w:w="633" w:type="dxa"/>
                </w:tcPr>
                <w:p w14:paraId="268B257A" w14:textId="77777777" w:rsidR="00BF57C6" w:rsidRDefault="00000000">
                  <w:pPr>
                    <w:pStyle w:val="Compact"/>
                    <w:jc w:val="center"/>
                  </w:pPr>
                  <w:r>
                    <w:t>✓</w:t>
                  </w:r>
                </w:p>
              </w:tc>
              <w:tc>
                <w:tcPr>
                  <w:tcW w:w="633" w:type="dxa"/>
                </w:tcPr>
                <w:p w14:paraId="43298D8A" w14:textId="77777777" w:rsidR="00BF57C6" w:rsidRDefault="00000000">
                  <w:pPr>
                    <w:pStyle w:val="Compact"/>
                    <w:jc w:val="center"/>
                  </w:pPr>
                  <w:r>
                    <w:t>✗</w:t>
                  </w:r>
                </w:p>
              </w:tc>
              <w:tc>
                <w:tcPr>
                  <w:tcW w:w="633" w:type="dxa"/>
                </w:tcPr>
                <w:p w14:paraId="2C27C744" w14:textId="77777777" w:rsidR="00BF57C6" w:rsidRDefault="00000000">
                  <w:pPr>
                    <w:pStyle w:val="Compact"/>
                    <w:jc w:val="center"/>
                  </w:pPr>
                  <w:r>
                    <w:t>✗</w:t>
                  </w:r>
                </w:p>
              </w:tc>
              <w:tc>
                <w:tcPr>
                  <w:tcW w:w="633" w:type="dxa"/>
                </w:tcPr>
                <w:p w14:paraId="0D145745" w14:textId="77777777" w:rsidR="00BF57C6" w:rsidRDefault="00000000">
                  <w:pPr>
                    <w:pStyle w:val="Compact"/>
                    <w:jc w:val="center"/>
                  </w:pPr>
                  <w:r>
                    <w:t>✗</w:t>
                  </w:r>
                </w:p>
              </w:tc>
              <w:tc>
                <w:tcPr>
                  <w:tcW w:w="712" w:type="dxa"/>
                </w:tcPr>
                <w:p w14:paraId="6064A431" w14:textId="77777777" w:rsidR="00BF57C6" w:rsidRDefault="00000000">
                  <w:pPr>
                    <w:pStyle w:val="Compact"/>
                    <w:jc w:val="center"/>
                  </w:pPr>
                  <w:r>
                    <w:t>✗</w:t>
                  </w:r>
                </w:p>
              </w:tc>
              <w:tc>
                <w:tcPr>
                  <w:tcW w:w="1663" w:type="dxa"/>
                </w:tcPr>
                <w:p w14:paraId="0FFBD980" w14:textId="77777777" w:rsidR="00BF57C6" w:rsidRDefault="00000000">
                  <w:pPr>
                    <w:pStyle w:val="Compact"/>
                    <w:jc w:val="center"/>
                  </w:pPr>
                  <w:r>
                    <w:t>Schafer &amp; Yucel (2002)</w:t>
                  </w:r>
                </w:p>
              </w:tc>
            </w:tr>
            <w:tr w:rsidR="00BF57C6" w14:paraId="436E7ECB" w14:textId="77777777">
              <w:tc>
                <w:tcPr>
                  <w:tcW w:w="1029" w:type="dxa"/>
                </w:tcPr>
                <w:p w14:paraId="13AC6BAB" w14:textId="77777777" w:rsidR="00BF57C6" w:rsidRDefault="00000000">
                  <w:pPr>
                    <w:pStyle w:val="Compact"/>
                    <w:jc w:val="center"/>
                  </w:pPr>
                  <w:r>
                    <w:t>jomo</w:t>
                  </w:r>
                </w:p>
              </w:tc>
              <w:tc>
                <w:tcPr>
                  <w:tcW w:w="633" w:type="dxa"/>
                </w:tcPr>
                <w:p w14:paraId="58AB3D89" w14:textId="77777777" w:rsidR="00BF57C6" w:rsidRDefault="00000000">
                  <w:pPr>
                    <w:pStyle w:val="Compact"/>
                    <w:jc w:val="center"/>
                  </w:pPr>
                  <w:r>
                    <w:t>✗</w:t>
                  </w:r>
                </w:p>
              </w:tc>
              <w:tc>
                <w:tcPr>
                  <w:tcW w:w="633" w:type="dxa"/>
                </w:tcPr>
                <w:p w14:paraId="3C64965F" w14:textId="77777777" w:rsidR="00BF57C6" w:rsidRDefault="00000000">
                  <w:pPr>
                    <w:pStyle w:val="Compact"/>
                    <w:jc w:val="center"/>
                  </w:pPr>
                  <w:r>
                    <w:t>✓</w:t>
                  </w:r>
                </w:p>
              </w:tc>
              <w:tc>
                <w:tcPr>
                  <w:tcW w:w="712" w:type="dxa"/>
                </w:tcPr>
                <w:p w14:paraId="79E9A009" w14:textId="77777777" w:rsidR="00BF57C6" w:rsidRDefault="00000000">
                  <w:pPr>
                    <w:pStyle w:val="Compact"/>
                    <w:jc w:val="center"/>
                  </w:pPr>
                  <w:r>
                    <w:t>✓</w:t>
                  </w:r>
                </w:p>
              </w:tc>
              <w:tc>
                <w:tcPr>
                  <w:tcW w:w="633" w:type="dxa"/>
                </w:tcPr>
                <w:p w14:paraId="12AD7E32" w14:textId="77777777" w:rsidR="00BF57C6" w:rsidRDefault="00000000">
                  <w:pPr>
                    <w:pStyle w:val="Compact"/>
                    <w:jc w:val="center"/>
                  </w:pPr>
                  <w:r>
                    <w:t>✓</w:t>
                  </w:r>
                </w:p>
              </w:tc>
              <w:tc>
                <w:tcPr>
                  <w:tcW w:w="633" w:type="dxa"/>
                </w:tcPr>
                <w:p w14:paraId="24CF007C" w14:textId="77777777" w:rsidR="00BF57C6" w:rsidRDefault="00000000">
                  <w:pPr>
                    <w:pStyle w:val="Compact"/>
                    <w:jc w:val="center"/>
                  </w:pPr>
                  <w:r>
                    <w:t>✗</w:t>
                  </w:r>
                </w:p>
              </w:tc>
              <w:tc>
                <w:tcPr>
                  <w:tcW w:w="633" w:type="dxa"/>
                </w:tcPr>
                <w:p w14:paraId="345250FE" w14:textId="77777777" w:rsidR="00BF57C6" w:rsidRDefault="00000000">
                  <w:pPr>
                    <w:pStyle w:val="Compact"/>
                    <w:jc w:val="center"/>
                  </w:pPr>
                  <w:r>
                    <w:t>✓</w:t>
                  </w:r>
                </w:p>
              </w:tc>
              <w:tc>
                <w:tcPr>
                  <w:tcW w:w="633" w:type="dxa"/>
                </w:tcPr>
                <w:p w14:paraId="54F9DFBD" w14:textId="77777777" w:rsidR="00BF57C6" w:rsidRDefault="00000000">
                  <w:pPr>
                    <w:pStyle w:val="Compact"/>
                    <w:jc w:val="center"/>
                  </w:pPr>
                  <w:r>
                    <w:t>(✓)</w:t>
                  </w:r>
                  <w:r>
                    <w:rPr>
                      <w:vertAlign w:val="superscript"/>
                    </w:rPr>
                    <w:t>d</w:t>
                  </w:r>
                </w:p>
              </w:tc>
              <w:tc>
                <w:tcPr>
                  <w:tcW w:w="712" w:type="dxa"/>
                </w:tcPr>
                <w:p w14:paraId="110929BC" w14:textId="77777777" w:rsidR="00BF57C6" w:rsidRDefault="00000000">
                  <w:pPr>
                    <w:pStyle w:val="Compact"/>
                    <w:jc w:val="center"/>
                  </w:pPr>
                  <w:r>
                    <w:t>✓</w:t>
                  </w:r>
                </w:p>
              </w:tc>
              <w:tc>
                <w:tcPr>
                  <w:tcW w:w="1663" w:type="dxa"/>
                </w:tcPr>
                <w:p w14:paraId="2792BD22" w14:textId="77777777" w:rsidR="00BF57C6" w:rsidRDefault="00000000">
                  <w:pPr>
                    <w:pStyle w:val="Compact"/>
                    <w:jc w:val="center"/>
                  </w:pPr>
                  <w:r>
                    <w:t>Carpenter &amp; Kenward (2013)</w:t>
                  </w:r>
                </w:p>
              </w:tc>
            </w:tr>
            <w:tr w:rsidR="00BF57C6" w14:paraId="58B30A7F" w14:textId="77777777">
              <w:tc>
                <w:tcPr>
                  <w:tcW w:w="1029" w:type="dxa"/>
                </w:tcPr>
                <w:p w14:paraId="0103097E" w14:textId="77777777" w:rsidR="00BF57C6" w:rsidRDefault="00000000">
                  <w:pPr>
                    <w:pStyle w:val="Compact"/>
                    <w:jc w:val="center"/>
                  </w:pPr>
                  <w:r>
                    <w:t>mitml</w:t>
                  </w:r>
                </w:p>
              </w:tc>
              <w:tc>
                <w:tcPr>
                  <w:tcW w:w="633" w:type="dxa"/>
                </w:tcPr>
                <w:p w14:paraId="6C8FCEC8" w14:textId="77777777" w:rsidR="00BF57C6" w:rsidRDefault="00000000">
                  <w:pPr>
                    <w:pStyle w:val="Compact"/>
                    <w:jc w:val="center"/>
                  </w:pPr>
                  <w:r>
                    <w:t>✗</w:t>
                  </w:r>
                </w:p>
              </w:tc>
              <w:tc>
                <w:tcPr>
                  <w:tcW w:w="633" w:type="dxa"/>
                </w:tcPr>
                <w:p w14:paraId="63FCCEB5" w14:textId="77777777" w:rsidR="00BF57C6" w:rsidRDefault="00000000">
                  <w:pPr>
                    <w:pStyle w:val="Compact"/>
                    <w:jc w:val="center"/>
                  </w:pPr>
                  <w:r>
                    <w:t>✓</w:t>
                  </w:r>
                </w:p>
              </w:tc>
              <w:tc>
                <w:tcPr>
                  <w:tcW w:w="712" w:type="dxa"/>
                </w:tcPr>
                <w:p w14:paraId="7492EB50" w14:textId="77777777" w:rsidR="00BF57C6" w:rsidRDefault="00000000">
                  <w:pPr>
                    <w:pStyle w:val="Compact"/>
                    <w:jc w:val="center"/>
                  </w:pPr>
                  <w:r>
                    <w:t>✓</w:t>
                  </w:r>
                </w:p>
              </w:tc>
              <w:tc>
                <w:tcPr>
                  <w:tcW w:w="633" w:type="dxa"/>
                </w:tcPr>
                <w:p w14:paraId="435A5C0A" w14:textId="77777777" w:rsidR="00BF57C6" w:rsidRDefault="00000000">
                  <w:pPr>
                    <w:pStyle w:val="Compact"/>
                    <w:jc w:val="center"/>
                  </w:pPr>
                  <w:r>
                    <w:t>✓</w:t>
                  </w:r>
                </w:p>
              </w:tc>
              <w:tc>
                <w:tcPr>
                  <w:tcW w:w="633" w:type="dxa"/>
                </w:tcPr>
                <w:p w14:paraId="7C89CEC2" w14:textId="77777777" w:rsidR="00BF57C6" w:rsidRDefault="00000000">
                  <w:pPr>
                    <w:pStyle w:val="Compact"/>
                    <w:jc w:val="center"/>
                  </w:pPr>
                  <w:r>
                    <w:t>✗</w:t>
                  </w:r>
                </w:p>
              </w:tc>
              <w:tc>
                <w:tcPr>
                  <w:tcW w:w="633" w:type="dxa"/>
                </w:tcPr>
                <w:p w14:paraId="4DCDF498" w14:textId="77777777" w:rsidR="00BF57C6" w:rsidRDefault="00000000">
                  <w:pPr>
                    <w:pStyle w:val="Compact"/>
                    <w:jc w:val="center"/>
                  </w:pPr>
                  <w:r>
                    <w:t>✓</w:t>
                  </w:r>
                </w:p>
              </w:tc>
              <w:tc>
                <w:tcPr>
                  <w:tcW w:w="633" w:type="dxa"/>
                </w:tcPr>
                <w:p w14:paraId="712D3851" w14:textId="77777777" w:rsidR="00BF57C6" w:rsidRDefault="00000000">
                  <w:pPr>
                    <w:pStyle w:val="Compact"/>
                    <w:jc w:val="center"/>
                  </w:pPr>
                  <w:r>
                    <w:t>✗</w:t>
                  </w:r>
                </w:p>
              </w:tc>
              <w:tc>
                <w:tcPr>
                  <w:tcW w:w="712" w:type="dxa"/>
                </w:tcPr>
                <w:p w14:paraId="6ED6781B" w14:textId="77777777" w:rsidR="00BF57C6" w:rsidRDefault="00000000">
                  <w:pPr>
                    <w:pStyle w:val="Compact"/>
                    <w:jc w:val="center"/>
                  </w:pPr>
                  <w:r>
                    <w:t>✓</w:t>
                  </w:r>
                </w:p>
              </w:tc>
              <w:tc>
                <w:tcPr>
                  <w:tcW w:w="1663" w:type="dxa"/>
                </w:tcPr>
                <w:p w14:paraId="34CA873D" w14:textId="77777777" w:rsidR="00BF57C6" w:rsidRDefault="00000000">
                  <w:pPr>
                    <w:pStyle w:val="Compact"/>
                    <w:jc w:val="center"/>
                  </w:pPr>
                  <w:r>
                    <w:t>Grund et al. (2023)</w:t>
                  </w:r>
                </w:p>
              </w:tc>
            </w:tr>
            <w:tr w:rsidR="00BF57C6" w14:paraId="6DC57AB2" w14:textId="77777777">
              <w:tc>
                <w:tcPr>
                  <w:tcW w:w="1029" w:type="dxa"/>
                </w:tcPr>
                <w:p w14:paraId="67A69415" w14:textId="77777777" w:rsidR="00BF57C6" w:rsidRDefault="00000000">
                  <w:pPr>
                    <w:pStyle w:val="Compact"/>
                    <w:jc w:val="center"/>
                  </w:pPr>
                  <w:r>
                    <w:t>hmi</w:t>
                  </w:r>
                  <w:r>
                    <w:rPr>
                      <w:vertAlign w:val="superscript"/>
                    </w:rPr>
                    <w:t>c</w:t>
                  </w:r>
                </w:p>
              </w:tc>
              <w:tc>
                <w:tcPr>
                  <w:tcW w:w="633" w:type="dxa"/>
                </w:tcPr>
                <w:p w14:paraId="7C8BE3AF" w14:textId="77777777" w:rsidR="00BF57C6" w:rsidRDefault="00000000">
                  <w:pPr>
                    <w:pStyle w:val="Compact"/>
                    <w:jc w:val="center"/>
                  </w:pPr>
                  <w:r>
                    <w:t>✗</w:t>
                  </w:r>
                </w:p>
              </w:tc>
              <w:tc>
                <w:tcPr>
                  <w:tcW w:w="633" w:type="dxa"/>
                </w:tcPr>
                <w:p w14:paraId="1DAAACA8" w14:textId="77777777" w:rsidR="00BF57C6" w:rsidRDefault="00000000">
                  <w:pPr>
                    <w:pStyle w:val="Compact"/>
                    <w:jc w:val="center"/>
                  </w:pPr>
                  <w:r>
                    <w:t>✓</w:t>
                  </w:r>
                </w:p>
              </w:tc>
              <w:tc>
                <w:tcPr>
                  <w:tcW w:w="712" w:type="dxa"/>
                </w:tcPr>
                <w:p w14:paraId="37AE7B14" w14:textId="77777777" w:rsidR="00BF57C6" w:rsidRDefault="00000000">
                  <w:pPr>
                    <w:pStyle w:val="Compact"/>
                    <w:jc w:val="center"/>
                  </w:pPr>
                  <w:r>
                    <w:t>✓</w:t>
                  </w:r>
                </w:p>
              </w:tc>
              <w:tc>
                <w:tcPr>
                  <w:tcW w:w="633" w:type="dxa"/>
                </w:tcPr>
                <w:p w14:paraId="3BB48422" w14:textId="77777777" w:rsidR="00BF57C6" w:rsidRDefault="00000000">
                  <w:pPr>
                    <w:pStyle w:val="Compact"/>
                    <w:jc w:val="center"/>
                  </w:pPr>
                  <w:r>
                    <w:t>✓</w:t>
                  </w:r>
                </w:p>
              </w:tc>
              <w:tc>
                <w:tcPr>
                  <w:tcW w:w="633" w:type="dxa"/>
                </w:tcPr>
                <w:p w14:paraId="173DEC56" w14:textId="77777777" w:rsidR="00BF57C6" w:rsidRDefault="00000000">
                  <w:pPr>
                    <w:pStyle w:val="Compact"/>
                    <w:jc w:val="center"/>
                  </w:pPr>
                  <w:r>
                    <w:t>✓</w:t>
                  </w:r>
                </w:p>
              </w:tc>
              <w:tc>
                <w:tcPr>
                  <w:tcW w:w="633" w:type="dxa"/>
                </w:tcPr>
                <w:p w14:paraId="3DA06CDE" w14:textId="77777777" w:rsidR="00BF57C6" w:rsidRDefault="00000000">
                  <w:pPr>
                    <w:pStyle w:val="Compact"/>
                    <w:jc w:val="center"/>
                  </w:pPr>
                  <w:r>
                    <w:t>✓</w:t>
                  </w:r>
                </w:p>
              </w:tc>
              <w:tc>
                <w:tcPr>
                  <w:tcW w:w="633" w:type="dxa"/>
                </w:tcPr>
                <w:p w14:paraId="4E7D6161" w14:textId="77777777" w:rsidR="00BF57C6" w:rsidRDefault="00000000">
                  <w:pPr>
                    <w:pStyle w:val="Compact"/>
                    <w:jc w:val="center"/>
                  </w:pPr>
                  <w:r>
                    <w:t>✓</w:t>
                  </w:r>
                </w:p>
              </w:tc>
              <w:tc>
                <w:tcPr>
                  <w:tcW w:w="712" w:type="dxa"/>
                </w:tcPr>
                <w:p w14:paraId="3B0DB32F" w14:textId="77777777" w:rsidR="00BF57C6" w:rsidRDefault="00000000">
                  <w:pPr>
                    <w:pStyle w:val="Compact"/>
                    <w:jc w:val="center"/>
                  </w:pPr>
                  <w:r>
                    <w:t>✓</w:t>
                  </w:r>
                </w:p>
              </w:tc>
              <w:tc>
                <w:tcPr>
                  <w:tcW w:w="1663" w:type="dxa"/>
                </w:tcPr>
                <w:p w14:paraId="179FEFF6" w14:textId="77777777" w:rsidR="00BF57C6" w:rsidRDefault="00000000">
                  <w:pPr>
                    <w:pStyle w:val="Compact"/>
                    <w:jc w:val="center"/>
                  </w:pPr>
                  <w:r>
                    <w:t>Speidel et al. (2020)</w:t>
                  </w:r>
                </w:p>
              </w:tc>
            </w:tr>
            <w:tr w:rsidR="00BF57C6" w14:paraId="69674946" w14:textId="77777777">
              <w:tc>
                <w:tcPr>
                  <w:tcW w:w="1029" w:type="dxa"/>
                </w:tcPr>
                <w:p w14:paraId="4C00DFB2" w14:textId="77777777" w:rsidR="00BF57C6" w:rsidRDefault="00000000">
                  <w:pPr>
                    <w:pStyle w:val="Compact"/>
                    <w:jc w:val="center"/>
                  </w:pPr>
                  <w:r>
                    <w:t>mdmb</w:t>
                  </w:r>
                </w:p>
              </w:tc>
              <w:tc>
                <w:tcPr>
                  <w:tcW w:w="633" w:type="dxa"/>
                </w:tcPr>
                <w:p w14:paraId="58929232" w14:textId="77777777" w:rsidR="00BF57C6" w:rsidRDefault="00000000">
                  <w:pPr>
                    <w:pStyle w:val="Compact"/>
                    <w:jc w:val="center"/>
                  </w:pPr>
                  <w:r>
                    <w:t>✗</w:t>
                  </w:r>
                </w:p>
              </w:tc>
              <w:tc>
                <w:tcPr>
                  <w:tcW w:w="633" w:type="dxa"/>
                </w:tcPr>
                <w:p w14:paraId="09FF5C89" w14:textId="77777777" w:rsidR="00BF57C6" w:rsidRDefault="00000000">
                  <w:pPr>
                    <w:pStyle w:val="Compact"/>
                    <w:jc w:val="center"/>
                  </w:pPr>
                  <w:r>
                    <w:t>✓</w:t>
                  </w:r>
                </w:p>
              </w:tc>
              <w:tc>
                <w:tcPr>
                  <w:tcW w:w="712" w:type="dxa"/>
                </w:tcPr>
                <w:p w14:paraId="248DBB7A" w14:textId="77777777" w:rsidR="00BF57C6" w:rsidRDefault="00000000">
                  <w:pPr>
                    <w:pStyle w:val="Compact"/>
                    <w:jc w:val="center"/>
                  </w:pPr>
                  <w:r>
                    <w:t>(✓)</w:t>
                  </w:r>
                </w:p>
              </w:tc>
              <w:tc>
                <w:tcPr>
                  <w:tcW w:w="633" w:type="dxa"/>
                </w:tcPr>
                <w:p w14:paraId="6C5E0AA3" w14:textId="77777777" w:rsidR="00BF57C6" w:rsidRDefault="00000000">
                  <w:pPr>
                    <w:pStyle w:val="Compact"/>
                    <w:jc w:val="center"/>
                  </w:pPr>
                  <w:r>
                    <w:t>✓</w:t>
                  </w:r>
                </w:p>
              </w:tc>
              <w:tc>
                <w:tcPr>
                  <w:tcW w:w="633" w:type="dxa"/>
                </w:tcPr>
                <w:p w14:paraId="6ECB0ED1" w14:textId="77777777" w:rsidR="00BF57C6" w:rsidRDefault="00000000">
                  <w:pPr>
                    <w:pStyle w:val="Compact"/>
                    <w:jc w:val="center"/>
                  </w:pPr>
                  <w:r>
                    <w:t>✗</w:t>
                  </w:r>
                </w:p>
              </w:tc>
              <w:tc>
                <w:tcPr>
                  <w:tcW w:w="633" w:type="dxa"/>
                </w:tcPr>
                <w:p w14:paraId="7F044EA6" w14:textId="77777777" w:rsidR="00BF57C6" w:rsidRDefault="00000000">
                  <w:pPr>
                    <w:pStyle w:val="Compact"/>
                    <w:jc w:val="center"/>
                  </w:pPr>
                  <w:r>
                    <w:t>✓</w:t>
                  </w:r>
                </w:p>
              </w:tc>
              <w:tc>
                <w:tcPr>
                  <w:tcW w:w="633" w:type="dxa"/>
                </w:tcPr>
                <w:p w14:paraId="634A37B4" w14:textId="77777777" w:rsidR="00BF57C6" w:rsidRDefault="00000000">
                  <w:pPr>
                    <w:pStyle w:val="Compact"/>
                    <w:jc w:val="center"/>
                  </w:pPr>
                  <w:r>
                    <w:t>✓</w:t>
                  </w:r>
                </w:p>
              </w:tc>
              <w:tc>
                <w:tcPr>
                  <w:tcW w:w="712" w:type="dxa"/>
                </w:tcPr>
                <w:p w14:paraId="3147E8E8" w14:textId="77777777" w:rsidR="00BF57C6" w:rsidRDefault="00000000">
                  <w:pPr>
                    <w:pStyle w:val="Compact"/>
                    <w:jc w:val="center"/>
                  </w:pPr>
                  <w:r>
                    <w:t>✗</w:t>
                  </w:r>
                </w:p>
              </w:tc>
              <w:tc>
                <w:tcPr>
                  <w:tcW w:w="1663" w:type="dxa"/>
                </w:tcPr>
                <w:p w14:paraId="2EBED111" w14:textId="77777777" w:rsidR="00BF57C6" w:rsidRDefault="00000000">
                  <w:pPr>
                    <w:pStyle w:val="Compact"/>
                    <w:jc w:val="center"/>
                  </w:pPr>
                  <w:r>
                    <w:t>Robitzsch &amp; Lüdtke (2024)</w:t>
                  </w:r>
                </w:p>
              </w:tc>
            </w:tr>
            <w:tr w:rsidR="00BF57C6" w14:paraId="2047EB0E" w14:textId="77777777">
              <w:tc>
                <w:tcPr>
                  <w:tcW w:w="1029" w:type="dxa"/>
                </w:tcPr>
                <w:p w14:paraId="3A72E2F0" w14:textId="77777777" w:rsidR="00BF57C6" w:rsidRDefault="00000000">
                  <w:pPr>
                    <w:pStyle w:val="Compact"/>
                    <w:jc w:val="center"/>
                  </w:pPr>
                  <w:r>
                    <w:t>JointAI</w:t>
                  </w:r>
                </w:p>
              </w:tc>
              <w:tc>
                <w:tcPr>
                  <w:tcW w:w="633" w:type="dxa"/>
                </w:tcPr>
                <w:p w14:paraId="6478E93A" w14:textId="77777777" w:rsidR="00BF57C6" w:rsidRDefault="00000000">
                  <w:pPr>
                    <w:pStyle w:val="Compact"/>
                    <w:jc w:val="center"/>
                  </w:pPr>
                  <w:r>
                    <w:t>✗</w:t>
                  </w:r>
                </w:p>
              </w:tc>
              <w:tc>
                <w:tcPr>
                  <w:tcW w:w="633" w:type="dxa"/>
                </w:tcPr>
                <w:p w14:paraId="0D984052" w14:textId="77777777" w:rsidR="00BF57C6" w:rsidRDefault="00000000">
                  <w:pPr>
                    <w:pStyle w:val="Compact"/>
                    <w:jc w:val="center"/>
                  </w:pPr>
                  <w:r>
                    <w:t>(✓)</w:t>
                  </w:r>
                  <w:r>
                    <w:rPr>
                      <w:vertAlign w:val="superscript"/>
                    </w:rPr>
                    <w:t>e</w:t>
                  </w:r>
                </w:p>
              </w:tc>
              <w:tc>
                <w:tcPr>
                  <w:tcW w:w="712" w:type="dxa"/>
                </w:tcPr>
                <w:p w14:paraId="24E852FF" w14:textId="77777777" w:rsidR="00BF57C6" w:rsidRDefault="00000000">
                  <w:pPr>
                    <w:pStyle w:val="Compact"/>
                    <w:jc w:val="center"/>
                  </w:pPr>
                  <w:r>
                    <w:t>✓</w:t>
                  </w:r>
                </w:p>
              </w:tc>
              <w:tc>
                <w:tcPr>
                  <w:tcW w:w="633" w:type="dxa"/>
                </w:tcPr>
                <w:p w14:paraId="7FC4C5DE" w14:textId="77777777" w:rsidR="00BF57C6" w:rsidRDefault="00000000">
                  <w:pPr>
                    <w:pStyle w:val="Compact"/>
                    <w:jc w:val="center"/>
                  </w:pPr>
                  <w:r>
                    <w:t>✓</w:t>
                  </w:r>
                </w:p>
              </w:tc>
              <w:tc>
                <w:tcPr>
                  <w:tcW w:w="633" w:type="dxa"/>
                </w:tcPr>
                <w:p w14:paraId="3AE7CF8F" w14:textId="77777777" w:rsidR="00BF57C6" w:rsidRDefault="00000000">
                  <w:pPr>
                    <w:pStyle w:val="Compact"/>
                    <w:jc w:val="center"/>
                  </w:pPr>
                  <w:r>
                    <w:t>✓</w:t>
                  </w:r>
                </w:p>
              </w:tc>
              <w:tc>
                <w:tcPr>
                  <w:tcW w:w="633" w:type="dxa"/>
                </w:tcPr>
                <w:p w14:paraId="6A1268CE" w14:textId="77777777" w:rsidR="00BF57C6" w:rsidRDefault="00000000">
                  <w:pPr>
                    <w:pStyle w:val="Compact"/>
                    <w:jc w:val="center"/>
                  </w:pPr>
                  <w:r>
                    <w:t>✓</w:t>
                  </w:r>
                </w:p>
              </w:tc>
              <w:tc>
                <w:tcPr>
                  <w:tcW w:w="633" w:type="dxa"/>
                </w:tcPr>
                <w:p w14:paraId="5F4B8817" w14:textId="77777777" w:rsidR="00BF57C6" w:rsidRDefault="00000000">
                  <w:pPr>
                    <w:pStyle w:val="Compact"/>
                    <w:jc w:val="center"/>
                  </w:pPr>
                  <w:r>
                    <w:t>✓</w:t>
                  </w:r>
                </w:p>
              </w:tc>
              <w:tc>
                <w:tcPr>
                  <w:tcW w:w="712" w:type="dxa"/>
                </w:tcPr>
                <w:p w14:paraId="6FB0D1B7" w14:textId="77777777" w:rsidR="00BF57C6" w:rsidRDefault="00000000">
                  <w:pPr>
                    <w:pStyle w:val="Compact"/>
                    <w:jc w:val="center"/>
                  </w:pPr>
                  <w:r>
                    <w:t>✓</w:t>
                  </w:r>
                </w:p>
              </w:tc>
              <w:tc>
                <w:tcPr>
                  <w:tcW w:w="1663" w:type="dxa"/>
                </w:tcPr>
                <w:p w14:paraId="6D6A40E1" w14:textId="77777777" w:rsidR="00BF57C6" w:rsidRDefault="00000000">
                  <w:pPr>
                    <w:pStyle w:val="Compact"/>
                    <w:jc w:val="center"/>
                  </w:pPr>
                  <w:r>
                    <w:t>Erler et al. (2021)</w:t>
                  </w:r>
                </w:p>
              </w:tc>
            </w:tr>
            <w:tr w:rsidR="00BF57C6" w14:paraId="337D9203" w14:textId="77777777">
              <w:tc>
                <w:tcPr>
                  <w:tcW w:w="1029" w:type="dxa"/>
                </w:tcPr>
                <w:p w14:paraId="0211408C" w14:textId="77777777" w:rsidR="00BF57C6" w:rsidRDefault="00000000">
                  <w:pPr>
                    <w:pStyle w:val="Compact"/>
                    <w:jc w:val="center"/>
                  </w:pPr>
                  <w:r>
                    <w:t>smcfcs</w:t>
                  </w:r>
                </w:p>
              </w:tc>
              <w:tc>
                <w:tcPr>
                  <w:tcW w:w="633" w:type="dxa"/>
                </w:tcPr>
                <w:p w14:paraId="6AE5E0C5" w14:textId="77777777" w:rsidR="00BF57C6" w:rsidRDefault="00000000">
                  <w:pPr>
                    <w:pStyle w:val="Compact"/>
                    <w:jc w:val="center"/>
                  </w:pPr>
                  <w:r>
                    <w:t>✗</w:t>
                  </w:r>
                </w:p>
              </w:tc>
              <w:tc>
                <w:tcPr>
                  <w:tcW w:w="633" w:type="dxa"/>
                </w:tcPr>
                <w:p w14:paraId="0FECE254" w14:textId="77777777" w:rsidR="00BF57C6" w:rsidRDefault="00000000">
                  <w:pPr>
                    <w:pStyle w:val="Compact"/>
                    <w:jc w:val="center"/>
                  </w:pPr>
                  <w:r>
                    <w:t>✓</w:t>
                  </w:r>
                </w:p>
              </w:tc>
              <w:tc>
                <w:tcPr>
                  <w:tcW w:w="712" w:type="dxa"/>
                </w:tcPr>
                <w:p w14:paraId="0DB36532" w14:textId="77777777" w:rsidR="00BF57C6" w:rsidRDefault="00000000">
                  <w:pPr>
                    <w:pStyle w:val="Compact"/>
                    <w:jc w:val="center"/>
                  </w:pPr>
                  <w:r>
                    <w:t>✗</w:t>
                  </w:r>
                </w:p>
              </w:tc>
              <w:tc>
                <w:tcPr>
                  <w:tcW w:w="633" w:type="dxa"/>
                </w:tcPr>
                <w:p w14:paraId="363DD6E1" w14:textId="77777777" w:rsidR="00BF57C6" w:rsidRDefault="00000000">
                  <w:pPr>
                    <w:pStyle w:val="Compact"/>
                    <w:jc w:val="center"/>
                  </w:pPr>
                  <w:r>
                    <w:t>✓</w:t>
                  </w:r>
                </w:p>
              </w:tc>
              <w:tc>
                <w:tcPr>
                  <w:tcW w:w="633" w:type="dxa"/>
                </w:tcPr>
                <w:p w14:paraId="7D69338D" w14:textId="77777777" w:rsidR="00BF57C6" w:rsidRDefault="00000000">
                  <w:pPr>
                    <w:pStyle w:val="Compact"/>
                    <w:jc w:val="center"/>
                  </w:pPr>
                  <w:r>
                    <w:t>✓</w:t>
                  </w:r>
                </w:p>
              </w:tc>
              <w:tc>
                <w:tcPr>
                  <w:tcW w:w="633" w:type="dxa"/>
                </w:tcPr>
                <w:p w14:paraId="47EBA2CE" w14:textId="77777777" w:rsidR="00BF57C6" w:rsidRDefault="00000000">
                  <w:pPr>
                    <w:pStyle w:val="Compact"/>
                    <w:jc w:val="center"/>
                  </w:pPr>
                  <w:r>
                    <w:t>✓</w:t>
                  </w:r>
                </w:p>
              </w:tc>
              <w:tc>
                <w:tcPr>
                  <w:tcW w:w="633" w:type="dxa"/>
                </w:tcPr>
                <w:p w14:paraId="35D198F8" w14:textId="77777777" w:rsidR="00BF57C6" w:rsidRDefault="00000000">
                  <w:pPr>
                    <w:pStyle w:val="Compact"/>
                    <w:jc w:val="center"/>
                  </w:pPr>
                  <w:r>
                    <w:t>✓</w:t>
                  </w:r>
                </w:p>
              </w:tc>
              <w:tc>
                <w:tcPr>
                  <w:tcW w:w="712" w:type="dxa"/>
                </w:tcPr>
                <w:p w14:paraId="44E63DA8" w14:textId="77777777" w:rsidR="00BF57C6" w:rsidRDefault="00000000">
                  <w:pPr>
                    <w:pStyle w:val="Compact"/>
                    <w:jc w:val="center"/>
                  </w:pPr>
                  <w:r>
                    <w:t>✓</w:t>
                  </w:r>
                </w:p>
              </w:tc>
              <w:tc>
                <w:tcPr>
                  <w:tcW w:w="1663" w:type="dxa"/>
                </w:tcPr>
                <w:p w14:paraId="4FD82E85" w14:textId="77777777" w:rsidR="00BF57C6" w:rsidRDefault="00000000">
                  <w:pPr>
                    <w:pStyle w:val="Compact"/>
                    <w:jc w:val="center"/>
                  </w:pPr>
                  <w:r>
                    <w:t>Bartlett et al. (2015)</w:t>
                  </w:r>
                </w:p>
              </w:tc>
            </w:tr>
            <w:tr w:rsidR="00BF57C6" w14:paraId="6B9A0B05" w14:textId="77777777">
              <w:tc>
                <w:tcPr>
                  <w:tcW w:w="1029" w:type="dxa"/>
                </w:tcPr>
                <w:p w14:paraId="735753EE" w14:textId="77777777" w:rsidR="00BF57C6" w:rsidRDefault="00000000">
                  <w:pPr>
                    <w:pStyle w:val="Compact"/>
                    <w:jc w:val="center"/>
                  </w:pPr>
                  <w:r>
                    <w:t>missForest</w:t>
                  </w:r>
                </w:p>
              </w:tc>
              <w:tc>
                <w:tcPr>
                  <w:tcW w:w="633" w:type="dxa"/>
                </w:tcPr>
                <w:p w14:paraId="783BBF4D" w14:textId="77777777" w:rsidR="00BF57C6" w:rsidRDefault="00000000">
                  <w:pPr>
                    <w:pStyle w:val="Compact"/>
                    <w:jc w:val="center"/>
                  </w:pPr>
                  <w:r>
                    <w:t>✗</w:t>
                  </w:r>
                </w:p>
              </w:tc>
              <w:tc>
                <w:tcPr>
                  <w:tcW w:w="633" w:type="dxa"/>
                </w:tcPr>
                <w:p w14:paraId="2726F81E" w14:textId="77777777" w:rsidR="00BF57C6" w:rsidRDefault="00000000">
                  <w:pPr>
                    <w:pStyle w:val="Compact"/>
                    <w:jc w:val="center"/>
                  </w:pPr>
                  <w:r>
                    <w:t>✗</w:t>
                  </w:r>
                </w:p>
              </w:tc>
              <w:tc>
                <w:tcPr>
                  <w:tcW w:w="712" w:type="dxa"/>
                </w:tcPr>
                <w:p w14:paraId="1D095637" w14:textId="77777777" w:rsidR="00BF57C6" w:rsidRDefault="00000000">
                  <w:pPr>
                    <w:pStyle w:val="Compact"/>
                    <w:jc w:val="center"/>
                  </w:pPr>
                  <w:r>
                    <w:t>✗</w:t>
                  </w:r>
                </w:p>
              </w:tc>
              <w:tc>
                <w:tcPr>
                  <w:tcW w:w="633" w:type="dxa"/>
                </w:tcPr>
                <w:p w14:paraId="0A3D421E" w14:textId="77777777" w:rsidR="00BF57C6" w:rsidRDefault="00000000">
                  <w:pPr>
                    <w:pStyle w:val="Compact"/>
                    <w:jc w:val="center"/>
                  </w:pPr>
                  <w:r>
                    <w:t>✓</w:t>
                  </w:r>
                </w:p>
              </w:tc>
              <w:tc>
                <w:tcPr>
                  <w:tcW w:w="633" w:type="dxa"/>
                </w:tcPr>
                <w:p w14:paraId="6B1E2CF9" w14:textId="77777777" w:rsidR="00BF57C6" w:rsidRDefault="00000000">
                  <w:pPr>
                    <w:pStyle w:val="Compact"/>
                    <w:jc w:val="center"/>
                  </w:pPr>
                  <w:r>
                    <w:t>✗</w:t>
                  </w:r>
                </w:p>
              </w:tc>
              <w:tc>
                <w:tcPr>
                  <w:tcW w:w="633" w:type="dxa"/>
                </w:tcPr>
                <w:p w14:paraId="7FB02F82" w14:textId="77777777" w:rsidR="00BF57C6" w:rsidRDefault="00000000">
                  <w:pPr>
                    <w:pStyle w:val="Compact"/>
                    <w:jc w:val="center"/>
                  </w:pPr>
                  <w:r>
                    <w:t>✓</w:t>
                  </w:r>
                </w:p>
              </w:tc>
              <w:tc>
                <w:tcPr>
                  <w:tcW w:w="633" w:type="dxa"/>
                </w:tcPr>
                <w:p w14:paraId="251B9360" w14:textId="77777777" w:rsidR="00BF57C6" w:rsidRDefault="00000000">
                  <w:pPr>
                    <w:pStyle w:val="Compact"/>
                    <w:jc w:val="center"/>
                  </w:pPr>
                  <w:r>
                    <w:t>✗</w:t>
                  </w:r>
                </w:p>
              </w:tc>
              <w:tc>
                <w:tcPr>
                  <w:tcW w:w="712" w:type="dxa"/>
                </w:tcPr>
                <w:p w14:paraId="2DF19B2C" w14:textId="77777777" w:rsidR="00BF57C6" w:rsidRDefault="00000000">
                  <w:pPr>
                    <w:pStyle w:val="Compact"/>
                    <w:jc w:val="center"/>
                  </w:pPr>
                  <w:r>
                    <w:t>✓</w:t>
                  </w:r>
                </w:p>
              </w:tc>
              <w:tc>
                <w:tcPr>
                  <w:tcW w:w="1663" w:type="dxa"/>
                </w:tcPr>
                <w:p w14:paraId="28DAC3E6" w14:textId="77777777" w:rsidR="00BF57C6" w:rsidRDefault="00000000">
                  <w:pPr>
                    <w:pStyle w:val="Compact"/>
                    <w:jc w:val="center"/>
                  </w:pPr>
                  <w:r>
                    <w:t>Stekhoven &amp; Bühlmann (2012)</w:t>
                  </w:r>
                </w:p>
              </w:tc>
            </w:tr>
            <w:bookmarkEnd w:id="3"/>
          </w:tbl>
          <w:p w14:paraId="0FA5AF10" w14:textId="77777777" w:rsidR="00BF57C6" w:rsidRDefault="00BF57C6"/>
        </w:tc>
      </w:tr>
    </w:tbl>
    <w:p w14:paraId="5A231E16" w14:textId="77777777" w:rsidR="00BF57C6" w:rsidRDefault="00000000">
      <w:pPr>
        <w:pStyle w:val="BodyText"/>
      </w:pPr>
      <w:r>
        <w:rPr>
          <w:vertAlign w:val="superscript"/>
        </w:rPr>
        <w:t>a</w:t>
      </w:r>
      <w:r>
        <w:t xml:space="preserve"> Phylogenetic and species (replicated taxa) random effects; other grouping factors are not supported. </w:t>
      </w:r>
      <w:r>
        <w:rPr>
          <w:vertAlign w:val="superscript"/>
        </w:rPr>
        <w:t>b</w:t>
      </w:r>
      <w:r>
        <w:t xml:space="preserve"> Taxonomic hierarchy (species/genus/family), not a tree with branch lengths. </w:t>
      </w:r>
      <w:r>
        <w:rPr>
          <w:vertAlign w:val="superscript"/>
        </w:rPr>
        <w:t>c</w:t>
      </w:r>
      <w:r>
        <w:t xml:space="preserve"> Not on CRAN: </w:t>
      </w:r>
      <w:r>
        <w:rPr>
          <w:i/>
          <w:iCs/>
        </w:rPr>
        <w:t>phylomice</w:t>
      </w:r>
      <w:r>
        <w:t xml:space="preserve"> and </w:t>
      </w:r>
      <w:r>
        <w:rPr>
          <w:i/>
          <w:iCs/>
        </w:rPr>
        <w:t>TDIP</w:t>
      </w:r>
      <w:r>
        <w:t xml:space="preserve"> (GitHub only), </w:t>
      </w:r>
      <w:r>
        <w:rPr>
          <w:i/>
          <w:iCs/>
        </w:rPr>
        <w:t>BHPMF</w:t>
      </w:r>
      <w:r>
        <w:t xml:space="preserve"> (archived 2017), </w:t>
      </w:r>
      <w:r>
        <w:rPr>
          <w:i/>
          <w:iCs/>
        </w:rPr>
        <w:t>hmi</w:t>
      </w:r>
      <w:r>
        <w:t xml:space="preserve"> (removed 2022). </w:t>
      </w:r>
      <w:r>
        <w:rPr>
          <w:vertAlign w:val="superscript"/>
        </w:rPr>
        <w:t>d</w:t>
      </w:r>
      <w:r>
        <w:t xml:space="preserve"> Ordinal/nominal support is limited: single-level methods only (</w:t>
      </w:r>
      <w:r>
        <w:rPr>
          <w:i/>
          <w:iCs/>
        </w:rPr>
        <w:t>micemd</w:t>
      </w:r>
      <w:r>
        <w:t xml:space="preserve">), predictive mean matching </w:t>
      </w:r>
      <w:r>
        <w:lastRenderedPageBreak/>
        <w:t>rather than an ordinal model (</w:t>
      </w:r>
      <w:r>
        <w:rPr>
          <w:i/>
          <w:iCs/>
        </w:rPr>
        <w:t>miceadds</w:t>
      </w:r>
      <w:r>
        <w:t>, whose multilevel methods also cannot impute nominal variables), or substantive-model-compatible outcome models only (</w:t>
      </w:r>
      <w:r>
        <w:rPr>
          <w:i/>
          <w:iCs/>
        </w:rPr>
        <w:t>jomo</w:t>
      </w:r>
      <w:r>
        <w:t xml:space="preserve">). </w:t>
      </w:r>
      <w:r>
        <w:rPr>
          <w:vertAlign w:val="superscript"/>
        </w:rPr>
        <w:t>e</w:t>
      </w:r>
      <w:r>
        <w:t xml:space="preserve"> Imputation is integrated with the analysis model (fully Bayesian); imputed datasets can be exported.</w:t>
      </w:r>
    </w:p>
    <w:p w14:paraId="10462383" w14:textId="77777777" w:rsidR="00BF57C6" w:rsidRDefault="00000000">
      <w:pPr>
        <w:pStyle w:val="Heading1"/>
      </w:pPr>
      <w:bookmarkStart w:id="4" w:name="the-bace-r-package-how-it-works"/>
      <w:bookmarkEnd w:id="1"/>
      <w:r>
        <w:t xml:space="preserve">The </w:t>
      </w:r>
      <w:r>
        <w:rPr>
          <w:i/>
          <w:iCs/>
        </w:rPr>
        <w:t>BACE</w:t>
      </w:r>
      <w:r>
        <w:t xml:space="preserve"> R package: How it works?</w:t>
      </w:r>
    </w:p>
    <w:p w14:paraId="6DCD132E" w14:textId="77777777" w:rsidR="00BF57C6" w:rsidRDefault="00000000">
      <w:pPr>
        <w:pStyle w:val="FirstParagraph"/>
      </w:pPr>
      <w:r>
        <w:rPr>
          <w:i/>
          <w:iCs/>
        </w:rPr>
        <w:t>BACE</w:t>
      </w:r>
      <w:r>
        <w:t xml:space="preserve"> generates multiple completed datasets or pooled model(s) from comparative data with missing trait values (</w:t>
      </w:r>
      <w:hyperlink w:anchor="fig-bace-workflow">
        <w:r>
          <w:rPr>
            <w:rStyle w:val="Hyperlink"/>
          </w:rPr>
          <w:t>Figure 1</w:t>
        </w:r>
      </w:hyperlink>
      <w:r>
        <w:t>). Users provide a data frame with species identifiers, a phylogeny with branch lengths, and model formulas specifying the predictors of each incomplete trait (</w:t>
      </w:r>
      <w:hyperlink w:anchor="fig-bace-workflow">
        <w:r>
          <w:rPr>
            <w:rStyle w:val="Hyperlink"/>
          </w:rPr>
          <w:t>Figure 1</w:t>
        </w:r>
      </w:hyperlink>
      <w:r>
        <w:t xml:space="preserve">, step 1). Continuous, count, binary, ordered categorical and unordered categorical traits can be included in the same dataset. Each trait’s type is declared by how its column is stored in the data frame (numeric for continuous, integer for counts, factors — ordered or unordered — for categorical traits). </w:t>
      </w:r>
      <w:r>
        <w:rPr>
          <w:i/>
          <w:iCs/>
        </w:rPr>
        <w:t>BACE</w:t>
      </w:r>
      <w:r>
        <w:t xml:space="preserve"> then selects the correct error distribution for the model automatically. For example, if the response variable is a count a Poisson error distribution (log link) is used whereas if the response is a two-level categorical variable it will use a Bernoulli error distribution (logit link). Because the phylogenetic tree is user-supplied, evolutionary models other than Brownian motion can also be accommodated. For example, any model expressible as a branch-length transformation — Pagel’s κ and δ, early burst, or single-optimum Ornstein–Uhlenbeck on an ultrametric tree — is fitted by transforming the tree before imputation, with the transform parameter estimated externally (Blomberg et al., 2003; Hansen, 1997; Pagel, 1999).</w:t>
      </w:r>
    </w:p>
    <w:p w14:paraId="6F65CD8F" w14:textId="77777777" w:rsidR="00BF57C6" w:rsidRDefault="00000000">
      <w:pPr>
        <w:pStyle w:val="BodyText"/>
      </w:pPr>
      <w:r>
        <w:rPr>
          <w:i/>
          <w:iCs/>
        </w:rPr>
        <w:t>BACE</w:t>
      </w:r>
      <w:r>
        <w:t xml:space="preserve"> fits a separate phylogenetic mixed model for each incomplete trait with </w:t>
      </w:r>
      <w:r>
        <w:rPr>
          <w:i/>
          <w:iCs/>
        </w:rPr>
        <w:t>MCMCglmm</w:t>
      </w:r>
      <w:r>
        <w:t xml:space="preserve"> (Hadfield, 2010). Each model uses relationships among traits and shared evolutionary history to inform probable missing values. When species have repeated observations, a separate species effect can account for similarities not explained by the phylogeny (Cinar et al., 2022; Hadfield &amp; Nakagawa, 2010; Nakagawa &amp; Santos, 2012). Imputation has two phases. First, the models are fitted repeatedly, updating missing values with point estimates until these estimates stabilise (</w:t>
      </w:r>
      <w:hyperlink w:anchor="fig-bace-workflow">
        <w:r>
          <w:rPr>
            <w:rStyle w:val="Hyperlink"/>
          </w:rPr>
          <w:t>Figure 1</w:t>
        </w:r>
      </w:hyperlink>
      <w:r>
        <w:t xml:space="preserve">, step 2). Once the chained equations stabilise, </w:t>
      </w:r>
      <w:r>
        <w:rPr>
          <w:i/>
          <w:iCs/>
        </w:rPr>
        <w:t>BACE</w:t>
      </w:r>
      <w:r>
        <w:t xml:space="preserve"> cycles through the models again, drawing plausible missing values from their posterior predictive distributions (</w:t>
      </w:r>
      <w:hyperlink w:anchor="fig-bace-workflow">
        <w:r>
          <w:rPr>
            <w:rStyle w:val="Hyperlink"/>
          </w:rPr>
          <w:t>Figure 1</w:t>
        </w:r>
      </w:hyperlink>
      <w:r>
        <w:t xml:space="preserve">, step 3). Repeating this process produces </w:t>
      </w:r>
      <w:r>
        <w:rPr>
          <w:i/>
          <w:iCs/>
        </w:rPr>
        <w:t>m</w:t>
      </w:r>
      <w:r>
        <w:t xml:space="preserve"> completed datasets, each retaining the original observed values.</w:t>
      </w:r>
    </w:p>
    <w:p w14:paraId="2F8BDEE9" w14:textId="77777777" w:rsidR="00BF57C6" w:rsidRDefault="00000000">
      <w:pPr>
        <w:pStyle w:val="BodyText"/>
      </w:pPr>
      <w:r>
        <w:t xml:space="preserve">The main function </w:t>
      </w:r>
      <w:r>
        <w:rPr>
          <w:rStyle w:val="VerbatimChar"/>
        </w:rPr>
        <w:t>bace()</w:t>
      </w:r>
      <w:r>
        <w:t xml:space="preserve"> runs this workflow and returns completed datasets, fitted models and diagnostics. Posterior draws from the fitted imputation models can be pooled when their parameters are of direct interest. Pooled model parameters account for both parameter and between imputation uncertainty. Alternatively, users can fit a different analysis model to each completed dataset, combining posterior draws for Bayesian analyses or estimates and variances using Rubin’s rules (Rubin, 1987; Zhou &amp; Reiter, 2010). Either way, imputation uncertainty is carried into downstream analyses (</w:t>
      </w:r>
      <w:hyperlink w:anchor="fig-bace-workflow">
        <w:r>
          <w:rPr>
            <w:rStyle w:val="Hyperlink"/>
          </w:rPr>
          <w:t>Figure 1</w:t>
        </w:r>
      </w:hyperlink>
      <w:r>
        <w:t xml:space="preserve">, step 4). </w:t>
      </w:r>
      <w:r>
        <w:rPr>
          <w:i/>
          <w:iCs/>
        </w:rPr>
        <w:t>BACE</w:t>
      </w:r>
      <w:r>
        <w:t xml:space="preserve"> also provides convergence diagnostics which help to identify possible issues during model fitting that need to be checked prior to inference. At times, different priors or a different number of MCMC iterations are needed to ensure parameters are estimated with a sufficient effective sample size and to ensure proper MCMC chain mixing. </w:t>
      </w:r>
      <w:r>
        <w:rPr>
          <w:rStyle w:val="VerbatimChar"/>
        </w:rPr>
        <w:t>bace()</w:t>
      </w:r>
      <w:r>
        <w:t xml:space="preserve"> provides arguments to modify both of these for model fitting.</w:t>
      </w:r>
    </w:p>
    <w:p w14:paraId="23F36325" w14:textId="77777777" w:rsidR="00BF57C6" w:rsidRDefault="00000000">
      <w:pPr>
        <w:pStyle w:val="Heading2"/>
      </w:pPr>
      <w:bookmarkStart w:id="5" w:name="typical-bace-workflow"/>
      <w:r>
        <w:t xml:space="preserve">Typical </w:t>
      </w:r>
      <w:r>
        <w:rPr>
          <w:i/>
          <w:iCs/>
        </w:rPr>
        <w:t>BACE</w:t>
      </w:r>
      <w:r>
        <w:t xml:space="preserve"> workflow</w:t>
      </w:r>
    </w:p>
    <w:p w14:paraId="4B2F3564" w14:textId="77777777" w:rsidR="00BF57C6" w:rsidRDefault="00000000">
      <w:pPr>
        <w:pStyle w:val="FirstParagraph"/>
      </w:pPr>
      <w:r>
        <w:t xml:space="preserve">We demonstrate the typical user workflow in the code below, and </w:t>
      </w:r>
      <w:hyperlink w:anchor="fig-function-map">
        <w:r>
          <w:rPr>
            <w:rStyle w:val="Hyperlink"/>
          </w:rPr>
          <w:t>Figure 2</w:t>
        </w:r>
      </w:hyperlink>
      <w:r>
        <w:t xml:space="preserve"> maps the package’s relevant functions onto the workflow steps, including the alternative Rubin’s-rules pathway. A detailed tutorial with simulated data, and demonstrating our case studies, is also provided in the package documentation (https://daniel1noble.github.io/BACE/).</w:t>
      </w:r>
    </w:p>
    <w:p w14:paraId="6D202AF2" w14:textId="77777777" w:rsidR="00BF57C6" w:rsidRDefault="00000000">
      <w:pPr>
        <w:pStyle w:val="BodyText"/>
      </w:pPr>
      <w:r>
        <w:t xml:space="preserve">For users wishing to test out </w:t>
      </w:r>
      <w:r>
        <w:rPr>
          <w:i/>
          <w:iCs/>
        </w:rPr>
        <w:t>BACE</w:t>
      </w:r>
      <w:r>
        <w:t xml:space="preserve"> or conduct simulations based on characteristics of their data, we also provide a simulation function </w:t>
      </w:r>
      <w:r>
        <w:rPr>
          <w:rStyle w:val="VerbatimChar"/>
        </w:rPr>
        <w:t>sim_bace()</w:t>
      </w:r>
      <w:r>
        <w:t xml:space="preserve">. </w:t>
      </w:r>
      <w:r>
        <w:rPr>
          <w:rStyle w:val="VerbatimChar"/>
        </w:rPr>
        <w:t>sim_bace()</w:t>
      </w:r>
      <w:r>
        <w:t xml:space="preserve"> allows users to control the number of species, replicate observations per species, level of missing trait data, the distribution type of </w:t>
      </w:r>
      <w:r>
        <w:lastRenderedPageBreak/>
        <w:t>response and predictor variables, and the strength of the phylogenetic signal in each trait. Such simulations can help in planning analyses and identifying their power.</w:t>
      </w:r>
    </w:p>
    <w:p w14:paraId="061C7C28" w14:textId="77777777" w:rsidR="00BF57C6" w:rsidRDefault="00000000">
      <w:pPr>
        <w:pStyle w:val="SourceCode"/>
      </w:pPr>
      <w:r>
        <w:rPr>
          <w:rStyle w:val="CommentTok"/>
        </w:rPr>
        <w:t># 1) Prepare data and tree (rows = taxa; factors declared; counts as integers)</w:t>
      </w:r>
      <w:r>
        <w:br/>
      </w:r>
      <w:r>
        <w:rPr>
          <w:rStyle w:val="CommentTok"/>
        </w:rPr>
        <w:t># 2) Run the full workflow: chained imputation -&gt; convergence check -&gt;</w:t>
      </w:r>
      <w:r>
        <w:br/>
      </w:r>
      <w:r>
        <w:rPr>
          <w:rStyle w:val="CommentTok"/>
        </w:rPr>
        <w:t>#    n_final posterior-predictive imputations -&gt; pooled posteriors</w:t>
      </w:r>
      <w:r>
        <w:br/>
      </w:r>
      <w:r>
        <w:rPr>
          <w:rStyle w:val="NormalTok"/>
        </w:rPr>
        <w:t xml:space="preserve">res </w:t>
      </w:r>
      <w:r>
        <w:rPr>
          <w:rStyle w:val="OtherTok"/>
        </w:rPr>
        <w:t>&lt;-</w:t>
      </w:r>
      <w:r>
        <w:rPr>
          <w:rStyle w:val="NormalTok"/>
        </w:rPr>
        <w:t xml:space="preserve"> </w:t>
      </w:r>
      <w:r>
        <w:rPr>
          <w:rStyle w:val="FunctionTok"/>
        </w:rPr>
        <w:t>bace</w:t>
      </w:r>
      <w:r>
        <w:rPr>
          <w:rStyle w:val="NormalTok"/>
        </w:rPr>
        <w:t>(</w:t>
      </w:r>
      <w:r>
        <w:rPr>
          <w:rStyle w:val="AttributeTok"/>
        </w:rPr>
        <w:t>fixformula     =</w:t>
      </w:r>
      <w:r>
        <w:rPr>
          <w:rStyle w:val="NormalTok"/>
        </w:rPr>
        <w:t xml:space="preserve"> </w:t>
      </w:r>
      <w:r>
        <w:rPr>
          <w:rStyle w:val="StringTok"/>
        </w:rPr>
        <w:t>"y ~ x1 + x2"</w:t>
      </w:r>
      <w:r>
        <w:rPr>
          <w:rStyle w:val="NormalTok"/>
        </w:rPr>
        <w:t>,</w:t>
      </w:r>
      <w:r>
        <w:br/>
      </w:r>
      <w:r>
        <w:rPr>
          <w:rStyle w:val="NormalTok"/>
        </w:rPr>
        <w:t xml:space="preserve">            </w:t>
      </w:r>
      <w:r>
        <w:rPr>
          <w:rStyle w:val="AttributeTok"/>
        </w:rPr>
        <w:t>ran_phylo_form =</w:t>
      </w:r>
      <w:r>
        <w:rPr>
          <w:rStyle w:val="NormalTok"/>
        </w:rPr>
        <w:t xml:space="preserve"> </w:t>
      </w:r>
      <w:r>
        <w:rPr>
          <w:rStyle w:val="StringTok"/>
        </w:rPr>
        <w:t>"~ 1 | Species"</w:t>
      </w:r>
      <w:r>
        <w:rPr>
          <w:rStyle w:val="NormalTok"/>
        </w:rPr>
        <w:t>,</w:t>
      </w:r>
      <w:r>
        <w:br/>
      </w:r>
      <w:r>
        <w:rPr>
          <w:rStyle w:val="NormalTok"/>
        </w:rPr>
        <w:t xml:space="preserve">            </w:t>
      </w:r>
      <w:r>
        <w:rPr>
          <w:rStyle w:val="AttributeTok"/>
        </w:rPr>
        <w:t>phylo          =</w:t>
      </w:r>
      <w:r>
        <w:rPr>
          <w:rStyle w:val="NormalTok"/>
        </w:rPr>
        <w:t xml:space="preserve"> tree,</w:t>
      </w:r>
      <w:r>
        <w:br/>
      </w:r>
      <w:r>
        <w:rPr>
          <w:rStyle w:val="NormalTok"/>
        </w:rPr>
        <w:t xml:space="preserve">            </w:t>
      </w:r>
      <w:r>
        <w:rPr>
          <w:rStyle w:val="AttributeTok"/>
        </w:rPr>
        <w:t>data           =</w:t>
      </w:r>
      <w:r>
        <w:rPr>
          <w:rStyle w:val="NormalTok"/>
        </w:rPr>
        <w:t xml:space="preserve"> dat,</w:t>
      </w:r>
      <w:r>
        <w:br/>
      </w:r>
      <w:r>
        <w:rPr>
          <w:rStyle w:val="NormalTok"/>
        </w:rPr>
        <w:t xml:space="preserve">            </w:t>
      </w:r>
      <w:r>
        <w:rPr>
          <w:rStyle w:val="AttributeTok"/>
        </w:rPr>
        <w:t>runs           =</w:t>
      </w:r>
      <w:r>
        <w:rPr>
          <w:rStyle w:val="NormalTok"/>
        </w:rPr>
        <w:t xml:space="preserve"> </w:t>
      </w:r>
      <w:r>
        <w:rPr>
          <w:rStyle w:val="DecValTok"/>
        </w:rPr>
        <w:t>10</w:t>
      </w:r>
      <w:r>
        <w:rPr>
          <w:rStyle w:val="NormalTok"/>
        </w:rPr>
        <w:t xml:space="preserve">, </w:t>
      </w:r>
      <w:r>
        <w:rPr>
          <w:rStyle w:val="AttributeTok"/>
        </w:rPr>
        <w:t>n_final =</w:t>
      </w:r>
      <w:r>
        <w:rPr>
          <w:rStyle w:val="NormalTok"/>
        </w:rPr>
        <w:t xml:space="preserve"> </w:t>
      </w:r>
      <w:r>
        <w:rPr>
          <w:rStyle w:val="DecValTok"/>
        </w:rPr>
        <w:t>50</w:t>
      </w:r>
      <w:r>
        <w:rPr>
          <w:rStyle w:val="NormalTok"/>
        </w:rPr>
        <w:t>)</w:t>
      </w:r>
      <w:r>
        <w:br/>
      </w:r>
      <w:r>
        <w:br/>
      </w:r>
      <w:r>
        <w:rPr>
          <w:rStyle w:val="CommentTok"/>
        </w:rPr>
        <w:t># 3) Diagnostics</w:t>
      </w:r>
      <w:r>
        <w:br/>
      </w:r>
      <w:r>
        <w:rPr>
          <w:rStyle w:val="FunctionTok"/>
        </w:rPr>
        <w:t>plot</w:t>
      </w:r>
      <w:r>
        <w:rPr>
          <w:rStyle w:val="NormalTok"/>
        </w:rPr>
        <w:t>(</w:t>
      </w:r>
      <w:r>
        <w:rPr>
          <w:rStyle w:val="FunctionTok"/>
        </w:rPr>
        <w:t>assess_convergence</w:t>
      </w:r>
      <w:r>
        <w:rPr>
          <w:rStyle w:val="NormalTok"/>
        </w:rPr>
        <w:t>(res</w:t>
      </w:r>
      <w:r>
        <w:rPr>
          <w:rStyle w:val="SpecialCharTok"/>
        </w:rPr>
        <w:t>$</w:t>
      </w:r>
      <w:r>
        <w:rPr>
          <w:rStyle w:val="NormalTok"/>
        </w:rPr>
        <w:t>initial_results))</w:t>
      </w:r>
      <w:r>
        <w:br/>
      </w:r>
      <w:r>
        <w:br/>
      </w:r>
      <w:r>
        <w:rPr>
          <w:rStyle w:val="CommentTok"/>
        </w:rPr>
        <w:t># 4a) Bayesian route: pooled MCMCglmm posteriors</w:t>
      </w:r>
      <w:r>
        <w:br/>
      </w:r>
      <w:r>
        <w:rPr>
          <w:rStyle w:val="FunctionTok"/>
        </w:rPr>
        <w:t>summary</w:t>
      </w:r>
      <w:r>
        <w:rPr>
          <w:rStyle w:val="NormalTok"/>
        </w:rPr>
        <w:t>(</w:t>
      </w:r>
      <w:r>
        <w:rPr>
          <w:rStyle w:val="FunctionTok"/>
        </w:rPr>
        <w:t>get_pooled_model</w:t>
      </w:r>
      <w:r>
        <w:rPr>
          <w:rStyle w:val="NormalTok"/>
        </w:rPr>
        <w:t xml:space="preserve">(res, </w:t>
      </w:r>
      <w:r>
        <w:rPr>
          <w:rStyle w:val="StringTok"/>
        </w:rPr>
        <w:t>"y"</w:t>
      </w:r>
      <w:r>
        <w:rPr>
          <w:rStyle w:val="NormalTok"/>
        </w:rPr>
        <w:t>))</w:t>
      </w:r>
      <w:r>
        <w:br/>
      </w:r>
      <w:r>
        <w:br/>
      </w:r>
      <w:r>
        <w:rPr>
          <w:rStyle w:val="CommentTok"/>
        </w:rPr>
        <w:t># 4b) Rubin's-rules route: any downstream model per imputed dataset</w:t>
      </w:r>
      <w:r>
        <w:br/>
      </w:r>
      <w:r>
        <w:rPr>
          <w:rStyle w:val="NormalTok"/>
        </w:rPr>
        <w:t xml:space="preserve">fits </w:t>
      </w:r>
      <w:r>
        <w:rPr>
          <w:rStyle w:val="OtherTok"/>
        </w:rPr>
        <w:t>&lt;-</w:t>
      </w:r>
      <w:r>
        <w:rPr>
          <w:rStyle w:val="NormalTok"/>
        </w:rPr>
        <w:t xml:space="preserve"> </w:t>
      </w:r>
      <w:r>
        <w:rPr>
          <w:rStyle w:val="FunctionTok"/>
        </w:rPr>
        <w:t>with_imputations</w:t>
      </w:r>
      <w:r>
        <w:rPr>
          <w:rStyle w:val="NormalTok"/>
        </w:rPr>
        <w:t xml:space="preserve">(res, </w:t>
      </w:r>
      <w:r>
        <w:rPr>
          <w:rStyle w:val="ControlFlowTok"/>
        </w:rPr>
        <w:t>function</w:t>
      </w:r>
      <w:r>
        <w:rPr>
          <w:rStyle w:val="NormalTok"/>
        </w:rPr>
        <w:t xml:space="preserve">(d) </w:t>
      </w:r>
      <w:r>
        <w:rPr>
          <w:rStyle w:val="FunctionTok"/>
        </w:rPr>
        <w:t>lm</w:t>
      </w:r>
      <w:r>
        <w:rPr>
          <w:rStyle w:val="NormalTok"/>
        </w:rPr>
        <w:t xml:space="preserve">(y </w:t>
      </w:r>
      <w:r>
        <w:rPr>
          <w:rStyle w:val="SpecialCharTok"/>
        </w:rPr>
        <w:t>~</w:t>
      </w:r>
      <w:r>
        <w:rPr>
          <w:rStyle w:val="NormalTok"/>
        </w:rPr>
        <w:t xml:space="preserve"> x1 </w:t>
      </w:r>
      <w:r>
        <w:rPr>
          <w:rStyle w:val="SpecialCharTok"/>
        </w:rPr>
        <w:t>+</w:t>
      </w:r>
      <w:r>
        <w:rPr>
          <w:rStyle w:val="NormalTok"/>
        </w:rPr>
        <w:t xml:space="preserve"> x2, </w:t>
      </w:r>
      <w:r>
        <w:rPr>
          <w:rStyle w:val="AttributeTok"/>
        </w:rPr>
        <w:t>data =</w:t>
      </w:r>
      <w:r>
        <w:rPr>
          <w:rStyle w:val="NormalTok"/>
        </w:rPr>
        <w:t xml:space="preserve"> d))</w:t>
      </w:r>
      <w:r>
        <w:br/>
      </w:r>
      <w:r>
        <w:rPr>
          <w:rStyle w:val="FunctionTok"/>
        </w:rPr>
        <w:t>pool_mi</w:t>
      </w:r>
      <w:r>
        <w:rPr>
          <w:rStyle w:val="NormalTok"/>
        </w:rPr>
        <w:t>(fits)</w:t>
      </w:r>
    </w:p>
    <w:p w14:paraId="0DD3AFC6" w14:textId="77777777" w:rsidR="00BF57C6" w:rsidRDefault="00000000">
      <w:pPr>
        <w:pStyle w:val="FirstParagraph"/>
      </w:pPr>
      <w:r>
        <w:rPr>
          <w:i/>
          <w:iCs/>
        </w:rPr>
        <w:t>BACE</w:t>
      </w:r>
      <w:r>
        <w:t xml:space="preserve"> users with existing species trait datasets can apply the </w:t>
      </w:r>
      <w:r>
        <w:rPr>
          <w:i/>
          <w:iCs/>
        </w:rPr>
        <w:t>BACE</w:t>
      </w:r>
      <w:r>
        <w:t xml:space="preserve"> workflow by specifying the imputation and/or analysis model(s) in </w:t>
      </w:r>
      <w:r>
        <w:rPr>
          <w:rStyle w:val="VerbatimChar"/>
        </w:rPr>
        <w:t>bace()</w:t>
      </w:r>
      <w:r>
        <w:t xml:space="preserve">. Model formulas can be provided as a single formula or a list of formulas, one for each missing response variable, defined by the argument </w:t>
      </w:r>
      <w:r>
        <w:rPr>
          <w:rStyle w:val="VerbatimChar"/>
        </w:rPr>
        <w:t>fixformula</w:t>
      </w:r>
      <w:r>
        <w:t xml:space="preserve">. Users then supply the name of species-level random effect as a formula (using argument </w:t>
      </w:r>
      <w:r>
        <w:rPr>
          <w:rStyle w:val="VerbatimChar"/>
        </w:rPr>
        <w:t>ran_phylo_form</w:t>
      </w:r>
      <w:r>
        <w:t xml:space="preserve">). If users have repeated species, then the random effect structure can be adjusted by setting the </w:t>
      </w:r>
      <w:r>
        <w:rPr>
          <w:rStyle w:val="VerbatimChar"/>
        </w:rPr>
        <w:t>species = TRUE</w:t>
      </w:r>
      <w:r>
        <w:t xml:space="preserve"> argument, which will add an additional non-phylogenetic random effect for species (Cinar et al., 2022; Hadfield &amp; Nakagawa, 2010). If provided an analysis model with missing predictors, </w:t>
      </w:r>
      <w:r>
        <w:rPr>
          <w:i/>
          <w:iCs/>
        </w:rPr>
        <w:t>BACE</w:t>
      </w:r>
      <w:r>
        <w:t xml:space="preserve"> will create equations for all variables with missing trait data automatically.</w:t>
      </w:r>
    </w:p>
    <w:tbl>
      <w:tblPr>
        <w:tblStyle w:val="Table"/>
        <w:tblW w:w="5000" w:type="pct"/>
        <w:tblLayout w:type="fixed"/>
        <w:tblLook w:val="0000" w:firstRow="0" w:lastRow="0" w:firstColumn="0" w:lastColumn="0" w:noHBand="0" w:noVBand="0"/>
      </w:tblPr>
      <w:tblGrid>
        <w:gridCol w:w="10538"/>
      </w:tblGrid>
      <w:tr w:rsidR="00BF57C6" w14:paraId="48C3FB1D" w14:textId="77777777">
        <w:tc>
          <w:tcPr>
            <w:tcW w:w="7920" w:type="dxa"/>
          </w:tcPr>
          <w:p w14:paraId="0D0AFCF9" w14:textId="77777777" w:rsidR="00BF57C6" w:rsidRDefault="00000000">
            <w:pPr>
              <w:pStyle w:val="Compact"/>
              <w:jc w:val="center"/>
            </w:pPr>
            <w:bookmarkStart w:id="6" w:name="fig-function-map"/>
            <w:r>
              <w:rPr>
                <w:noProof/>
              </w:rPr>
              <w:drawing>
                <wp:inline distT="0" distB="0" distL="0" distR="0" wp14:anchorId="3ADC375B" wp14:editId="2D446EAF">
                  <wp:extent cx="5334000" cy="2286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vignettes/figs/bace_function_map.png"/>
                          <pic:cNvPicPr>
                            <a:picLocks noChangeAspect="1" noChangeArrowheads="1"/>
                          </pic:cNvPicPr>
                        </pic:nvPicPr>
                        <pic:blipFill>
                          <a:blip r:embed="rId6"/>
                          <a:stretch>
                            <a:fillRect/>
                          </a:stretch>
                        </pic:blipFill>
                        <pic:spPr bwMode="auto">
                          <a:xfrm>
                            <a:off x="0" y="0"/>
                            <a:ext cx="5334000" cy="2286000"/>
                          </a:xfrm>
                          <a:prstGeom prst="rect">
                            <a:avLst/>
                          </a:prstGeom>
                          <a:noFill/>
                          <a:ln w="9525">
                            <a:noFill/>
                            <a:headEnd/>
                            <a:tailEnd/>
                          </a:ln>
                        </pic:spPr>
                      </pic:pic>
                    </a:graphicData>
                  </a:graphic>
                </wp:inline>
              </w:drawing>
            </w:r>
          </w:p>
          <w:p w14:paraId="79979F37" w14:textId="77777777" w:rsidR="00BF57C6" w:rsidRDefault="00000000">
            <w:pPr>
              <w:pStyle w:val="ImageCaption"/>
              <w:spacing w:before="200"/>
            </w:pPr>
            <w:r>
              <w:t xml:space="preserve">Figure 2- </w:t>
            </w:r>
            <w:r>
              <w:rPr>
                <w:b/>
                <w:bCs/>
              </w:rPr>
              <w:t xml:space="preserve">Map of the core user-facing </w:t>
            </w:r>
            <w:r>
              <w:rPr>
                <w:b/>
                <w:bCs/>
                <w:i/>
                <w:iCs/>
              </w:rPr>
              <w:t>BACE</w:t>
            </w:r>
            <w:r>
              <w:rPr>
                <w:b/>
                <w:bCs/>
              </w:rPr>
              <w:t xml:space="preserve"> functions</w:t>
            </w:r>
            <w:r>
              <w:t>. Solid arrows show the main workflow from raw comparative data through chained imputation (</w:t>
            </w:r>
            <w:r>
              <w:rPr>
                <w:rStyle w:val="VerbatimChar"/>
              </w:rPr>
              <w:t>bace_imp()</w:t>
            </w:r>
            <w:r>
              <w:t>), convergence assessment of the chained loop (</w:t>
            </w:r>
            <w:r>
              <w:rPr>
                <w:rStyle w:val="VerbatimChar"/>
              </w:rPr>
              <w:t>assess_convergence()</w:t>
            </w:r>
            <w:r>
              <w:t>), posterior-predictive final imputations (</w:t>
            </w:r>
            <w:r>
              <w:rPr>
                <w:rStyle w:val="VerbatimChar"/>
              </w:rPr>
              <w:t>bace_final_imp()</w:t>
            </w:r>
            <w:r>
              <w:t>) and posterior pooling (</w:t>
            </w:r>
            <w:r>
              <w:rPr>
                <w:rStyle w:val="VerbatimChar"/>
              </w:rPr>
              <w:t>pool_posteriors()</w:t>
            </w:r>
            <w:r>
              <w:t>), with accessors (</w:t>
            </w:r>
            <w:r>
              <w:rPr>
                <w:rStyle w:val="VerbatimChar"/>
              </w:rPr>
              <w:t>get_pooled_model()</w:t>
            </w:r>
            <w:r>
              <w:t xml:space="preserve">, </w:t>
            </w:r>
            <w:r>
              <w:rPr>
                <w:rStyle w:val="VerbatimChar"/>
              </w:rPr>
              <w:t>get_imputed_data()</w:t>
            </w:r>
            <w:r>
              <w:t xml:space="preserve">) reading the finished object. The shaded band marks the steps run end-to-end by </w:t>
            </w:r>
            <w:r>
              <w:rPr>
                <w:rStyle w:val="VerbatimChar"/>
              </w:rPr>
              <w:t>bace()</w:t>
            </w:r>
            <w:r>
              <w:t xml:space="preserve">, which automatically retries the chained phase on non-convergence. The lower-right branch is the alternative Rubin’s-rules pathway: </w:t>
            </w:r>
            <w:r>
              <w:rPr>
                <w:rStyle w:val="VerbatimChar"/>
              </w:rPr>
              <w:t>with_imputations()</w:t>
            </w:r>
            <w:r>
              <w:t xml:space="preserve"> </w:t>
            </w:r>
            <w:r>
              <w:lastRenderedPageBreak/>
              <w:t xml:space="preserve">fits any downstream analysis model to each completed dataset and </w:t>
            </w:r>
            <w:r>
              <w:rPr>
                <w:rStyle w:val="VerbatimChar"/>
              </w:rPr>
              <w:t>pool_mi()</w:t>
            </w:r>
            <w:r>
              <w:t xml:space="preserve"> combines the estimates. Dashed boxes mark optional routes: simulating benchmark data (</w:t>
            </w:r>
            <w:r>
              <w:rPr>
                <w:rStyle w:val="VerbatimChar"/>
              </w:rPr>
              <w:t>sim_bace()</w:t>
            </w:r>
            <w:r>
              <w:t>), pre-flight phylogenetic-signal screening (</w:t>
            </w:r>
            <w:r>
              <w:rPr>
                <w:rStyle w:val="VerbatimChar"/>
              </w:rPr>
              <w:t>phylo_signal_summary()</w:t>
            </w:r>
            <w:r>
              <w:t>), per-model MCMC and prior control, and convergence visualisations.</w:t>
            </w:r>
          </w:p>
        </w:tc>
        <w:bookmarkEnd w:id="6"/>
      </w:tr>
    </w:tbl>
    <w:p w14:paraId="21856439" w14:textId="77777777" w:rsidR="00BF57C6" w:rsidRDefault="00000000">
      <w:pPr>
        <w:pStyle w:val="Heading2"/>
      </w:pPr>
      <w:bookmarkStart w:id="7" w:name="convergence-diagnostics"/>
      <w:bookmarkEnd w:id="5"/>
      <w:r>
        <w:lastRenderedPageBreak/>
        <w:t>Convergence diagnostics</w:t>
      </w:r>
    </w:p>
    <w:p w14:paraId="1562ACA3" w14:textId="77777777" w:rsidR="00BF57C6" w:rsidRDefault="00000000">
      <w:pPr>
        <w:pStyle w:val="FirstParagraph"/>
      </w:pPr>
      <w:r>
        <w:rPr>
          <w:i/>
          <w:iCs/>
        </w:rPr>
        <w:t>(Structure only — content to write. See tutorial “Two kinds of convergence”.)</w:t>
      </w:r>
      <w:r>
        <w:t xml:space="preserve"> - Within-chain MCMC convergence of each per-variable model vs convergence of the chained-equations loop (the imputed-data sequence). - </w:t>
      </w:r>
      <w:r>
        <w:rPr>
          <w:rStyle w:val="VerbatimChar"/>
        </w:rPr>
        <w:t>assess_convergence()</w:t>
      </w:r>
      <w:r>
        <w:t xml:space="preserve"> criteria (%-change + trend + ACF) and the </w:t>
      </w:r>
      <w:r>
        <w:rPr>
          <w:rStyle w:val="VerbatimChar"/>
        </w:rPr>
        <w:t>plot_*_convergence()</w:t>
      </w:r>
      <w:r>
        <w:t xml:space="preserve"> family.</w:t>
      </w:r>
    </w:p>
    <w:p w14:paraId="05859919" w14:textId="77777777" w:rsidR="00BF57C6" w:rsidRDefault="00000000">
      <w:pPr>
        <w:pStyle w:val="Heading2"/>
      </w:pPr>
      <w:bookmarkStart w:id="8" w:name="X6eaf4a9d2b91b0faf7f11e52b9dd31de30566ad"/>
      <w:bookmarkEnd w:id="7"/>
      <w:r>
        <w:t>Pooling pathways: stacked posteriors and Rubin’s rules</w:t>
      </w:r>
    </w:p>
    <w:p w14:paraId="714F0A2D" w14:textId="77777777" w:rsidR="00BF57C6" w:rsidRDefault="00000000">
      <w:pPr>
        <w:pStyle w:val="FirstParagraph"/>
      </w:pPr>
      <w:r>
        <w:rPr>
          <w:i/>
          <w:iCs/>
        </w:rPr>
        <w:t xml:space="preserve">(Structure only. Sources: </w:t>
      </w:r>
      <w:r>
        <w:rPr>
          <w:rStyle w:val="VerbatimChar"/>
          <w:i/>
          <w:iCs/>
        </w:rPr>
        <w:t>.agents/plans/pool_mi_rubin.md</w:t>
      </w:r>
      <w:r>
        <w:rPr>
          <w:i/>
          <w:iCs/>
        </w:rPr>
        <w:t>; tutorial “Interpreting the pooled output”; Zhou &amp; Reiter 2010; BDA3 Ch. 18.)</w:t>
      </w:r>
      <w:r>
        <w:t xml:space="preserve"> - </w:t>
      </w:r>
      <w:r>
        <w:rPr>
          <w:rStyle w:val="VerbatimChar"/>
        </w:rPr>
        <w:t>pool_posteriors()</w:t>
      </w:r>
      <w:r>
        <w:t xml:space="preserve">: stacking per-imputation chains approximates the marginal posterior; not Rubin’s rules; O(1/M) difference at small M. - </w:t>
      </w:r>
      <w:r>
        <w:rPr>
          <w:rStyle w:val="VerbatimChar"/>
        </w:rPr>
        <w:t>with_imputations()</w:t>
      </w:r>
      <w:r>
        <w:t xml:space="preserve"> + </w:t>
      </w:r>
      <w:r>
        <w:rPr>
          <w:rStyle w:val="VerbatimChar"/>
        </w:rPr>
        <w:t>pool_mi()</w:t>
      </w:r>
      <w:r>
        <w:t xml:space="preserve">: model-agnostic Rubin’s rules (Barnard–Rubin df, fmi/riv); matches </w:t>
      </w:r>
      <w:r>
        <w:rPr>
          <w:rStyle w:val="VerbatimChar"/>
        </w:rPr>
        <w:t>mice::pool</w:t>
      </w:r>
      <w:r>
        <w:t xml:space="preserve"> to machine precision. - When to use which (variance components never via Rubin).</w:t>
      </w:r>
    </w:p>
    <w:p w14:paraId="00466619" w14:textId="77777777" w:rsidR="00BF57C6" w:rsidRDefault="00000000">
      <w:pPr>
        <w:pStyle w:val="Heading1"/>
      </w:pPr>
      <w:bookmarkStart w:id="9" w:name="performance-evaluation"/>
      <w:bookmarkEnd w:id="4"/>
      <w:bookmarkEnd w:id="8"/>
      <w:r>
        <w:t>Performance evaluation</w:t>
      </w:r>
    </w:p>
    <w:p w14:paraId="27C78967" w14:textId="77777777" w:rsidR="00BF57C6" w:rsidRDefault="00000000">
      <w:pPr>
        <w:pStyle w:val="Heading2"/>
      </w:pPr>
      <w:bookmarkStart w:id="10" w:name="simulation-design"/>
      <w:r>
        <w:t>Simulation design</w:t>
      </w:r>
    </w:p>
    <w:p w14:paraId="2CEEF05D" w14:textId="77777777" w:rsidR="00BF57C6" w:rsidRDefault="00000000">
      <w:pPr>
        <w:pStyle w:val="FirstParagraph"/>
      </w:pPr>
      <w:r>
        <w:rPr>
          <w:i/>
          <w:iCs/>
        </w:rPr>
        <w:t xml:space="preserve">(Structure only. Sources: </w:t>
      </w:r>
      <w:r>
        <w:rPr>
          <w:rStyle w:val="VerbatimChar"/>
          <w:i/>
          <w:iCs/>
        </w:rPr>
        <w:t>dev/12_recovery_simulation.R</w:t>
      </w:r>
      <w:r>
        <w:rPr>
          <w:i/>
          <w:iCs/>
        </w:rPr>
        <w:t xml:space="preserve">, </w:t>
      </w:r>
      <w:r>
        <w:rPr>
          <w:rStyle w:val="VerbatimChar"/>
          <w:i/>
          <w:iCs/>
        </w:rPr>
        <w:t>dev/13_response_type_simulation.R</w:t>
      </w:r>
      <w:r>
        <w:rPr>
          <w:i/>
          <w:iCs/>
        </w:rPr>
        <w:t xml:space="preserve">, </w:t>
      </w:r>
      <w:r>
        <w:rPr>
          <w:rStyle w:val="VerbatimChar"/>
          <w:i/>
          <w:iCs/>
        </w:rPr>
        <w:t>dev/simulation_results/SIMULATION_REPORT.qmd</w:t>
      </w:r>
      <w:r>
        <w:rPr>
          <w:i/>
          <w:iCs/>
        </w:rPr>
        <w:t xml:space="preserve">; design details in </w:t>
      </w:r>
      <w:r>
        <w:rPr>
          <w:rStyle w:val="VerbatimChar"/>
          <w:i/>
          <w:iCs/>
        </w:rPr>
        <w:t>.agents/simulation-report.html</w:t>
      </w:r>
      <w:r>
        <w:rPr>
          <w:i/>
          <w:iCs/>
        </w:rPr>
        <w:t>.)</w:t>
      </w:r>
      <w:r>
        <w:t xml:space="preserve"> - Study A: parameter recovery (gaussian slope) under MCAR/MAR; oracle and complete-case comparators. - Study B: five response types x MCAR/MAR; per-type accuracy/coverage metrics and their finite-draw/metric ceilings (</w:t>
      </w:r>
      <w:r>
        <w:rPr>
          <w:rStyle w:val="VerbatimChar"/>
        </w:rPr>
        <w:t>cover95_t</w:t>
      </w:r>
      <w:r>
        <w:t>, prob-based sets, Bayes ceiling for categorical).</w:t>
      </w:r>
    </w:p>
    <w:p w14:paraId="6587EDA2" w14:textId="77777777" w:rsidR="00BF57C6" w:rsidRDefault="00000000">
      <w:pPr>
        <w:pStyle w:val="Heading2"/>
      </w:pPr>
      <w:bookmarkStart w:id="11" w:name="X91238f82a4bb41ffa378ea3070157fa99a99a07"/>
      <w:bookmarkEnd w:id="10"/>
      <w:r>
        <w:t>Parameter recovery and inferential calibration (Study A)</w:t>
      </w:r>
    </w:p>
    <w:p w14:paraId="2AB4557E" w14:textId="77777777" w:rsidR="00BF57C6" w:rsidRDefault="00000000">
      <w:pPr>
        <w:pStyle w:val="Heading2"/>
      </w:pPr>
      <w:bookmarkStart w:id="12" w:name="X11a37e992f197dce17863c61ef6891a12087da6"/>
      <w:bookmarkEnd w:id="11"/>
      <w:r>
        <w:t>Imputation accuracy across response types (Study B)</w:t>
      </w:r>
    </w:p>
    <w:p w14:paraId="63407CFE" w14:textId="77777777" w:rsidR="00BF57C6" w:rsidRDefault="00000000">
      <w:pPr>
        <w:pStyle w:val="Heading1"/>
      </w:pPr>
      <w:bookmarkStart w:id="13" w:name="worked-examples"/>
      <w:bookmarkEnd w:id="9"/>
      <w:bookmarkEnd w:id="12"/>
      <w:r>
        <w:t>Worked examples</w:t>
      </w:r>
    </w:p>
    <w:p w14:paraId="3C07FB48" w14:textId="77777777" w:rsidR="00BF57C6" w:rsidRDefault="00000000">
      <w:pPr>
        <w:pStyle w:val="FirstParagraph"/>
      </w:pPr>
      <w:r>
        <w:t xml:space="preserve">We now turn to two case studies to demonstrate application of </w:t>
      </w:r>
      <w:r>
        <w:rPr>
          <w:i/>
          <w:iCs/>
        </w:rPr>
        <w:t>BACE</w:t>
      </w:r>
      <w:r>
        <w:t>. The first case study involves data from Pottier et al. (2025), whom imputed heat tolerance (continuous trait) under standardised conditions for 5,203 amphibian species of which only 524 (10.1%) have trait data. The second case study, uses BIRDBASE and AVONET to impute social (categocial and continuous data), for 10,563 bird species.</w:t>
      </w:r>
    </w:p>
    <w:p w14:paraId="193FDF49" w14:textId="77777777" w:rsidR="00BF57C6" w:rsidRDefault="00000000">
      <w:pPr>
        <w:pStyle w:val="Heading1"/>
      </w:pPr>
      <w:bookmarkStart w:id="14" w:name="discussion"/>
      <w:bookmarkEnd w:id="13"/>
      <w:r>
        <w:t>Discussion</w:t>
      </w:r>
    </w:p>
    <w:p w14:paraId="4265BD19" w14:textId="77777777" w:rsidR="00BF57C6" w:rsidRDefault="00000000">
      <w:pPr>
        <w:pStyle w:val="FirstParagraph"/>
      </w:pPr>
      <w:r>
        <w:rPr>
          <w:i/>
          <w:iCs/>
        </w:rPr>
        <w:t>(Structure only.)</w:t>
      </w:r>
      <w:r>
        <w:t xml:space="preserve"> - What BACE adds relative to existing MI and phylogenetic-prediction tools. - Honest limitations  - Practical guidance (pre-flight signal screening; when BACE is the wrong tool).</w:t>
      </w:r>
    </w:p>
    <w:p w14:paraId="54145028" w14:textId="77777777" w:rsidR="00BF57C6" w:rsidRDefault="00000000">
      <w:pPr>
        <w:pStyle w:val="Heading1"/>
      </w:pPr>
      <w:bookmarkStart w:id="15" w:name="availability-and-reproducibility"/>
      <w:bookmarkEnd w:id="14"/>
      <w:r>
        <w:lastRenderedPageBreak/>
        <w:t>Availability and reproducibility</w:t>
      </w:r>
    </w:p>
    <w:p w14:paraId="2A53F3D6" w14:textId="77777777" w:rsidR="00BF57C6" w:rsidRDefault="00000000">
      <w:pPr>
        <w:pStyle w:val="FirstParagraph"/>
      </w:pPr>
      <w:r>
        <w:rPr>
          <w:i/>
          <w:iCs/>
        </w:rPr>
        <w:t>BACE</w:t>
      </w:r>
      <w:r>
        <w:t xml:space="preserve"> (version 0.1.0) is free and open-source software released under the GPL (≥ 3). The source code and development version are available on GitHub (</w:t>
      </w:r>
      <w:hyperlink r:id="rId7">
        <w:r>
          <w:rPr>
            <w:rStyle w:val="Hyperlink"/>
          </w:rPr>
          <w:t>https://github.com/daniel1noble/BACE</w:t>
        </w:r>
      </w:hyperlink>
      <w:r>
        <w:t xml:space="preserve">), where issues and feature requests can also be reported. A full tutorial — covering installation, when </w:t>
      </w:r>
      <w:r>
        <w:rPr>
          <w:i/>
          <w:iCs/>
        </w:rPr>
        <w:t>BACE</w:t>
      </w:r>
      <w:r>
        <w:t xml:space="preserve"> is appropriate relative to other imputation tools, the complete workflow, and interpretation of pooled output and diagnostics — is available at </w:t>
      </w:r>
      <w:hyperlink r:id="rId8">
        <w:r>
          <w:rPr>
            <w:rStyle w:val="Hyperlink"/>
          </w:rPr>
          <w:t>https://daniel1noble.github.io/BACE/</w:t>
        </w:r>
      </w:hyperlink>
      <w:r>
        <w:t xml:space="preserve">. A CRAN submission is in preparation; once accepted, the package will be installable directly via </w:t>
      </w:r>
      <w:r>
        <w:rPr>
          <w:rStyle w:val="VerbatimChar"/>
        </w:rPr>
        <w:t>install.packages("BACE")</w:t>
      </w:r>
      <w:r>
        <w:t xml:space="preserve"> (</w:t>
      </w:r>
      <w:hyperlink r:id="rId9">
        <w:r>
          <w:rPr>
            <w:rStyle w:val="Hyperlink"/>
          </w:rPr>
          <w:t>https://CRAN.R-project.org/package=BACE</w:t>
        </w:r>
      </w:hyperlink>
      <w:r>
        <w:t>). Code reproducing all simulations reported here is included in the repository (</w:t>
      </w:r>
      <w:r>
        <w:rPr>
          <w:rStyle w:val="VerbatimChar"/>
        </w:rPr>
        <w:t>dev/</w:t>
      </w:r>
      <w:r>
        <w:t>).</w:t>
      </w:r>
    </w:p>
    <w:p w14:paraId="71BE2265" w14:textId="77777777" w:rsidR="00BF57C6" w:rsidRDefault="00000000">
      <w:pPr>
        <w:pStyle w:val="Heading1"/>
      </w:pPr>
      <w:bookmarkStart w:id="16" w:name="acknowledgements"/>
      <w:bookmarkEnd w:id="15"/>
      <w:r>
        <w:t>Acknowledgements</w:t>
      </w:r>
    </w:p>
    <w:p w14:paraId="263A6BBD" w14:textId="77777777" w:rsidR="00BF57C6" w:rsidRDefault="00000000">
      <w:pPr>
        <w:pStyle w:val="FirstParagraph"/>
      </w:pPr>
      <w:r>
        <w:rPr>
          <w:i/>
          <w:iCs/>
        </w:rPr>
        <w:t>(To write.)</w:t>
      </w:r>
    </w:p>
    <w:p w14:paraId="2A43EC7B" w14:textId="77777777" w:rsidR="00BF57C6" w:rsidRDefault="00000000">
      <w:pPr>
        <w:pStyle w:val="Heading1"/>
      </w:pPr>
      <w:bookmarkStart w:id="17" w:name="author-contributions"/>
      <w:bookmarkEnd w:id="16"/>
      <w:r>
        <w:t>Author contributions</w:t>
      </w:r>
    </w:p>
    <w:p w14:paraId="0AD3F4B7" w14:textId="77777777" w:rsidR="00BF57C6" w:rsidRDefault="00000000">
      <w:pPr>
        <w:pStyle w:val="FirstParagraph"/>
      </w:pPr>
      <w:r>
        <w:t xml:space="preserve">Author contributions are reported using the CRediT taxonomy. </w:t>
      </w:r>
      <w:r>
        <w:rPr>
          <w:b/>
          <w:bCs/>
        </w:rPr>
        <w:t>DWAN:</w:t>
      </w:r>
      <w:r>
        <w:t xml:space="preserve"> conceptualization, methodology, software, formal analysis, validation, visualization, writing — original draft, writing — review and editing, project administration. </w:t>
      </w:r>
      <w:r>
        <w:rPr>
          <w:b/>
          <w:bCs/>
        </w:rPr>
        <w:t>SMD:</w:t>
      </w:r>
      <w:r>
        <w:t xml:space="preserve"> conceptualization, methodology, software, writing — review and editing. </w:t>
      </w:r>
      <w:r>
        <w:rPr>
          <w:b/>
          <w:bCs/>
        </w:rPr>
        <w:t>AM:</w:t>
      </w:r>
      <w:r>
        <w:t xml:space="preserve"> software, validation, investigation (AVONET case study and tutorial), visualization, writing — review and editing. </w:t>
      </w:r>
      <w:r>
        <w:rPr>
          <w:b/>
          <w:bCs/>
        </w:rPr>
        <w:t>PP:</w:t>
      </w:r>
      <w:r>
        <w:t xml:space="preserve"> data curation, investigation (amphibian heat-tolerance case study), writing — review and editing. </w:t>
      </w:r>
      <w:r>
        <w:rPr>
          <w:b/>
          <w:bCs/>
        </w:rPr>
        <w:t>SN:</w:t>
      </w:r>
      <w:r>
        <w:t xml:space="preserve"> conceptualization, methodology, formal analysis, validation (independent simulation study), writing — review and editing. All authors approved the final version.</w:t>
      </w:r>
    </w:p>
    <w:p w14:paraId="005FD5A5" w14:textId="77777777" w:rsidR="00BF57C6" w:rsidRDefault="00000000">
      <w:pPr>
        <w:pStyle w:val="Heading1"/>
      </w:pPr>
      <w:bookmarkStart w:id="18" w:name="data-and-code-availability"/>
      <w:bookmarkEnd w:id="17"/>
      <w:r>
        <w:t>Data and code availability</w:t>
      </w:r>
    </w:p>
    <w:p w14:paraId="7793C127" w14:textId="77777777" w:rsidR="00BF57C6" w:rsidRDefault="00000000">
      <w:pPr>
        <w:pStyle w:val="FirstParagraph"/>
      </w:pPr>
      <w:r>
        <w:rPr>
          <w:i/>
          <w:iCs/>
        </w:rPr>
        <w:t>(To write.)</w:t>
      </w:r>
    </w:p>
    <w:p w14:paraId="7A65E76F" w14:textId="77777777" w:rsidR="00BF57C6" w:rsidRDefault="00000000">
      <w:pPr>
        <w:pStyle w:val="Heading1"/>
      </w:pPr>
      <w:bookmarkStart w:id="19" w:name="references"/>
      <w:bookmarkEnd w:id="18"/>
      <w:r>
        <w:t>References</w:t>
      </w:r>
    </w:p>
    <w:p w14:paraId="326C758D" w14:textId="77777777" w:rsidR="00BF57C6" w:rsidRDefault="00000000">
      <w:pPr>
        <w:pStyle w:val="Bibliography"/>
      </w:pPr>
      <w:bookmarkStart w:id="20" w:name="ref-audigier2018"/>
      <w:bookmarkStart w:id="21" w:name="refs"/>
      <w:r>
        <w:t xml:space="preserve">Audigier, V., White, I. R., Jolani, S., Debray, T. P. A., Quartagno, M., Carpenter, J., Buuren, S. van, &amp; Resche-Rigon, M. (2018). Multiple imputation for multilevel data with continuous and binary variables. </w:t>
      </w:r>
      <w:r>
        <w:rPr>
          <w:i/>
          <w:iCs/>
        </w:rPr>
        <w:t>Statistical Science</w:t>
      </w:r>
      <w:r>
        <w:t xml:space="preserve">, </w:t>
      </w:r>
      <w:r>
        <w:rPr>
          <w:i/>
          <w:iCs/>
        </w:rPr>
        <w:t>33</w:t>
      </w:r>
      <w:r>
        <w:t xml:space="preserve">(2), 160–183. </w:t>
      </w:r>
      <w:hyperlink r:id="rId10">
        <w:r>
          <w:rPr>
            <w:rStyle w:val="Hyperlink"/>
          </w:rPr>
          <w:t>https://doi.org/10.1214/18-STS646</w:t>
        </w:r>
      </w:hyperlink>
    </w:p>
    <w:p w14:paraId="05E66F2E" w14:textId="77777777" w:rsidR="00BF57C6" w:rsidRDefault="00000000">
      <w:pPr>
        <w:pStyle w:val="Bibliography"/>
      </w:pPr>
      <w:bookmarkStart w:id="22" w:name="ref-bartlett2015"/>
      <w:bookmarkEnd w:id="20"/>
      <w:r>
        <w:t xml:space="preserve">Bartlett, J. W., Seaman, S. R., White, I. R., &amp; Carpenter, J. R. (2015). Multiple imputation of covariates by fully conditional specification: Accommodating the substantive model. </w:t>
      </w:r>
      <w:r>
        <w:rPr>
          <w:i/>
          <w:iCs/>
        </w:rPr>
        <w:t>Statistical Methods in Medical Research</w:t>
      </w:r>
      <w:r>
        <w:t xml:space="preserve">, </w:t>
      </w:r>
      <w:r>
        <w:rPr>
          <w:i/>
          <w:iCs/>
        </w:rPr>
        <w:t>24</w:t>
      </w:r>
      <w:r>
        <w:t xml:space="preserve">(4), 462–487. </w:t>
      </w:r>
      <w:hyperlink r:id="rId11">
        <w:r>
          <w:rPr>
            <w:rStyle w:val="Hyperlink"/>
          </w:rPr>
          <w:t>https://doi.org/10.1177/0962280214521348</w:t>
        </w:r>
      </w:hyperlink>
    </w:p>
    <w:p w14:paraId="7443D9BA" w14:textId="77777777" w:rsidR="00BF57C6" w:rsidRDefault="00000000">
      <w:pPr>
        <w:pStyle w:val="Bibliography"/>
      </w:pPr>
      <w:bookmarkStart w:id="23" w:name="ref-blomberg2003"/>
      <w:bookmarkEnd w:id="22"/>
      <w:r>
        <w:t xml:space="preserve">Blomberg, S. P., Garland, T., &amp; Ives, A. R. (2003). Testing for phylogenetic signal in comparative data: Behavioral traits are more labile. </w:t>
      </w:r>
      <w:r>
        <w:rPr>
          <w:i/>
          <w:iCs/>
        </w:rPr>
        <w:t>Evolution</w:t>
      </w:r>
      <w:r>
        <w:t xml:space="preserve">, </w:t>
      </w:r>
      <w:r>
        <w:rPr>
          <w:i/>
          <w:iCs/>
        </w:rPr>
        <w:t>57</w:t>
      </w:r>
      <w:r>
        <w:t xml:space="preserve">(4), 717–745. </w:t>
      </w:r>
      <w:hyperlink r:id="rId12">
        <w:r>
          <w:rPr>
            <w:rStyle w:val="Hyperlink"/>
          </w:rPr>
          <w:t>https://doi.org/10.1111/j.0014-3820.2003.tb00285.x</w:t>
        </w:r>
      </w:hyperlink>
    </w:p>
    <w:p w14:paraId="6A04A03D" w14:textId="77777777" w:rsidR="00BF57C6" w:rsidRDefault="00000000">
      <w:pPr>
        <w:pStyle w:val="Bibliography"/>
      </w:pPr>
      <w:bookmarkStart w:id="24" w:name="ref-blomberg2025"/>
      <w:bookmarkEnd w:id="23"/>
      <w:r>
        <w:t xml:space="preserve">Blomberg, S. P., &amp; Todorov, O. S. (2025). The fallacy of single imputation for trait databases: Use multiple imputation instead. </w:t>
      </w:r>
      <w:r>
        <w:rPr>
          <w:i/>
          <w:iCs/>
        </w:rPr>
        <w:t>Methods in Ecology and Evolution</w:t>
      </w:r>
      <w:r>
        <w:t xml:space="preserve">, </w:t>
      </w:r>
      <w:r>
        <w:rPr>
          <w:i/>
          <w:iCs/>
        </w:rPr>
        <w:t>16</w:t>
      </w:r>
      <w:r>
        <w:t xml:space="preserve">(4), 658–667. </w:t>
      </w:r>
      <w:hyperlink r:id="rId13">
        <w:r>
          <w:rPr>
            <w:rStyle w:val="Hyperlink"/>
          </w:rPr>
          <w:t>https://doi.org/10.1111/2041-210X.14494</w:t>
        </w:r>
      </w:hyperlink>
    </w:p>
    <w:p w14:paraId="4E84451C" w14:textId="77777777" w:rsidR="00BF57C6" w:rsidRDefault="00000000">
      <w:pPr>
        <w:pStyle w:val="Bibliography"/>
      </w:pPr>
      <w:bookmarkStart w:id="25" w:name="ref-bruggeman2009"/>
      <w:bookmarkEnd w:id="24"/>
      <w:r>
        <w:lastRenderedPageBreak/>
        <w:t xml:space="preserve">Bruggeman, J., Heringa, J., &amp; Brandt, B. W. (2009). PhyloPars: Estimation of missing parameter values using phylogeny. </w:t>
      </w:r>
      <w:r>
        <w:rPr>
          <w:i/>
          <w:iCs/>
        </w:rPr>
        <w:t>Nucleic Acids Research</w:t>
      </w:r>
      <w:r>
        <w:t xml:space="preserve">, </w:t>
      </w:r>
      <w:r>
        <w:rPr>
          <w:i/>
          <w:iCs/>
        </w:rPr>
        <w:t>37</w:t>
      </w:r>
      <w:r>
        <w:t xml:space="preserve">(suppl_2), W179–W184. </w:t>
      </w:r>
      <w:hyperlink r:id="rId14">
        <w:r>
          <w:rPr>
            <w:rStyle w:val="Hyperlink"/>
          </w:rPr>
          <w:t>https://doi.org/10.1093/nar/gkp370</w:t>
        </w:r>
      </w:hyperlink>
    </w:p>
    <w:p w14:paraId="435C342A" w14:textId="77777777" w:rsidR="00BF57C6" w:rsidRDefault="00000000">
      <w:pPr>
        <w:pStyle w:val="Bibliography"/>
      </w:pPr>
      <w:bookmarkStart w:id="26" w:name="ref-vanbuuren2011"/>
      <w:bookmarkEnd w:id="25"/>
      <w:r>
        <w:t xml:space="preserve">Buuren, S. van, &amp; Groothuis-Oudshoorn, K. (2011). Mice: Multivariate imputation by chained equations in r. </w:t>
      </w:r>
      <w:r>
        <w:rPr>
          <w:i/>
          <w:iCs/>
        </w:rPr>
        <w:t>Journal of Statistical Software</w:t>
      </w:r>
      <w:r>
        <w:t xml:space="preserve">, </w:t>
      </w:r>
      <w:r>
        <w:rPr>
          <w:i/>
          <w:iCs/>
        </w:rPr>
        <w:t>45</w:t>
      </w:r>
      <w:r>
        <w:t xml:space="preserve">(3), 1–67. </w:t>
      </w:r>
      <w:hyperlink r:id="rId15">
        <w:r>
          <w:rPr>
            <w:rStyle w:val="Hyperlink"/>
          </w:rPr>
          <w:t>https://doi.org/10.18637/jss.v045.i03</w:t>
        </w:r>
      </w:hyperlink>
    </w:p>
    <w:p w14:paraId="434A05CD" w14:textId="77777777" w:rsidR="00BF57C6" w:rsidRDefault="00000000">
      <w:pPr>
        <w:pStyle w:val="Bibliography"/>
      </w:pPr>
      <w:bookmarkStart w:id="27" w:name="ref-carpenter2013"/>
      <w:bookmarkEnd w:id="26"/>
      <w:r>
        <w:t xml:space="preserve">Carpenter, J. R., &amp; Kenward, M. G. (2013). </w:t>
      </w:r>
      <w:r>
        <w:rPr>
          <w:i/>
          <w:iCs/>
        </w:rPr>
        <w:t>Multiple imputation and its application</w:t>
      </w:r>
      <w:r>
        <w:t xml:space="preserve">. Wiley. </w:t>
      </w:r>
      <w:hyperlink r:id="rId16">
        <w:r>
          <w:rPr>
            <w:rStyle w:val="Hyperlink"/>
          </w:rPr>
          <w:t>https://doi.org/10.1002/9781119942283</w:t>
        </w:r>
      </w:hyperlink>
    </w:p>
    <w:p w14:paraId="09CD5B73" w14:textId="77777777" w:rsidR="00BF57C6" w:rsidRDefault="00000000">
      <w:pPr>
        <w:pStyle w:val="Bibliography"/>
      </w:pPr>
      <w:bookmarkStart w:id="28" w:name="ref-cinar2022"/>
      <w:bookmarkEnd w:id="27"/>
      <w:r>
        <w:t xml:space="preserve">Cinar, O., Nakagawa, S., &amp; Viechtbauer, W. (2022). Phylogenetic multilevel meta-analysis: A simulation study on the importance of modelling the phylogeny. </w:t>
      </w:r>
      <w:r>
        <w:rPr>
          <w:i/>
          <w:iCs/>
        </w:rPr>
        <w:t>Methods in Ecology and Evolution</w:t>
      </w:r>
      <w:r>
        <w:t xml:space="preserve">, </w:t>
      </w:r>
      <w:r>
        <w:rPr>
          <w:i/>
          <w:iCs/>
        </w:rPr>
        <w:t>13</w:t>
      </w:r>
      <w:r>
        <w:t xml:space="preserve">(2), 383–395. </w:t>
      </w:r>
      <w:hyperlink r:id="rId17">
        <w:r>
          <w:rPr>
            <w:rStyle w:val="Hyperlink"/>
          </w:rPr>
          <w:t>https://doi.org/10.1111/2041-210X.13760</w:t>
        </w:r>
      </w:hyperlink>
    </w:p>
    <w:p w14:paraId="2639F351" w14:textId="77777777" w:rsidR="00BF57C6" w:rsidRDefault="00000000">
      <w:pPr>
        <w:pStyle w:val="Bibliography"/>
      </w:pPr>
      <w:bookmarkStart w:id="29" w:name="ref-drhlik2016"/>
      <w:bookmarkEnd w:id="28"/>
      <w:r>
        <w:t xml:space="preserve">Drhlik, P. (2016). </w:t>
      </w:r>
      <w:r>
        <w:rPr>
          <w:i/>
          <w:iCs/>
        </w:rPr>
        <w:t>Phylomice: Phylogenetic imputation methods for mice</w:t>
      </w:r>
      <w:r>
        <w:t xml:space="preserve">. </w:t>
      </w:r>
      <w:hyperlink r:id="rId18">
        <w:r>
          <w:rPr>
            <w:rStyle w:val="Hyperlink"/>
          </w:rPr>
          <w:t>https://github.com/pdrhlik/phylomice</w:t>
        </w:r>
      </w:hyperlink>
    </w:p>
    <w:p w14:paraId="1838282B" w14:textId="77777777" w:rsidR="00BF57C6" w:rsidRDefault="00000000">
      <w:pPr>
        <w:pStyle w:val="Bibliography"/>
      </w:pPr>
      <w:bookmarkStart w:id="30" w:name="ref-erler2021"/>
      <w:bookmarkEnd w:id="29"/>
      <w:r>
        <w:t xml:space="preserve">Erler, N. S., Rizopoulos, D., &amp; Lesaffre, E. M. E. H. (2021). JointAI: Joint analysis and imputation of incomplete data in r. </w:t>
      </w:r>
      <w:r>
        <w:rPr>
          <w:i/>
          <w:iCs/>
        </w:rPr>
        <w:t>Journal of Statistical Software</w:t>
      </w:r>
      <w:r>
        <w:t xml:space="preserve">, </w:t>
      </w:r>
      <w:r>
        <w:rPr>
          <w:i/>
          <w:iCs/>
        </w:rPr>
        <w:t>100</w:t>
      </w:r>
      <w:r>
        <w:t xml:space="preserve">(20), 1–56. </w:t>
      </w:r>
      <w:hyperlink r:id="rId19">
        <w:r>
          <w:rPr>
            <w:rStyle w:val="Hyperlink"/>
          </w:rPr>
          <w:t>https://doi.org/10.18637/jss.v100.i20</w:t>
        </w:r>
      </w:hyperlink>
    </w:p>
    <w:p w14:paraId="3D69C6DF" w14:textId="77777777" w:rsidR="00BF57C6" w:rsidRDefault="00000000">
      <w:pPr>
        <w:pStyle w:val="Bibliography"/>
      </w:pPr>
      <w:bookmarkStart w:id="31" w:name="ref-felsenstein1985"/>
      <w:bookmarkEnd w:id="30"/>
      <w:r>
        <w:t xml:space="preserve">Felsenstein, J. (1985). Phylogenies and the comparative method. </w:t>
      </w:r>
      <w:r>
        <w:rPr>
          <w:i/>
          <w:iCs/>
        </w:rPr>
        <w:t>The American Naturalist</w:t>
      </w:r>
      <w:r>
        <w:t xml:space="preserve">, </w:t>
      </w:r>
      <w:r>
        <w:rPr>
          <w:i/>
          <w:iCs/>
        </w:rPr>
        <w:t>125</w:t>
      </w:r>
      <w:r>
        <w:t xml:space="preserve">(1), 1–15. </w:t>
      </w:r>
      <w:hyperlink r:id="rId20">
        <w:r>
          <w:rPr>
            <w:rStyle w:val="Hyperlink"/>
          </w:rPr>
          <w:t>https://doi.org/10.1086/284325</w:t>
        </w:r>
      </w:hyperlink>
    </w:p>
    <w:p w14:paraId="1DFF3D45" w14:textId="77777777" w:rsidR="00BF57C6" w:rsidRDefault="00000000">
      <w:pPr>
        <w:pStyle w:val="Bibliography"/>
      </w:pPr>
      <w:bookmarkStart w:id="32" w:name="ref-garamszegi2011"/>
      <w:bookmarkEnd w:id="31"/>
      <w:r>
        <w:t xml:space="preserve">Garamszegi, L. Z., &amp; Møller, A. P. (2011). Nonrandom variation in within-species sample size and missing data in phylogenetic comparative studies. </w:t>
      </w:r>
      <w:r>
        <w:rPr>
          <w:i/>
          <w:iCs/>
        </w:rPr>
        <w:t>Systematic Biology</w:t>
      </w:r>
      <w:r>
        <w:t xml:space="preserve">, </w:t>
      </w:r>
      <w:r>
        <w:rPr>
          <w:i/>
          <w:iCs/>
        </w:rPr>
        <w:t>60</w:t>
      </w:r>
      <w:r>
        <w:t xml:space="preserve">(6), 876–880. </w:t>
      </w:r>
      <w:hyperlink r:id="rId21">
        <w:r>
          <w:rPr>
            <w:rStyle w:val="Hyperlink"/>
          </w:rPr>
          <w:t>https://doi.org/10.1093/sysbio/syr060</w:t>
        </w:r>
      </w:hyperlink>
    </w:p>
    <w:p w14:paraId="63DE34E4" w14:textId="77777777" w:rsidR="00BF57C6" w:rsidRDefault="00000000">
      <w:pPr>
        <w:pStyle w:val="Bibliography"/>
      </w:pPr>
      <w:bookmarkStart w:id="33" w:name="ref-gelmanhill2007"/>
      <w:bookmarkEnd w:id="32"/>
      <w:r>
        <w:t xml:space="preserve">Gelman, A., &amp; Hill, J. (2007). </w:t>
      </w:r>
      <w:r>
        <w:rPr>
          <w:i/>
          <w:iCs/>
        </w:rPr>
        <w:t>Data analysis using regression and multilevel/hierarchical models</w:t>
      </w:r>
      <w:r>
        <w:t xml:space="preserve">. Cambridge University Press. </w:t>
      </w:r>
      <w:hyperlink r:id="rId22">
        <w:r>
          <w:rPr>
            <w:rStyle w:val="Hyperlink"/>
          </w:rPr>
          <w:t>https://doi.org/10.1017/CBO9780511790942</w:t>
        </w:r>
      </w:hyperlink>
    </w:p>
    <w:p w14:paraId="5E9FEAD7" w14:textId="77777777" w:rsidR="00BF57C6" w:rsidRDefault="00000000">
      <w:pPr>
        <w:pStyle w:val="Bibliography"/>
      </w:pPr>
      <w:bookmarkStart w:id="34" w:name="ref-gendre2024"/>
      <w:bookmarkEnd w:id="33"/>
      <w:r>
        <w:t xml:space="preserve">Gendre, M., Hauffe, T., Pimiento, C., &amp; Silvestro, D. (2024). Benchmarking imputation methods for categorical biological data. </w:t>
      </w:r>
      <w:r>
        <w:rPr>
          <w:i/>
          <w:iCs/>
        </w:rPr>
        <w:t>Methods in Ecology and Evolution</w:t>
      </w:r>
      <w:r>
        <w:t xml:space="preserve">, </w:t>
      </w:r>
      <w:r>
        <w:rPr>
          <w:i/>
          <w:iCs/>
        </w:rPr>
        <w:t>15</w:t>
      </w:r>
      <w:r>
        <w:t xml:space="preserve">(9), 1624–1638. </w:t>
      </w:r>
      <w:hyperlink r:id="rId23">
        <w:r>
          <w:rPr>
            <w:rStyle w:val="Hyperlink"/>
          </w:rPr>
          <w:t>https://doi.org/10.1111/2041-210X.14339</w:t>
        </w:r>
      </w:hyperlink>
    </w:p>
    <w:p w14:paraId="3801160B" w14:textId="77777777" w:rsidR="00BF57C6" w:rsidRDefault="00000000">
      <w:pPr>
        <w:pStyle w:val="Bibliography"/>
      </w:pPr>
      <w:bookmarkStart w:id="35" w:name="ref-gonzalezsuarez2012"/>
      <w:bookmarkEnd w:id="34"/>
      <w:r>
        <w:t xml:space="preserve">González-Suárez, M., Lucas, P. M., &amp; Revilla, E. (2012). Biases in comparative analyses of extinction risk: Mind the gap. </w:t>
      </w:r>
      <w:r>
        <w:rPr>
          <w:i/>
          <w:iCs/>
        </w:rPr>
        <w:t>Journal of Animal Ecology</w:t>
      </w:r>
      <w:r>
        <w:t xml:space="preserve">, </w:t>
      </w:r>
      <w:r>
        <w:rPr>
          <w:i/>
          <w:iCs/>
        </w:rPr>
        <w:t>81</w:t>
      </w:r>
      <w:r>
        <w:t xml:space="preserve">(6), 1211–1222. </w:t>
      </w:r>
      <w:hyperlink r:id="rId24">
        <w:r>
          <w:rPr>
            <w:rStyle w:val="Hyperlink"/>
          </w:rPr>
          <w:t>https://doi.org/10.1111/j.1365-2656.2012.01999.x</w:t>
        </w:r>
      </w:hyperlink>
    </w:p>
    <w:p w14:paraId="1CB778F8" w14:textId="77777777" w:rsidR="00BF57C6" w:rsidRDefault="00000000">
      <w:pPr>
        <w:pStyle w:val="Bibliography"/>
      </w:pPr>
      <w:bookmarkStart w:id="36" w:name="ref-goolsby2017"/>
      <w:bookmarkEnd w:id="35"/>
      <w:r>
        <w:t xml:space="preserve">Goolsby, E. W., Bruggeman, J., &amp; Ané, C. (2017). Rphylopars: Fast multivariate phylogenetic comparative methods for missing data and within-species variation. </w:t>
      </w:r>
      <w:r>
        <w:rPr>
          <w:i/>
          <w:iCs/>
        </w:rPr>
        <w:t>Methods in Ecology and Evolution</w:t>
      </w:r>
      <w:r>
        <w:t xml:space="preserve">, </w:t>
      </w:r>
      <w:r>
        <w:rPr>
          <w:i/>
          <w:iCs/>
        </w:rPr>
        <w:t>8</w:t>
      </w:r>
      <w:r>
        <w:t xml:space="preserve">(1), 22–27. </w:t>
      </w:r>
      <w:hyperlink r:id="rId25">
        <w:r>
          <w:rPr>
            <w:rStyle w:val="Hyperlink"/>
          </w:rPr>
          <w:t>https://doi.org/10.1111/2041-210X.12612</w:t>
        </w:r>
      </w:hyperlink>
    </w:p>
    <w:p w14:paraId="45A874D2" w14:textId="77777777" w:rsidR="00BF57C6" w:rsidRDefault="00000000">
      <w:pPr>
        <w:pStyle w:val="Bibliography"/>
      </w:pPr>
      <w:bookmarkStart w:id="37" w:name="ref-grafen1989"/>
      <w:bookmarkEnd w:id="36"/>
      <w:r>
        <w:t xml:space="preserve">Grafen, A. (1989). The phylogenetic regression. </w:t>
      </w:r>
      <w:r>
        <w:rPr>
          <w:i/>
          <w:iCs/>
        </w:rPr>
        <w:t>Philosophical Transactions of the Royal Society of London. Series B, Biological Sciences</w:t>
      </w:r>
      <w:r>
        <w:t xml:space="preserve">, </w:t>
      </w:r>
      <w:r>
        <w:rPr>
          <w:i/>
          <w:iCs/>
        </w:rPr>
        <w:t>326</w:t>
      </w:r>
      <w:r>
        <w:t xml:space="preserve">(1233), 119–157. </w:t>
      </w:r>
      <w:hyperlink r:id="rId26">
        <w:r>
          <w:rPr>
            <w:rStyle w:val="Hyperlink"/>
          </w:rPr>
          <w:t>https://doi.org/10.1098/rstb.1989.0106</w:t>
        </w:r>
      </w:hyperlink>
    </w:p>
    <w:p w14:paraId="6A967500" w14:textId="77777777" w:rsidR="00BF57C6" w:rsidRDefault="00000000">
      <w:pPr>
        <w:pStyle w:val="Bibliography"/>
      </w:pPr>
      <w:bookmarkStart w:id="38" w:name="ref-grund2023"/>
      <w:bookmarkEnd w:id="37"/>
      <w:r>
        <w:t xml:space="preserve">Grund, S., Robitzsch, A., &amp; Lüdtke, O. (2023). </w:t>
      </w:r>
      <w:r>
        <w:rPr>
          <w:i/>
          <w:iCs/>
        </w:rPr>
        <w:t>Mitml: Tools for multiple imputation in multilevel modeling</w:t>
      </w:r>
      <w:r>
        <w:t xml:space="preserve">. </w:t>
      </w:r>
      <w:hyperlink r:id="rId27">
        <w:r>
          <w:rPr>
            <w:rStyle w:val="Hyperlink"/>
          </w:rPr>
          <w:t>https://CRAN.R-project.org/package=mitml</w:t>
        </w:r>
      </w:hyperlink>
    </w:p>
    <w:p w14:paraId="2913839A" w14:textId="77777777" w:rsidR="00BF57C6" w:rsidRDefault="00000000">
      <w:pPr>
        <w:pStyle w:val="Bibliography"/>
      </w:pPr>
      <w:bookmarkStart w:id="39" w:name="ref-hadfield2010jss"/>
      <w:bookmarkEnd w:id="38"/>
      <w:r>
        <w:t xml:space="preserve">Hadfield, J. D. (2010). MCMC methods for multi-response generalized linear mixed models: The MCMCglmm r package. </w:t>
      </w:r>
      <w:r>
        <w:rPr>
          <w:i/>
          <w:iCs/>
        </w:rPr>
        <w:t>Journal of Statistical Software</w:t>
      </w:r>
      <w:r>
        <w:t xml:space="preserve">, </w:t>
      </w:r>
      <w:r>
        <w:rPr>
          <w:i/>
          <w:iCs/>
        </w:rPr>
        <w:t>33</w:t>
      </w:r>
      <w:r>
        <w:t xml:space="preserve">(2), 1–22. </w:t>
      </w:r>
      <w:hyperlink r:id="rId28">
        <w:r>
          <w:rPr>
            <w:rStyle w:val="Hyperlink"/>
          </w:rPr>
          <w:t>https://doi.org/10.18637/jss.v033.i02</w:t>
        </w:r>
      </w:hyperlink>
    </w:p>
    <w:p w14:paraId="6CAC756C" w14:textId="77777777" w:rsidR="00BF57C6" w:rsidRDefault="00000000">
      <w:pPr>
        <w:pStyle w:val="Bibliography"/>
      </w:pPr>
      <w:bookmarkStart w:id="40" w:name="ref-hadfield2010"/>
      <w:bookmarkEnd w:id="39"/>
      <w:r>
        <w:t xml:space="preserve">Hadfield, J. D., &amp; Nakagawa, S. (2010). General quantitative genetic methods for comparative biology: Phylogenies, taxonomies and multi-trait models for continuous and categorical characters. </w:t>
      </w:r>
      <w:r>
        <w:rPr>
          <w:i/>
          <w:iCs/>
        </w:rPr>
        <w:t>Journal of Evolutionary Biology</w:t>
      </w:r>
      <w:r>
        <w:t xml:space="preserve">, </w:t>
      </w:r>
      <w:r>
        <w:rPr>
          <w:i/>
          <w:iCs/>
        </w:rPr>
        <w:t>23</w:t>
      </w:r>
      <w:r>
        <w:t xml:space="preserve">(3), 494–508. </w:t>
      </w:r>
      <w:hyperlink r:id="rId29">
        <w:r>
          <w:rPr>
            <w:rStyle w:val="Hyperlink"/>
          </w:rPr>
          <w:t>https://doi.org/10.1111/j.1420-9101.2009.01915.x</w:t>
        </w:r>
      </w:hyperlink>
    </w:p>
    <w:p w14:paraId="2F219F34" w14:textId="77777777" w:rsidR="00BF57C6" w:rsidRDefault="00000000">
      <w:pPr>
        <w:pStyle w:val="Bibliography"/>
      </w:pPr>
      <w:bookmarkStart w:id="41" w:name="ref-halliwell2025"/>
      <w:bookmarkEnd w:id="40"/>
      <w:r>
        <w:lastRenderedPageBreak/>
        <w:t xml:space="preserve">Halliwell, B., Holland, B. R., &amp; Yates, L. A. (2025). Multi-response phylogenetic mixed models: Concepts and application. </w:t>
      </w:r>
      <w:r>
        <w:rPr>
          <w:i/>
          <w:iCs/>
        </w:rPr>
        <w:t>Biological Reviews of the Cambridge Philosophical Society</w:t>
      </w:r>
      <w:r>
        <w:t xml:space="preserve">, </w:t>
      </w:r>
      <w:r>
        <w:rPr>
          <w:i/>
          <w:iCs/>
        </w:rPr>
        <w:t>100</w:t>
      </w:r>
      <w:r>
        <w:t xml:space="preserve">(3), 1294–1316. </w:t>
      </w:r>
      <w:hyperlink r:id="rId30">
        <w:r>
          <w:rPr>
            <w:rStyle w:val="Hyperlink"/>
          </w:rPr>
          <w:t>https://doi.org/10.1111/brv.70001</w:t>
        </w:r>
      </w:hyperlink>
    </w:p>
    <w:p w14:paraId="37E5682E" w14:textId="77777777" w:rsidR="00BF57C6" w:rsidRDefault="00000000">
      <w:pPr>
        <w:pStyle w:val="Bibliography"/>
      </w:pPr>
      <w:bookmarkStart w:id="42" w:name="ref-hansen1997"/>
      <w:bookmarkEnd w:id="41"/>
      <w:r>
        <w:t xml:space="preserve">Hansen, T. F. (1997). Stabilizing selection and the comparative analysis of adaptation. </w:t>
      </w:r>
      <w:r>
        <w:rPr>
          <w:i/>
          <w:iCs/>
        </w:rPr>
        <w:t>Evolution</w:t>
      </w:r>
      <w:r>
        <w:t xml:space="preserve">, </w:t>
      </w:r>
      <w:r>
        <w:rPr>
          <w:i/>
          <w:iCs/>
        </w:rPr>
        <w:t>51</w:t>
      </w:r>
      <w:r>
        <w:t xml:space="preserve">(5), 1341–1351. </w:t>
      </w:r>
      <w:hyperlink r:id="rId31">
        <w:r>
          <w:rPr>
            <w:rStyle w:val="Hyperlink"/>
          </w:rPr>
          <w:t>https://doi.org/10.1111/j.1558-5646.1997.tb01457.x</w:t>
        </w:r>
      </w:hyperlink>
    </w:p>
    <w:p w14:paraId="76DA81D4" w14:textId="77777777" w:rsidR="00BF57C6" w:rsidRDefault="00000000">
      <w:pPr>
        <w:pStyle w:val="Bibliography"/>
      </w:pPr>
      <w:bookmarkStart w:id="43" w:name="ref-littlerubin2002"/>
      <w:bookmarkEnd w:id="42"/>
      <w:r>
        <w:t xml:space="preserve">Little, R. J. A., &amp; Rubin, D. B. (2002). </w:t>
      </w:r>
      <w:r>
        <w:rPr>
          <w:i/>
          <w:iCs/>
        </w:rPr>
        <w:t>Statistical analysis with missing data</w:t>
      </w:r>
      <w:r>
        <w:t xml:space="preserve"> (2nd ed.). Wiley. </w:t>
      </w:r>
      <w:hyperlink r:id="rId32">
        <w:r>
          <w:rPr>
            <w:rStyle w:val="Hyperlink"/>
          </w:rPr>
          <w:t>https://doi.org/10.1002/9781119013563</w:t>
        </w:r>
      </w:hyperlink>
    </w:p>
    <w:p w14:paraId="37B3890B" w14:textId="77777777" w:rsidR="00BF57C6" w:rsidRDefault="00000000">
      <w:pPr>
        <w:pStyle w:val="Bibliography"/>
      </w:pPr>
      <w:bookmarkStart w:id="44" w:name="ref-little2024"/>
      <w:bookmarkEnd w:id="43"/>
      <w:r>
        <w:t xml:space="preserve">Little, R. J., Carpenter, J. R., &amp; Lee, K. J. (2024). A comparison of three popular methods for handling missing data: Complete-case analysis, inverse probability weighting, and multiple imputation. </w:t>
      </w:r>
      <w:r>
        <w:rPr>
          <w:i/>
          <w:iCs/>
        </w:rPr>
        <w:t>Sociological Methods &amp; Research</w:t>
      </w:r>
      <w:r>
        <w:t xml:space="preserve">, </w:t>
      </w:r>
      <w:r>
        <w:rPr>
          <w:i/>
          <w:iCs/>
        </w:rPr>
        <w:t>53</w:t>
      </w:r>
      <w:r>
        <w:t xml:space="preserve">(3), 1105–1135. </w:t>
      </w:r>
      <w:hyperlink r:id="rId33">
        <w:r>
          <w:rPr>
            <w:rStyle w:val="Hyperlink"/>
          </w:rPr>
          <w:t>https://doi.org/10.1177/00491241221113873</w:t>
        </w:r>
      </w:hyperlink>
    </w:p>
    <w:p w14:paraId="7D9D3B8A" w14:textId="77777777" w:rsidR="00BF57C6" w:rsidRDefault="00000000">
      <w:pPr>
        <w:pStyle w:val="Bibliography"/>
      </w:pPr>
      <w:bookmarkStart w:id="45" w:name="ref-martins1997"/>
      <w:bookmarkEnd w:id="44"/>
      <w:r>
        <w:t xml:space="preserve">Martins, E. P., &amp; Hansen, T. F. (1997). Phylogenies and the comparative method: A general approach to incorporating phylogenetic information into the analysis of interspecific data. </w:t>
      </w:r>
      <w:r>
        <w:rPr>
          <w:i/>
          <w:iCs/>
        </w:rPr>
        <w:t>The American Naturalist</w:t>
      </w:r>
      <w:r>
        <w:t xml:space="preserve">, </w:t>
      </w:r>
      <w:r>
        <w:rPr>
          <w:i/>
          <w:iCs/>
        </w:rPr>
        <w:t>149</w:t>
      </w:r>
      <w:r>
        <w:t xml:space="preserve">(4), 646–667. </w:t>
      </w:r>
      <w:hyperlink r:id="rId34">
        <w:r>
          <w:rPr>
            <w:rStyle w:val="Hyperlink"/>
          </w:rPr>
          <w:t>https://doi.org/10.1086/286013</w:t>
        </w:r>
      </w:hyperlink>
    </w:p>
    <w:p w14:paraId="14022774" w14:textId="77777777" w:rsidR="00BF57C6" w:rsidRDefault="00000000">
      <w:pPr>
        <w:pStyle w:val="Bibliography"/>
      </w:pPr>
      <w:bookmarkStart w:id="46" w:name="ref-nakagawa2008"/>
      <w:bookmarkEnd w:id="45"/>
      <w:r>
        <w:t xml:space="preserve">Nakagawa, S., &amp; Freckleton, R. P. (2008). Missing inaction: The dangers of ignoring missing data. </w:t>
      </w:r>
      <w:r>
        <w:rPr>
          <w:i/>
          <w:iCs/>
        </w:rPr>
        <w:t>Trends in Ecology &amp; Evolution</w:t>
      </w:r>
      <w:r>
        <w:t xml:space="preserve">, </w:t>
      </w:r>
      <w:r>
        <w:rPr>
          <w:i/>
          <w:iCs/>
        </w:rPr>
        <w:t>23</w:t>
      </w:r>
      <w:r>
        <w:t xml:space="preserve">(11), 592–596. </w:t>
      </w:r>
      <w:hyperlink r:id="rId35">
        <w:r>
          <w:rPr>
            <w:rStyle w:val="Hyperlink"/>
          </w:rPr>
          <w:t>https://doi.org/10.1016/j.tree.2008.06.014</w:t>
        </w:r>
      </w:hyperlink>
    </w:p>
    <w:p w14:paraId="31B04C75" w14:textId="77777777" w:rsidR="00BF57C6" w:rsidRDefault="00000000">
      <w:pPr>
        <w:pStyle w:val="Bibliography"/>
      </w:pPr>
      <w:bookmarkStart w:id="47" w:name="ref-nakagawa2012"/>
      <w:bookmarkEnd w:id="46"/>
      <w:r>
        <w:t xml:space="preserve">Nakagawa, S., &amp; Santos, E. S. A. (2012). Methodological issues and advances in biological meta-analysis. </w:t>
      </w:r>
      <w:r>
        <w:rPr>
          <w:i/>
          <w:iCs/>
        </w:rPr>
        <w:t>Evolutionary Ecology</w:t>
      </w:r>
      <w:r>
        <w:t xml:space="preserve">, </w:t>
      </w:r>
      <w:r>
        <w:rPr>
          <w:i/>
          <w:iCs/>
        </w:rPr>
        <w:t>26</w:t>
      </w:r>
      <w:r>
        <w:t xml:space="preserve">(5), 1253–1274. </w:t>
      </w:r>
      <w:hyperlink r:id="rId36">
        <w:r>
          <w:rPr>
            <w:rStyle w:val="Hyperlink"/>
          </w:rPr>
          <w:t>https://doi.org/10.1007/s10682-012-9555-5</w:t>
        </w:r>
      </w:hyperlink>
    </w:p>
    <w:p w14:paraId="5371EAA3" w14:textId="77777777" w:rsidR="00BF57C6" w:rsidRDefault="00000000">
      <w:pPr>
        <w:pStyle w:val="Bibliography"/>
      </w:pPr>
      <w:bookmarkStart w:id="48" w:name="ref-noble2021"/>
      <w:bookmarkEnd w:id="47"/>
      <w:r>
        <w:t xml:space="preserve">Noble, D. W. A., &amp; Nakagawa, S. (2021). Planned missing data designs and methods: Options for strengthening inference, increasing research efficiency and improving animal welfare in ecological and evolutionary research. </w:t>
      </w:r>
      <w:r>
        <w:rPr>
          <w:i/>
          <w:iCs/>
        </w:rPr>
        <w:t>Evolutionary Applications</w:t>
      </w:r>
      <w:r>
        <w:t xml:space="preserve">, </w:t>
      </w:r>
      <w:r>
        <w:rPr>
          <w:i/>
          <w:iCs/>
        </w:rPr>
        <w:t>14</w:t>
      </w:r>
      <w:r>
        <w:t xml:space="preserve">(8), 1958–1968. </w:t>
      </w:r>
      <w:hyperlink r:id="rId37">
        <w:r>
          <w:rPr>
            <w:rStyle w:val="Hyperlink"/>
          </w:rPr>
          <w:t>https://doi.org/10.1111/eva.13273</w:t>
        </w:r>
      </w:hyperlink>
    </w:p>
    <w:p w14:paraId="544349A7" w14:textId="77777777" w:rsidR="00BF57C6" w:rsidRDefault="00000000">
      <w:pPr>
        <w:pStyle w:val="Bibliography"/>
      </w:pPr>
      <w:bookmarkStart w:id="49" w:name="ref-pagel1994"/>
      <w:bookmarkEnd w:id="48"/>
      <w:r>
        <w:t xml:space="preserve">Pagel, M. (1994). Detecting correlated evolution on phylogenies: A general method for the comparative analysis of discrete characters. </w:t>
      </w:r>
      <w:r>
        <w:rPr>
          <w:i/>
          <w:iCs/>
        </w:rPr>
        <w:t>Proceedings of the Royal Society of London. Series B: Biological Sciences</w:t>
      </w:r>
      <w:r>
        <w:t xml:space="preserve">, </w:t>
      </w:r>
      <w:r>
        <w:rPr>
          <w:i/>
          <w:iCs/>
        </w:rPr>
        <w:t>255</w:t>
      </w:r>
      <w:r>
        <w:t xml:space="preserve">(1342), 37–45. </w:t>
      </w:r>
      <w:hyperlink r:id="rId38">
        <w:r>
          <w:rPr>
            <w:rStyle w:val="Hyperlink"/>
          </w:rPr>
          <w:t>https://doi.org/10.1098/rspb.1994.0006</w:t>
        </w:r>
      </w:hyperlink>
    </w:p>
    <w:p w14:paraId="346D6EB9" w14:textId="77777777" w:rsidR="00BF57C6" w:rsidRDefault="00000000">
      <w:pPr>
        <w:pStyle w:val="Bibliography"/>
      </w:pPr>
      <w:bookmarkStart w:id="50" w:name="ref-pagel1999"/>
      <w:bookmarkEnd w:id="49"/>
      <w:r>
        <w:t xml:space="preserve">Pagel, M. (1999). Inferring the historical patterns of biological evolution. </w:t>
      </w:r>
      <w:r>
        <w:rPr>
          <w:i/>
          <w:iCs/>
        </w:rPr>
        <w:t>Nature</w:t>
      </w:r>
      <w:r>
        <w:t xml:space="preserve">, </w:t>
      </w:r>
      <w:r>
        <w:rPr>
          <w:i/>
          <w:iCs/>
        </w:rPr>
        <w:t>401</w:t>
      </w:r>
      <w:r>
        <w:t xml:space="preserve">(6756), 877–884. </w:t>
      </w:r>
      <w:hyperlink r:id="rId39">
        <w:r>
          <w:rPr>
            <w:rStyle w:val="Hyperlink"/>
          </w:rPr>
          <w:t>https://doi.org/10.1038/44766</w:t>
        </w:r>
      </w:hyperlink>
    </w:p>
    <w:p w14:paraId="653D8DFD" w14:textId="77777777" w:rsidR="00BF57C6" w:rsidRDefault="00000000">
      <w:pPr>
        <w:pStyle w:val="Bibliography"/>
      </w:pPr>
      <w:bookmarkStart w:id="51" w:name="ref-pottier2025"/>
      <w:bookmarkEnd w:id="50"/>
      <w:r>
        <w:t xml:space="preserve">Pottier, P., Kearney, M. R., Wu, N. C., Gunderson, A. R., Rej, J. E., Rivera-Villanueva, A. N., Pollo, P., Burke, S., Drobniak, S. M., &amp; Nakagawa, S. (2025). Vulnerability of amphibians to global warming. </w:t>
      </w:r>
      <w:r>
        <w:rPr>
          <w:i/>
          <w:iCs/>
        </w:rPr>
        <w:t>Nature</w:t>
      </w:r>
      <w:r>
        <w:t xml:space="preserve">, </w:t>
      </w:r>
      <w:r>
        <w:rPr>
          <w:i/>
          <w:iCs/>
        </w:rPr>
        <w:t>639</w:t>
      </w:r>
      <w:r>
        <w:t xml:space="preserve">(8056), 954–961. </w:t>
      </w:r>
      <w:hyperlink r:id="rId40">
        <w:r>
          <w:rPr>
            <w:rStyle w:val="Hyperlink"/>
          </w:rPr>
          <w:t>https://doi.org/10.1038/s41586-025-08665-0</w:t>
        </w:r>
      </w:hyperlink>
    </w:p>
    <w:p w14:paraId="057D1A80" w14:textId="77777777" w:rsidR="00BF57C6" w:rsidRDefault="00000000">
      <w:pPr>
        <w:pStyle w:val="Bibliography"/>
      </w:pPr>
      <w:bookmarkStart w:id="52" w:name="ref-robitzsch2026"/>
      <w:bookmarkEnd w:id="51"/>
      <w:r>
        <w:t xml:space="preserve">Robitzsch, A., &amp; Grund, S. (2026). </w:t>
      </w:r>
      <w:r>
        <w:rPr>
          <w:i/>
          <w:iCs/>
        </w:rPr>
        <w:t>Miceadds: Some additional multiple imputation functions, especially for mice</w:t>
      </w:r>
      <w:r>
        <w:t xml:space="preserve">. </w:t>
      </w:r>
      <w:hyperlink r:id="rId41">
        <w:r>
          <w:rPr>
            <w:rStyle w:val="Hyperlink"/>
          </w:rPr>
          <w:t>https://CRAN.R-project.org/package=miceadds</w:t>
        </w:r>
      </w:hyperlink>
    </w:p>
    <w:p w14:paraId="2B6E5015" w14:textId="77777777" w:rsidR="00BF57C6" w:rsidRDefault="00000000">
      <w:pPr>
        <w:pStyle w:val="Bibliography"/>
      </w:pPr>
      <w:bookmarkStart w:id="53" w:name="ref-robitzsch2024"/>
      <w:bookmarkEnd w:id="52"/>
      <w:r>
        <w:t xml:space="preserve">Robitzsch, A., &amp; Lüdtke, O. (2024). </w:t>
      </w:r>
      <w:r>
        <w:rPr>
          <w:i/>
          <w:iCs/>
        </w:rPr>
        <w:t>Mdmb: Model based treatment of missing data</w:t>
      </w:r>
      <w:r>
        <w:t xml:space="preserve">. </w:t>
      </w:r>
      <w:hyperlink r:id="rId42">
        <w:r>
          <w:rPr>
            <w:rStyle w:val="Hyperlink"/>
          </w:rPr>
          <w:t>https://CRAN.R-project.org/package=mdmb</w:t>
        </w:r>
      </w:hyperlink>
    </w:p>
    <w:p w14:paraId="4202F638" w14:textId="77777777" w:rsidR="00BF57C6" w:rsidRDefault="00000000">
      <w:pPr>
        <w:pStyle w:val="Bibliography"/>
      </w:pPr>
      <w:bookmarkStart w:id="54" w:name="ref-rubin1987"/>
      <w:bookmarkEnd w:id="53"/>
      <w:r>
        <w:t xml:space="preserve">Rubin, D. B. (1987). </w:t>
      </w:r>
      <w:r>
        <w:rPr>
          <w:i/>
          <w:iCs/>
        </w:rPr>
        <w:t>Multiple imputation for nonresponse in surveys</w:t>
      </w:r>
      <w:r>
        <w:t xml:space="preserve">. John Wiley &amp; Sons. </w:t>
      </w:r>
      <w:hyperlink r:id="rId43">
        <w:r>
          <w:rPr>
            <w:rStyle w:val="Hyperlink"/>
          </w:rPr>
          <w:t>https://doi.org/10.1002/9780470316696</w:t>
        </w:r>
      </w:hyperlink>
    </w:p>
    <w:p w14:paraId="06AC8BDA" w14:textId="77777777" w:rsidR="00BF57C6" w:rsidRDefault="00000000">
      <w:pPr>
        <w:pStyle w:val="Bibliography"/>
      </w:pPr>
      <w:bookmarkStart w:id="55" w:name="ref-schafer2002"/>
      <w:bookmarkEnd w:id="54"/>
      <w:r>
        <w:t xml:space="preserve">Schafer, J. L., &amp; Graham, J. W. (2002). Missing data: Our view of the state of the art. </w:t>
      </w:r>
      <w:r>
        <w:rPr>
          <w:i/>
          <w:iCs/>
        </w:rPr>
        <w:t>Psychological Methods</w:t>
      </w:r>
      <w:r>
        <w:t xml:space="preserve">, </w:t>
      </w:r>
      <w:r>
        <w:rPr>
          <w:i/>
          <w:iCs/>
        </w:rPr>
        <w:t>7</w:t>
      </w:r>
      <w:r>
        <w:t xml:space="preserve">(2), 147–177. </w:t>
      </w:r>
      <w:hyperlink r:id="rId44">
        <w:r>
          <w:rPr>
            <w:rStyle w:val="Hyperlink"/>
          </w:rPr>
          <w:t>https://doi.org/10.1037/1082-989X.7.2.147</w:t>
        </w:r>
      </w:hyperlink>
    </w:p>
    <w:p w14:paraId="247DE4F1" w14:textId="77777777" w:rsidR="00BF57C6" w:rsidRDefault="00000000">
      <w:pPr>
        <w:pStyle w:val="Bibliography"/>
      </w:pPr>
      <w:bookmarkStart w:id="56" w:name="ref-schaferyucel2002"/>
      <w:bookmarkEnd w:id="55"/>
      <w:r>
        <w:t xml:space="preserve">Schafer, J. L., &amp; Yucel, R. M. (2002). Computational strategies for multivariate linear mixed-effects models with missing values. </w:t>
      </w:r>
      <w:r>
        <w:rPr>
          <w:i/>
          <w:iCs/>
        </w:rPr>
        <w:t>Journal of Computational and Graphical Statistics</w:t>
      </w:r>
      <w:r>
        <w:t xml:space="preserve">, </w:t>
      </w:r>
      <w:r>
        <w:rPr>
          <w:i/>
          <w:iCs/>
        </w:rPr>
        <w:t>11</w:t>
      </w:r>
      <w:r>
        <w:t xml:space="preserve">(2), 437–457. </w:t>
      </w:r>
      <w:hyperlink r:id="rId45">
        <w:r>
          <w:rPr>
            <w:rStyle w:val="Hyperlink"/>
          </w:rPr>
          <w:t>https://doi.org/10.1198/106186002760180608</w:t>
        </w:r>
      </w:hyperlink>
    </w:p>
    <w:p w14:paraId="0CC4B49D" w14:textId="77777777" w:rsidR="00BF57C6" w:rsidRDefault="00000000">
      <w:pPr>
        <w:pStyle w:val="Bibliography"/>
      </w:pPr>
      <w:bookmarkStart w:id="57" w:name="ref-schrodt2015"/>
      <w:bookmarkEnd w:id="56"/>
      <w:r>
        <w:lastRenderedPageBreak/>
        <w:t xml:space="preserve">Schrodt, F., Kattge, J., Shan, H., Fazayeli, F., Joswig, J., Banerjee, A., Reichstein, M., Bönisch, G., Díaz, S., Dickie, J., Gillison, A., Karpatne, A., Lavorel, S., Leadley, P., Wirth, C. B., Wright, I. J., Wright, S. J., &amp; Reich, P. B. (2015). BHPMF – a hierarchical bayesian approach to gap-filling and trait prediction for macroecology and functional biogeography. </w:t>
      </w:r>
      <w:r>
        <w:rPr>
          <w:i/>
          <w:iCs/>
        </w:rPr>
        <w:t>Global Ecology and Biogeography</w:t>
      </w:r>
      <w:r>
        <w:t xml:space="preserve">, </w:t>
      </w:r>
      <w:r>
        <w:rPr>
          <w:i/>
          <w:iCs/>
        </w:rPr>
        <w:t>24</w:t>
      </w:r>
      <w:r>
        <w:t xml:space="preserve">(12), 1510–1521. </w:t>
      </w:r>
      <w:hyperlink r:id="rId46">
        <w:r>
          <w:rPr>
            <w:rStyle w:val="Hyperlink"/>
          </w:rPr>
          <w:t>https://doi.org/10.1111/geb.12335</w:t>
        </w:r>
      </w:hyperlink>
    </w:p>
    <w:p w14:paraId="7151B450" w14:textId="77777777" w:rsidR="00BF57C6" w:rsidRDefault="00000000">
      <w:pPr>
        <w:pStyle w:val="Bibliography"/>
      </w:pPr>
      <w:bookmarkStart w:id="58" w:name="ref-speidel2020"/>
      <w:bookmarkEnd w:id="57"/>
      <w:r>
        <w:t xml:space="preserve">Speidel, M., Drechsler, J., &amp; Jolani, S. (2020). The r package hmi: A convenient tool for hierarchical multiple imputation and beyond. </w:t>
      </w:r>
      <w:r>
        <w:rPr>
          <w:i/>
          <w:iCs/>
        </w:rPr>
        <w:t>Journal of Statistical Software</w:t>
      </w:r>
      <w:r>
        <w:t xml:space="preserve">, </w:t>
      </w:r>
      <w:r>
        <w:rPr>
          <w:i/>
          <w:iCs/>
        </w:rPr>
        <w:t>95</w:t>
      </w:r>
      <w:r>
        <w:t xml:space="preserve">(9), 1–48. </w:t>
      </w:r>
      <w:hyperlink r:id="rId47">
        <w:r>
          <w:rPr>
            <w:rStyle w:val="Hyperlink"/>
          </w:rPr>
          <w:t>https://doi.org/10.18637/jss.v095.i09</w:t>
        </w:r>
      </w:hyperlink>
    </w:p>
    <w:p w14:paraId="667F53A0" w14:textId="77777777" w:rsidR="00BF57C6" w:rsidRDefault="00000000">
      <w:pPr>
        <w:pStyle w:val="Bibliography"/>
      </w:pPr>
      <w:bookmarkStart w:id="59" w:name="ref-stekhoven2012"/>
      <w:bookmarkEnd w:id="58"/>
      <w:r>
        <w:t xml:space="preserve">Stekhoven, D. J., &amp; Bühlmann, P. (2012). MissForest—non-parametric missing value imputation for mixed-type data. </w:t>
      </w:r>
      <w:r>
        <w:rPr>
          <w:i/>
          <w:iCs/>
        </w:rPr>
        <w:t>Bioinformatics</w:t>
      </w:r>
      <w:r>
        <w:t xml:space="preserve">, </w:t>
      </w:r>
      <w:r>
        <w:rPr>
          <w:i/>
          <w:iCs/>
        </w:rPr>
        <w:t>28</w:t>
      </w:r>
      <w:r>
        <w:t xml:space="preserve">(1), 112–118. </w:t>
      </w:r>
      <w:hyperlink r:id="rId48">
        <w:r>
          <w:rPr>
            <w:rStyle w:val="Hyperlink"/>
          </w:rPr>
          <w:t>https://doi.org/10.1093/bioinformatics/btr597</w:t>
        </w:r>
      </w:hyperlink>
    </w:p>
    <w:p w14:paraId="3DB816FD" w14:textId="77777777" w:rsidR="00BF57C6" w:rsidRDefault="00000000">
      <w:pPr>
        <w:pStyle w:val="Bibliography"/>
      </w:pPr>
      <w:bookmarkStart w:id="60" w:name="ref-tanner1987"/>
      <w:bookmarkEnd w:id="59"/>
      <w:r>
        <w:t xml:space="preserve">Tanner, M. A., &amp; Wong, W. H. (1987). The calculation of posterior distributions by data augmentation. </w:t>
      </w:r>
      <w:r>
        <w:rPr>
          <w:i/>
          <w:iCs/>
        </w:rPr>
        <w:t>Journal of the American Statistical Association</w:t>
      </w:r>
      <w:r>
        <w:t xml:space="preserve">, </w:t>
      </w:r>
      <w:r>
        <w:rPr>
          <w:i/>
          <w:iCs/>
        </w:rPr>
        <w:t>82</w:t>
      </w:r>
      <w:r>
        <w:t xml:space="preserve">(398), 528–540. </w:t>
      </w:r>
      <w:hyperlink r:id="rId49">
        <w:r>
          <w:rPr>
            <w:rStyle w:val="Hyperlink"/>
          </w:rPr>
          <w:t>https://doi.org/10.1080/01621459.1987.10478458</w:t>
        </w:r>
      </w:hyperlink>
    </w:p>
    <w:p w14:paraId="5A56B708" w14:textId="77777777" w:rsidR="00BF57C6" w:rsidRDefault="00000000">
      <w:pPr>
        <w:pStyle w:val="Bibliography"/>
      </w:pPr>
      <w:bookmarkStart w:id="61" w:name="ref-zhou2010"/>
      <w:bookmarkEnd w:id="60"/>
      <w:r>
        <w:t xml:space="preserve">Zhou, X., &amp; Reiter, J. P. (2010). A note on Bayesian inference after multiple imputation. </w:t>
      </w:r>
      <w:r>
        <w:rPr>
          <w:i/>
          <w:iCs/>
        </w:rPr>
        <w:t>The American Statistician</w:t>
      </w:r>
      <w:r>
        <w:t xml:space="preserve">, </w:t>
      </w:r>
      <w:r>
        <w:rPr>
          <w:i/>
          <w:iCs/>
        </w:rPr>
        <w:t>64</w:t>
      </w:r>
      <w:r>
        <w:t xml:space="preserve">(2), 159–163. </w:t>
      </w:r>
      <w:hyperlink r:id="rId50">
        <w:r>
          <w:rPr>
            <w:rStyle w:val="Hyperlink"/>
          </w:rPr>
          <w:t>https://doi.org/10.1198/tast.2010.09109</w:t>
        </w:r>
      </w:hyperlink>
      <w:bookmarkEnd w:id="19"/>
      <w:bookmarkEnd w:id="21"/>
      <w:bookmarkEnd w:id="61"/>
    </w:p>
    <w:sectPr w:rsidR="00BF57C6" w:rsidSect="003219BA">
      <w:footnotePr>
        <w:numRestart w:val="eachSect"/>
      </w:footnotePr>
      <w:pgSz w:w="12240" w:h="15840"/>
      <w:pgMar w:top="851" w:right="851" w:bottom="851" w:left="85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w:panose1 w:val="00000000000000000000"/>
    <w:charset w:val="4D"/>
    <w:family w:val="auto"/>
    <w:pitch w:val="variable"/>
    <w:sig w:usb0="A00002FF" w:usb1="7800205A" w:usb2="14600000" w:usb3="00000000" w:csb0="00000193"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4E052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E1FACF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88123872">
    <w:abstractNumId w:val="0"/>
  </w:num>
  <w:num w:numId="2" w16cid:durableId="18220441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7C6"/>
    <w:rsid w:val="003219BA"/>
    <w:rsid w:val="005F3524"/>
    <w:rsid w:val="00BF57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734AC9"/>
  <w15:docId w15:val="{8EA6C7FF-B8F4-7549-8014-4FA3B2115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3219BA"/>
    <w:pPr>
      <w:keepNext/>
      <w:keepLines/>
      <w:spacing w:before="360" w:after="80"/>
      <w:outlineLvl w:val="0"/>
    </w:pPr>
    <w:rPr>
      <w:rFonts w:ascii="Palatino" w:eastAsiaTheme="majorEastAsia" w:hAnsi="Palatino" w:cstheme="majorBidi"/>
      <w:color w:val="000000" w:themeColor="text1"/>
      <w:sz w:val="40"/>
      <w:szCs w:val="40"/>
    </w:rPr>
  </w:style>
  <w:style w:type="paragraph" w:styleId="Heading2">
    <w:name w:val="heading 2"/>
    <w:basedOn w:val="Normal"/>
    <w:next w:val="BodyText"/>
    <w:link w:val="Heading2Char"/>
    <w:uiPriority w:val="9"/>
    <w:semiHidden/>
    <w:unhideWhenUsed/>
    <w:qFormat/>
    <w:rsid w:val="003219BA"/>
    <w:pPr>
      <w:keepNext/>
      <w:keepLines/>
      <w:spacing w:before="160" w:after="80"/>
      <w:outlineLvl w:val="1"/>
    </w:pPr>
    <w:rPr>
      <w:rFonts w:ascii="Palatino" w:eastAsiaTheme="majorEastAsia" w:hAnsi="Palatino" w:cstheme="majorBidi"/>
      <w:color w:val="000000" w:themeColor="text1"/>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219BA"/>
    <w:pPr>
      <w:spacing w:before="180" w:after="180"/>
    </w:pPr>
    <w:rPr>
      <w:rFonts w:ascii="Palatino" w:hAnsi="Palatino"/>
    </w:rPr>
  </w:style>
  <w:style w:type="paragraph" w:customStyle="1" w:styleId="FirstParagraph">
    <w:name w:val="First Paragraph"/>
    <w:basedOn w:val="BodyText"/>
    <w:next w:val="BodyText"/>
    <w:qFormat/>
    <w:rsid w:val="003219BA"/>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3219BA"/>
    <w:pPr>
      <w:spacing w:after="80"/>
      <w:contextualSpacing/>
      <w:jc w:val="center"/>
    </w:pPr>
    <w:rPr>
      <w:rFonts w:ascii="Palatino" w:eastAsiaTheme="majorEastAsia" w:hAnsi="Palatino" w:cstheme="majorBidi"/>
      <w:sz w:val="56"/>
      <w:szCs w:val="56"/>
    </w:rPr>
  </w:style>
  <w:style w:type="character" w:customStyle="1" w:styleId="TitleChar">
    <w:name w:val="Title Char"/>
    <w:basedOn w:val="DefaultParagraphFont"/>
    <w:link w:val="Title"/>
    <w:uiPriority w:val="10"/>
    <w:rsid w:val="003219BA"/>
    <w:rPr>
      <w:rFonts w:ascii="Palatino" w:eastAsiaTheme="majorEastAsia" w:hAnsi="Palatino"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3219BA"/>
    <w:rPr>
      <w:rFonts w:ascii="Palatino" w:hAnsi="Palatino"/>
    </w:rPr>
  </w:style>
  <w:style w:type="character" w:customStyle="1" w:styleId="Heading1Char">
    <w:name w:val="Heading 1 Char"/>
    <w:basedOn w:val="DefaultParagraphFont"/>
    <w:link w:val="Heading1"/>
    <w:uiPriority w:val="9"/>
    <w:rsid w:val="003219BA"/>
    <w:rPr>
      <w:rFonts w:ascii="Palatino" w:eastAsiaTheme="majorEastAsia" w:hAnsi="Palatino" w:cstheme="majorBidi"/>
      <w:color w:val="000000" w:themeColor="text1"/>
      <w:sz w:val="40"/>
      <w:szCs w:val="40"/>
    </w:rPr>
  </w:style>
  <w:style w:type="character" w:customStyle="1" w:styleId="Heading2Char">
    <w:name w:val="Heading 2 Char"/>
    <w:basedOn w:val="DefaultParagraphFont"/>
    <w:link w:val="Heading2"/>
    <w:uiPriority w:val="9"/>
    <w:semiHidden/>
    <w:rsid w:val="003219BA"/>
    <w:rPr>
      <w:rFonts w:ascii="Palatino" w:eastAsiaTheme="majorEastAsia" w:hAnsi="Palatino" w:cstheme="majorBidi"/>
      <w:color w:val="000000" w:themeColor="text1"/>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auto"/>
        <w:bottom w:val="single" w:sz="8"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3219BA"/>
    <w:rPr>
      <w:rFonts w:ascii="Palatino" w:hAnsi="Palatino"/>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2041-210X.14494" TargetMode="External"/><Relationship Id="rId18" Type="http://schemas.openxmlformats.org/officeDocument/2006/relationships/hyperlink" Target="https://github.com/pdrhlik/phylomice" TargetMode="External"/><Relationship Id="rId26" Type="http://schemas.openxmlformats.org/officeDocument/2006/relationships/hyperlink" Target="https://doi.org/10.1098/rstb.1989.0106" TargetMode="External"/><Relationship Id="rId39" Type="http://schemas.openxmlformats.org/officeDocument/2006/relationships/hyperlink" Target="https://doi.org/10.1038/44766" TargetMode="External"/><Relationship Id="rId21" Type="http://schemas.openxmlformats.org/officeDocument/2006/relationships/hyperlink" Target="https://doi.org/10.1093/sysbio/syr060" TargetMode="External"/><Relationship Id="rId34" Type="http://schemas.openxmlformats.org/officeDocument/2006/relationships/hyperlink" Target="https://doi.org/10.1086/286013" TargetMode="External"/><Relationship Id="rId42" Type="http://schemas.openxmlformats.org/officeDocument/2006/relationships/hyperlink" Target="https://CRAN.R-project.org/package=mdmb" TargetMode="External"/><Relationship Id="rId47" Type="http://schemas.openxmlformats.org/officeDocument/2006/relationships/hyperlink" Target="https://doi.org/10.18637/jss.v095.i09" TargetMode="External"/><Relationship Id="rId50" Type="http://schemas.openxmlformats.org/officeDocument/2006/relationships/hyperlink" Target="https://doi.org/10.1198/tast.2010.09109" TargetMode="External"/><Relationship Id="rId7" Type="http://schemas.openxmlformats.org/officeDocument/2006/relationships/hyperlink" Target="https://github.com/daniel1noble/BACE" TargetMode="External"/><Relationship Id="rId2" Type="http://schemas.openxmlformats.org/officeDocument/2006/relationships/styles" Target="styles.xml"/><Relationship Id="rId16" Type="http://schemas.openxmlformats.org/officeDocument/2006/relationships/hyperlink" Target="https://doi.org/10.1002/9781119942283" TargetMode="External"/><Relationship Id="rId29" Type="http://schemas.openxmlformats.org/officeDocument/2006/relationships/hyperlink" Target="https://doi.org/10.1111/j.1420-9101.2009.01915.x" TargetMode="External"/><Relationship Id="rId11" Type="http://schemas.openxmlformats.org/officeDocument/2006/relationships/hyperlink" Target="https://doi.org/10.1177/0962280214521348" TargetMode="External"/><Relationship Id="rId24" Type="http://schemas.openxmlformats.org/officeDocument/2006/relationships/hyperlink" Target="https://doi.org/10.1111/j.1365-2656.2012.01999.x" TargetMode="External"/><Relationship Id="rId32" Type="http://schemas.openxmlformats.org/officeDocument/2006/relationships/hyperlink" Target="https://doi.org/10.1002/9781119013563" TargetMode="External"/><Relationship Id="rId37" Type="http://schemas.openxmlformats.org/officeDocument/2006/relationships/hyperlink" Target="https://doi.org/10.1111/eva.13273" TargetMode="External"/><Relationship Id="rId40" Type="http://schemas.openxmlformats.org/officeDocument/2006/relationships/hyperlink" Target="https://doi.org/10.1038/s41586-025-08665-0" TargetMode="External"/><Relationship Id="rId45" Type="http://schemas.openxmlformats.org/officeDocument/2006/relationships/hyperlink" Target="https://doi.org/10.1198/106186002760180608" TargetMode="External"/><Relationship Id="rId5" Type="http://schemas.openxmlformats.org/officeDocument/2006/relationships/image" Target="media/image1.png"/><Relationship Id="rId15" Type="http://schemas.openxmlformats.org/officeDocument/2006/relationships/hyperlink" Target="https://doi.org/10.18637/jss.v045.i03" TargetMode="External"/><Relationship Id="rId23" Type="http://schemas.openxmlformats.org/officeDocument/2006/relationships/hyperlink" Target="https://doi.org/10.1111/2041-210X.14339" TargetMode="External"/><Relationship Id="rId28" Type="http://schemas.openxmlformats.org/officeDocument/2006/relationships/hyperlink" Target="https://doi.org/10.18637/jss.v033.i02" TargetMode="External"/><Relationship Id="rId36" Type="http://schemas.openxmlformats.org/officeDocument/2006/relationships/hyperlink" Target="https://doi.org/10.1007/s10682-012-9555-5" TargetMode="External"/><Relationship Id="rId49" Type="http://schemas.openxmlformats.org/officeDocument/2006/relationships/hyperlink" Target="https://doi.org/10.1080/01621459.1987.10478458" TargetMode="External"/><Relationship Id="rId10" Type="http://schemas.openxmlformats.org/officeDocument/2006/relationships/hyperlink" Target="https://doi.org/10.1214/18-STS646" TargetMode="External"/><Relationship Id="rId19" Type="http://schemas.openxmlformats.org/officeDocument/2006/relationships/hyperlink" Target="https://doi.org/10.18637/jss.v100.i20" TargetMode="External"/><Relationship Id="rId31" Type="http://schemas.openxmlformats.org/officeDocument/2006/relationships/hyperlink" Target="https://doi.org/10.1111/j.1558-5646.1997.tb01457.x" TargetMode="External"/><Relationship Id="rId44" Type="http://schemas.openxmlformats.org/officeDocument/2006/relationships/hyperlink" Target="https://doi.org/10.1037/1082-989X.7.2.147"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RAN.R-project.org/package=BACE" TargetMode="External"/><Relationship Id="rId14" Type="http://schemas.openxmlformats.org/officeDocument/2006/relationships/hyperlink" Target="https://doi.org/10.1093/nar/gkp370" TargetMode="External"/><Relationship Id="rId22" Type="http://schemas.openxmlformats.org/officeDocument/2006/relationships/hyperlink" Target="https://doi.org/10.1017/CBO9780511790942" TargetMode="External"/><Relationship Id="rId27" Type="http://schemas.openxmlformats.org/officeDocument/2006/relationships/hyperlink" Target="https://CRAN.R-project.org/package=mitml" TargetMode="External"/><Relationship Id="rId30" Type="http://schemas.openxmlformats.org/officeDocument/2006/relationships/hyperlink" Target="https://doi.org/10.1111/brv.70001" TargetMode="External"/><Relationship Id="rId35" Type="http://schemas.openxmlformats.org/officeDocument/2006/relationships/hyperlink" Target="https://doi.org/10.1016/j.tree.2008.06.014" TargetMode="External"/><Relationship Id="rId43" Type="http://schemas.openxmlformats.org/officeDocument/2006/relationships/hyperlink" Target="https://doi.org/10.1002/9780470316696" TargetMode="External"/><Relationship Id="rId48" Type="http://schemas.openxmlformats.org/officeDocument/2006/relationships/hyperlink" Target="https://doi.org/10.1093/bioinformatics/btr597" TargetMode="External"/><Relationship Id="rId8" Type="http://schemas.openxmlformats.org/officeDocument/2006/relationships/hyperlink" Target="https://daniel1noble.github.io/BACE/"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1111/j.0014-3820.2003.tb00285.x" TargetMode="External"/><Relationship Id="rId17" Type="http://schemas.openxmlformats.org/officeDocument/2006/relationships/hyperlink" Target="https://doi.org/10.1111/2041-210X.13760" TargetMode="External"/><Relationship Id="rId25" Type="http://schemas.openxmlformats.org/officeDocument/2006/relationships/hyperlink" Target="https://doi.org/10.1111/2041-210X.12612" TargetMode="External"/><Relationship Id="rId33" Type="http://schemas.openxmlformats.org/officeDocument/2006/relationships/hyperlink" Target="https://doi.org/10.1177/00491241221113873" TargetMode="External"/><Relationship Id="rId38" Type="http://schemas.openxmlformats.org/officeDocument/2006/relationships/hyperlink" Target="https://doi.org/10.1098/rspb.1994.0006" TargetMode="External"/><Relationship Id="rId46" Type="http://schemas.openxmlformats.org/officeDocument/2006/relationships/hyperlink" Target="https://doi.org/10.1111/geb.12335" TargetMode="External"/><Relationship Id="rId20" Type="http://schemas.openxmlformats.org/officeDocument/2006/relationships/hyperlink" Target="https://doi.org/10.1086/284325" TargetMode="External"/><Relationship Id="rId41" Type="http://schemas.openxmlformats.org/officeDocument/2006/relationships/hyperlink" Target="https://CRAN.R-project.org/package=miceadds" TargetMode="External"/><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4935</Words>
  <Characters>28134</Characters>
  <Application>Microsoft Office Word</Application>
  <DocSecurity>0</DocSecurity>
  <Lines>234</Lines>
  <Paragraphs>66</Paragraphs>
  <ScaleCrop>false</ScaleCrop>
  <Company/>
  <LinksUpToDate>false</LinksUpToDate>
  <CharactersWithSpaces>33003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missing trait data in comparative biology using Bayesian Augmentation by Chained Equations: the BACE R package</dc:title>
  <dc:creator>Daniel Noble</dc:creator>
  <cp:keywords/>
  <cp:lastModifiedBy>Daniel Noble</cp:lastModifiedBy>
  <cp:revision>2</cp:revision>
  <dcterms:created xsi:type="dcterms:W3CDTF">2026-10-29T03:30:00Z</dcterms:created>
  <dcterms:modified xsi:type="dcterms:W3CDTF">2026-10-29T03:30:00Z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../bib/BACE.bib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../bib/methods-in-ecology-and-evolution.csl</vt:lpwstr>
  </property>
  <property fmtid="{D5CDD505-2E9C-101B-9397-08002B2CF9AE}" pid="10" name="editor_option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