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B6657" w14:textId="77777777" w:rsidR="00EB0B57" w:rsidRDefault="00EB0B57" w:rsidP="00EB0B57">
      <w:pPr>
        <w:pStyle w:val="BodyText"/>
      </w:pPr>
    </w:p>
    <w:p w14:paraId="47D207B3" w14:textId="77777777" w:rsidR="00EB0B57" w:rsidRDefault="00EB0B57" w:rsidP="00EB0B57">
      <w:pPr>
        <w:pStyle w:val="Heading2"/>
      </w:pPr>
      <w:bookmarkStart w:id="0" w:name="supplemental-results-and-figures"/>
      <w:r>
        <w:t>Supplemental Results and Figures</w:t>
      </w:r>
    </w:p>
    <w:p w14:paraId="5F7E2DAD" w14:textId="77777777" w:rsidR="00EB0B57" w:rsidRDefault="00EB0B57" w:rsidP="00EB0B57">
      <w:pPr>
        <w:pStyle w:val="Heading4"/>
      </w:pPr>
      <w:bookmarkStart w:id="1" w:name="prisma-flow-diagram"/>
      <w:r>
        <w:t>PRISMA Flow Diagram</w:t>
      </w:r>
    </w:p>
    <w:tbl>
      <w:tblPr>
        <w:tblStyle w:val="Table"/>
        <w:tblW w:w="5000" w:type="pct"/>
        <w:tblLook w:val="0000" w:firstRow="0" w:lastRow="0" w:firstColumn="0" w:lastColumn="0" w:noHBand="0" w:noVBand="0"/>
      </w:tblPr>
      <w:tblGrid>
        <w:gridCol w:w="10538"/>
      </w:tblGrid>
      <w:tr w:rsidR="00EB0B57" w14:paraId="02B9275D" w14:textId="77777777" w:rsidTr="008E4C0F">
        <w:tc>
          <w:tcPr>
            <w:tcW w:w="0" w:type="auto"/>
          </w:tcPr>
          <w:p w14:paraId="06AB22EA" w14:textId="77777777" w:rsidR="00EB0B57" w:rsidRDefault="00EB0B57" w:rsidP="008E4C0F">
            <w:pPr>
              <w:pStyle w:val="Figure"/>
              <w:jc w:val="center"/>
            </w:pPr>
            <w:bookmarkStart w:id="2" w:name="fig-prisma"/>
            <w:r>
              <w:rPr>
                <w:noProof/>
              </w:rPr>
              <w:drawing>
                <wp:inline distT="0" distB="0" distL="0" distR="0" wp14:anchorId="5AD355A3" wp14:editId="7889262D">
                  <wp:extent cx="5298831" cy="3759053"/>
                  <wp:effectExtent l="0" t="0" r="0" b="635"/>
                  <wp:docPr id="167" name="Picture" descr="A flowchart of a scientific experimen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Picture" descr="A flowchart of a scientific experimen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2614" cy="3775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670F0C" w14:textId="77777777" w:rsidR="00EB0B57" w:rsidRDefault="00EB0B57" w:rsidP="008E4C0F">
            <w:pPr>
              <w:pStyle w:val="ImageCaption"/>
              <w:spacing w:before="200"/>
            </w:pPr>
            <w:r>
              <w:rPr>
                <w:b/>
                <w:bCs/>
              </w:rPr>
              <w:t>Fig.</w:t>
            </w:r>
            <w:r w:rsidRPr="00024224">
              <w:rPr>
                <w:b/>
                <w:bCs/>
              </w:rPr>
              <w:t> S1</w:t>
            </w:r>
            <w:r>
              <w:rPr>
                <w:b/>
                <w:bCs/>
              </w:rPr>
              <w:t>.</w:t>
            </w:r>
            <w:r>
              <w:t xml:space="preserve"> PRISMA flow diagram of the literature search and screening process.</w:t>
            </w:r>
          </w:p>
        </w:tc>
        <w:bookmarkEnd w:id="2"/>
      </w:tr>
    </w:tbl>
    <w:p w14:paraId="1427D2C2" w14:textId="77777777" w:rsidR="00EB0B57" w:rsidRDefault="00EB0B57" w:rsidP="00EB0B57">
      <w:pPr>
        <w:pStyle w:val="Heading4"/>
      </w:pPr>
      <w:bookmarkStart w:id="3" w:name="Xb63006acf3bc5b84d50a4986f89915cdb41715e"/>
      <w:bookmarkEnd w:id="1"/>
      <w:r>
        <w:lastRenderedPageBreak/>
        <w:t xml:space="preserve">Acute and acclimation </w:t>
      </w:r>
      <m:oMath>
        <m:r>
          <m:rPr>
            <m:sty m:val="bi"/>
          </m:rPr>
          <w:rPr>
            <w:rFonts w:ascii="Cambria Math" w:hAnsi="Cambria Math"/>
          </w:rPr>
          <m:t>lnR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10</m:t>
                </m:r>
              </m:sub>
            </m:sSub>
          </m:sub>
        </m:sSub>
      </m:oMath>
      <w:r>
        <w:t xml:space="preserve"> for different trait categories across marine, </w:t>
      </w:r>
      <w:proofErr w:type="gramStart"/>
      <w:r>
        <w:t>freshwater</w:t>
      </w:r>
      <w:proofErr w:type="gramEnd"/>
      <w:r>
        <w:t xml:space="preserve"> and terrestrial taxa</w:t>
      </w:r>
    </w:p>
    <w:tbl>
      <w:tblPr>
        <w:tblStyle w:val="Table"/>
        <w:tblW w:w="5000" w:type="pct"/>
        <w:tblLook w:val="0000" w:firstRow="0" w:lastRow="0" w:firstColumn="0" w:lastColumn="0" w:noHBand="0" w:noVBand="0"/>
      </w:tblPr>
      <w:tblGrid>
        <w:gridCol w:w="10538"/>
      </w:tblGrid>
      <w:tr w:rsidR="00EB0B57" w14:paraId="42A6DF5F" w14:textId="77777777" w:rsidTr="008E4C0F">
        <w:tc>
          <w:tcPr>
            <w:tcW w:w="0" w:type="auto"/>
          </w:tcPr>
          <w:p w14:paraId="56CD2A41" w14:textId="77777777" w:rsidR="00EB0B57" w:rsidRDefault="00EB0B57" w:rsidP="008E4C0F">
            <w:pPr>
              <w:pStyle w:val="Figure"/>
              <w:jc w:val="center"/>
            </w:pPr>
            <w:bookmarkStart w:id="4" w:name="fig-2"/>
            <w:r>
              <w:rPr>
                <w:noProof/>
              </w:rPr>
              <w:drawing>
                <wp:inline distT="0" distB="0" distL="0" distR="0" wp14:anchorId="408A95FE" wp14:editId="1FA8FEAD">
                  <wp:extent cx="4368800" cy="7492219"/>
                  <wp:effectExtent l="0" t="0" r="0" b="1270"/>
                  <wp:docPr id="17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Picture" descr="ms_files/figure-docx/fig-2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4100" cy="75184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DADEED" w14:textId="77777777" w:rsidR="00EB0B57" w:rsidRDefault="00EB0B57" w:rsidP="008E4C0F">
            <w:pPr>
              <w:pStyle w:val="ImageCaption"/>
              <w:spacing w:before="200"/>
            </w:pPr>
            <w:r w:rsidRPr="008531D8">
              <w:rPr>
                <w:b/>
                <w:bCs/>
              </w:rPr>
              <w:t xml:space="preserve">Fig. S2- Acute and Acclimation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lnR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10</m:t>
                      </m:r>
                    </m:sub>
                  </m:sSub>
                </m:sub>
              </m:sSub>
            </m:oMath>
            <w:r w:rsidRPr="008531D8">
              <w:rPr>
                <w:b/>
                <w:bCs/>
              </w:rPr>
              <w:t xml:space="preserve"> across traits for A) marine, B) freshwater and C) terrestrial systems</w:t>
            </w:r>
            <w:r>
              <w:t xml:space="preserve">. k = total number of effect size estimates while the numbers in brackets indicate the number of species. Thick bars indicate 95% confidence intervals and thin bars indicate 95% prediction intervals. The x-axis is truncated for ease of </w:t>
            </w:r>
            <w:proofErr w:type="spellStart"/>
            <w:r>
              <w:t>visualisation</w:t>
            </w:r>
            <w:proofErr w:type="spellEnd"/>
            <w:r>
              <w:t>.</w:t>
            </w:r>
          </w:p>
        </w:tc>
        <w:bookmarkEnd w:id="4"/>
      </w:tr>
    </w:tbl>
    <w:p w14:paraId="16D41EF9" w14:textId="77777777" w:rsidR="00EB0B57" w:rsidRDefault="00EB0B57" w:rsidP="00EB0B57">
      <w:pPr>
        <w:pStyle w:val="BodyText"/>
      </w:pPr>
      <w:r>
        <w:lastRenderedPageBreak/>
        <w:t xml:space="preserve"> </w:t>
      </w:r>
    </w:p>
    <w:tbl>
      <w:tblPr>
        <w:tblStyle w:val="Table"/>
        <w:tblW w:w="5000" w:type="pct"/>
        <w:tblLook w:val="0000" w:firstRow="0" w:lastRow="0" w:firstColumn="0" w:lastColumn="0" w:noHBand="0" w:noVBand="0"/>
      </w:tblPr>
      <w:tblGrid>
        <w:gridCol w:w="10538"/>
      </w:tblGrid>
      <w:tr w:rsidR="00EB0B57" w14:paraId="10A98992" w14:textId="77777777" w:rsidTr="008E4C0F">
        <w:tc>
          <w:tcPr>
            <w:tcW w:w="0" w:type="auto"/>
          </w:tcPr>
          <w:p w14:paraId="62B4F9AA" w14:textId="77777777" w:rsidR="00EB0B57" w:rsidRDefault="00EB0B57" w:rsidP="008E4C0F">
            <w:pPr>
              <w:pStyle w:val="Figure"/>
              <w:jc w:val="center"/>
            </w:pPr>
            <w:bookmarkStart w:id="5" w:name="fig-cvrtrait"/>
            <w:r>
              <w:rPr>
                <w:noProof/>
              </w:rPr>
              <w:drawing>
                <wp:inline distT="0" distB="0" distL="0" distR="0" wp14:anchorId="313EFEAD" wp14:editId="58BD05CB">
                  <wp:extent cx="4329723" cy="6460588"/>
                  <wp:effectExtent l="0" t="0" r="1270" b="3810"/>
                  <wp:docPr id="17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Picture" descr="ms_files/figure-docx/fig-cvrtrait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3741" cy="64964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DAEC56" w14:textId="77777777" w:rsidR="00EB0B57" w:rsidRDefault="00EB0B57" w:rsidP="008E4C0F">
            <w:pPr>
              <w:pStyle w:val="ImageCaption"/>
              <w:spacing w:before="200"/>
            </w:pPr>
            <w:r w:rsidRPr="008531D8">
              <w:rPr>
                <w:b/>
                <w:bCs/>
              </w:rPr>
              <w:t xml:space="preserve">Fig. S3- Acute and Acclimation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lnCV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10</m:t>
                      </m:r>
                    </m:sub>
                  </m:sSub>
                </m:sub>
              </m:sSub>
            </m:oMath>
            <w:r w:rsidRPr="008531D8">
              <w:rPr>
                <w:b/>
                <w:bCs/>
              </w:rPr>
              <w:t xml:space="preserve"> across traits for A) marine, B) freshwater and C) terrestrial systems.</w:t>
            </w:r>
            <w:r>
              <w:t xml:space="preserve"> k = total number of effect size estimates while the numbers in brackets indicate the number of species. Thick bars indicate 95% confidence intervals and thin bars indicate 95% prediction intervals. The x-axis is truncated for ease of </w:t>
            </w:r>
            <w:proofErr w:type="spellStart"/>
            <w:r>
              <w:t>visualisation</w:t>
            </w:r>
            <w:proofErr w:type="spellEnd"/>
            <w:r>
              <w:t>.</w:t>
            </w:r>
          </w:p>
        </w:tc>
        <w:bookmarkEnd w:id="5"/>
      </w:tr>
    </w:tbl>
    <w:p w14:paraId="530F4FD9" w14:textId="77777777" w:rsidR="00EB0B57" w:rsidRDefault="00EB0B57" w:rsidP="00EB0B57">
      <w:pPr>
        <w:pStyle w:val="Heading4"/>
      </w:pPr>
      <w:bookmarkStart w:id="6" w:name="X669323896c3addbab7655fa39952065ae47392c"/>
      <w:bookmarkEnd w:id="3"/>
      <w:r>
        <w:t xml:space="preserve">Comparing raw variance changes using </w:t>
      </w:r>
      <m:oMath>
        <m:r>
          <m:rPr>
            <m:sty m:val="bi"/>
          </m:rPr>
          <w:rPr>
            <w:rFonts w:ascii="Cambria Math" w:hAnsi="Cambria Math"/>
          </w:rPr>
          <m:t>lnV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10</m:t>
                </m:r>
              </m:sub>
            </m:sSub>
          </m:sub>
        </m:sSub>
      </m:oMath>
    </w:p>
    <w:p w14:paraId="0D771F50" w14:textId="77777777" w:rsidR="00EB0B57" w:rsidRDefault="00EB0B57" w:rsidP="00EB0B57">
      <w:pPr>
        <w:pStyle w:val="FirstParagraph"/>
      </w:pPr>
      <w:r>
        <w:t xml:space="preserve">Analysis of </w:t>
      </w:r>
      <m:oMath>
        <m:r>
          <w:rPr>
            <w:rFonts w:ascii="Cambria Math" w:hAnsi="Cambria Math"/>
          </w:rPr>
          <m:t>lnV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</m:sSub>
          </m:sub>
        </m:sSub>
      </m:oMath>
      <w:r>
        <w:t xml:space="preserve"> suggested that variance increases with higher temperatures across all habitat types, with terrestrial ectotherms having the smallest increase in variance (</w:t>
      </w:r>
      <w:hyperlink w:anchor="fig-s1">
        <w:r>
          <w:rPr>
            <w:rStyle w:val="Hyperlink"/>
            <w:b/>
            <w:bCs/>
          </w:rPr>
          <w:t>Fig.</w:t>
        </w:r>
        <w:r w:rsidRPr="008531D8">
          <w:rPr>
            <w:rStyle w:val="Hyperlink"/>
            <w:b/>
            <w:bCs/>
          </w:rPr>
          <w:t> S9</w:t>
        </w:r>
      </w:hyperlink>
      <w:r>
        <w:rPr>
          <w:rStyle w:val="Hyperlink"/>
        </w:rPr>
        <w:t xml:space="preserve">, </w:t>
      </w:r>
      <w:r w:rsidRPr="008531D8">
        <w:rPr>
          <w:rStyle w:val="Hyperlink"/>
          <w:b/>
          <w:bCs/>
        </w:rPr>
        <w:t xml:space="preserve">Table </w:t>
      </w:r>
      <w:r>
        <w:rPr>
          <w:rStyle w:val="Hyperlink"/>
          <w:b/>
          <w:bCs/>
        </w:rPr>
        <w:t>S</w:t>
      </w:r>
      <w:r w:rsidRPr="008531D8">
        <w:rPr>
          <w:rStyle w:val="Hyperlink"/>
          <w:b/>
          <w:bCs/>
        </w:rPr>
        <w:t>1</w:t>
      </w:r>
      <w:r>
        <w:t>).</w:t>
      </w:r>
    </w:p>
    <w:tbl>
      <w:tblPr>
        <w:tblStyle w:val="Table"/>
        <w:tblW w:w="5000" w:type="pct"/>
        <w:tblLook w:val="0000" w:firstRow="0" w:lastRow="0" w:firstColumn="0" w:lastColumn="0" w:noHBand="0" w:noVBand="0"/>
      </w:tblPr>
      <w:tblGrid>
        <w:gridCol w:w="10538"/>
      </w:tblGrid>
      <w:tr w:rsidR="00EB0B57" w14:paraId="1853F8DE" w14:textId="77777777" w:rsidTr="008E4C0F">
        <w:tc>
          <w:tcPr>
            <w:tcW w:w="0" w:type="auto"/>
          </w:tcPr>
          <w:p w14:paraId="2DF8ED9F" w14:textId="77777777" w:rsidR="00EB0B57" w:rsidRDefault="00EB0B57" w:rsidP="008E4C0F">
            <w:pPr>
              <w:pStyle w:val="Figure"/>
              <w:jc w:val="center"/>
            </w:pPr>
            <w:bookmarkStart w:id="7" w:name="fig-s1"/>
            <w:r>
              <w:rPr>
                <w:noProof/>
              </w:rPr>
              <w:lastRenderedPageBreak/>
              <w:drawing>
                <wp:inline distT="0" distB="0" distL="0" distR="0" wp14:anchorId="66941981" wp14:editId="5AA3651E">
                  <wp:extent cx="5040923" cy="3615300"/>
                  <wp:effectExtent l="0" t="0" r="1270" b="4445"/>
                  <wp:docPr id="181" name="Picture" descr="A diagram of a graph&#10;&#10;Description automatically generated with medium confidenc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Picture" descr="A diagram of a graph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3607" cy="36243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C0B106" w14:textId="77777777" w:rsidR="00EB0B57" w:rsidRDefault="00EB0B57" w:rsidP="008E4C0F">
            <w:pPr>
              <w:pStyle w:val="ImageCaption"/>
              <w:spacing w:before="200"/>
            </w:pPr>
            <w:r>
              <w:rPr>
                <w:b/>
                <w:bCs/>
              </w:rPr>
              <w:t>Fig.</w:t>
            </w:r>
            <w:r>
              <w:t> </w:t>
            </w:r>
            <w:r w:rsidRPr="008531D8">
              <w:rPr>
                <w:b/>
                <w:bCs/>
              </w:rPr>
              <w:t>S9</w:t>
            </w:r>
            <w:r>
              <w:t xml:space="preserve">. </w:t>
            </w:r>
            <w:r w:rsidRPr="008531D8">
              <w:rPr>
                <w:b/>
                <w:bCs/>
              </w:rPr>
              <w:t xml:space="preserve">Estimated mean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lnV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10</m:t>
                      </m:r>
                    </m:sub>
                  </m:sSub>
                </m:sub>
              </m:sSub>
            </m:oMath>
            <w:r w:rsidRPr="008531D8">
              <w:rPr>
                <w:b/>
                <w:bCs/>
              </w:rPr>
              <w:t xml:space="preserve"> for marine, freshwater and terrestrial systems.</w:t>
            </w:r>
            <w:r>
              <w:t xml:space="preserve"> Note there were no differences between acute and acclimation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</m:sub>
              </m:sSub>
            </m:oMath>
            <w:r>
              <w:t xml:space="preserve"> types so they were averaged. Thick black bars are 95% confidence intervals (CI’s) and thin bars 95% prediction intervals (PI’s). The percentage change in variance is also back calculated. Note that these are raw variances and do not account for changes in mean physiological rates. k = total number of effect size estimates while the numbers in brackets indicate the number of species.</w:t>
            </w:r>
          </w:p>
        </w:tc>
        <w:bookmarkEnd w:id="7"/>
      </w:tr>
    </w:tbl>
    <w:p w14:paraId="687F0D46" w14:textId="1B403A85" w:rsidR="00EB0B57" w:rsidRDefault="00EB0B57" w:rsidP="00EB0B57">
      <w:pPr>
        <w:pStyle w:val="TableCaption"/>
        <w:jc w:val="center"/>
      </w:pPr>
      <w:r>
        <w:rPr>
          <w:b/>
        </w:rPr>
        <w:t xml:space="preserve">Table </w:t>
      </w:r>
      <w:bookmarkStart w:id="8" w:name="tbl-s1"/>
      <w:r>
        <w:rPr>
          <w:b/>
        </w:rPr>
        <w:t>S</w:t>
      </w:r>
      <w:r>
        <w:rPr>
          <w:b/>
        </w:rPr>
        <w:fldChar w:fldCharType="begin"/>
      </w:r>
      <w:r>
        <w:rPr>
          <w:b/>
        </w:rPr>
        <w:instrText>SEQ tab \* Arabic</w:instrText>
      </w:r>
      <w:r>
        <w:rPr>
          <w:b/>
        </w:rPr>
        <w:fldChar w:fldCharType="separate"/>
      </w:r>
      <w:r w:rsidR="00CE29A6">
        <w:rPr>
          <w:b/>
          <w:noProof/>
        </w:rPr>
        <w:t>1</w:t>
      </w:r>
      <w:r>
        <w:rPr>
          <w:b/>
        </w:rPr>
        <w:fldChar w:fldCharType="end"/>
      </w:r>
      <w:bookmarkEnd w:id="8"/>
      <w:r>
        <w:rPr>
          <w:b/>
        </w:rPr>
        <w:t xml:space="preserve">: </w:t>
      </w:r>
      <w:r>
        <w:t xml:space="preserve">Model estimates, standard error, and 95% credible intervals comparing changes in acute and acclimation </w:t>
      </w:r>
      <m:oMath>
        <m:r>
          <w:rPr>
            <w:rFonts w:ascii="Cambria Math" w:hAnsi="Cambria Math"/>
          </w:rPr>
          <m:t>lnV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</m:sSub>
          </m:sub>
        </m:sSub>
      </m:oMath>
      <w:r>
        <w:t xml:space="preserve"> across habitat types. Model estimates are based off 1,253 effect sizes from 139 studies.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3100"/>
        <w:gridCol w:w="1328"/>
        <w:gridCol w:w="1352"/>
        <w:gridCol w:w="1266"/>
        <w:gridCol w:w="1340"/>
      </w:tblGrid>
      <w:tr w:rsidR="00EB0B57" w14:paraId="2A76AF78" w14:textId="77777777" w:rsidTr="008E4C0F">
        <w:trPr>
          <w:tblHeader/>
          <w:jc w:val="center"/>
        </w:trPr>
        <w:tc>
          <w:tcPr>
            <w:tcW w:w="3100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2D3235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b/>
                <w:color w:val="000000"/>
              </w:rPr>
              <w:t>Parameter</w:t>
            </w:r>
          </w:p>
        </w:tc>
        <w:tc>
          <w:tcPr>
            <w:tcW w:w="1328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EC1E27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b/>
                <w:color w:val="000000"/>
              </w:rPr>
              <w:t>Estimate</w:t>
            </w:r>
          </w:p>
        </w:tc>
        <w:tc>
          <w:tcPr>
            <w:tcW w:w="1352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4DA498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proofErr w:type="spellStart"/>
            <w:r w:rsidRPr="00494AB2">
              <w:rPr>
                <w:rFonts w:ascii="Times New Roman" w:eastAsia="Helvetica" w:hAnsi="Times New Roman" w:cs="Times New Roman"/>
                <w:b/>
                <w:color w:val="000000"/>
              </w:rPr>
              <w:t>Est.Error</w:t>
            </w:r>
            <w:proofErr w:type="spellEnd"/>
          </w:p>
        </w:tc>
        <w:tc>
          <w:tcPr>
            <w:tcW w:w="126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B040C0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b/>
                <w:color w:val="000000"/>
              </w:rPr>
              <w:t>l-95% CI</w:t>
            </w:r>
          </w:p>
        </w:tc>
        <w:tc>
          <w:tcPr>
            <w:tcW w:w="1340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B0BE06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b/>
                <w:color w:val="000000"/>
              </w:rPr>
              <w:t>u-95% CI</w:t>
            </w:r>
          </w:p>
        </w:tc>
      </w:tr>
      <w:tr w:rsidR="00EB0B57" w14:paraId="0B3836B7" w14:textId="77777777" w:rsidTr="008E4C0F">
        <w:trPr>
          <w:jc w:val="center"/>
        </w:trPr>
        <w:tc>
          <w:tcPr>
            <w:tcW w:w="8386" w:type="dxa"/>
            <w:gridSpan w:val="5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36466B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b/>
                <w:color w:val="000000"/>
              </w:rPr>
              <w:t>Fixed Effects</w:t>
            </w:r>
          </w:p>
        </w:tc>
      </w:tr>
      <w:tr w:rsidR="00EB0B57" w14:paraId="27545480" w14:textId="77777777" w:rsidTr="008E4C0F">
        <w:trPr>
          <w:jc w:val="center"/>
        </w:trPr>
        <w:tc>
          <w:tcPr>
            <w:tcW w:w="310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97B4AB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Intercept</w:t>
            </w:r>
          </w:p>
        </w:tc>
        <w:tc>
          <w:tcPr>
            <w:tcW w:w="132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FAC1B7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0.4932</w:t>
            </w:r>
          </w:p>
        </w:tc>
        <w:tc>
          <w:tcPr>
            <w:tcW w:w="13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E648CC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0.10684</w:t>
            </w:r>
          </w:p>
        </w:tc>
        <w:tc>
          <w:tcPr>
            <w:tcW w:w="126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83803D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0.2984</w:t>
            </w:r>
          </w:p>
        </w:tc>
        <w:tc>
          <w:tcPr>
            <w:tcW w:w="13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DBA4F7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0.7281</w:t>
            </w:r>
          </w:p>
        </w:tc>
      </w:tr>
      <w:tr w:rsidR="00EB0B57" w14:paraId="70319FDB" w14:textId="77777777" w:rsidTr="008E4C0F">
        <w:trPr>
          <w:jc w:val="center"/>
        </w:trPr>
        <w:tc>
          <w:tcPr>
            <w:tcW w:w="310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3A71E3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Acclimation Time (z scaled)</w:t>
            </w:r>
          </w:p>
        </w:tc>
        <w:tc>
          <w:tcPr>
            <w:tcW w:w="132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3004EF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-0.0001</w:t>
            </w:r>
          </w:p>
        </w:tc>
        <w:tc>
          <w:tcPr>
            <w:tcW w:w="13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39F4C8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0.00071</w:t>
            </w:r>
          </w:p>
        </w:tc>
        <w:tc>
          <w:tcPr>
            <w:tcW w:w="126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7059B9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-0.0015</w:t>
            </w:r>
          </w:p>
        </w:tc>
        <w:tc>
          <w:tcPr>
            <w:tcW w:w="13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2F0076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0.0013</w:t>
            </w:r>
          </w:p>
        </w:tc>
      </w:tr>
      <w:tr w:rsidR="00EB0B57" w14:paraId="38723905" w14:textId="77777777" w:rsidTr="008E4C0F">
        <w:trPr>
          <w:jc w:val="center"/>
        </w:trPr>
        <w:tc>
          <w:tcPr>
            <w:tcW w:w="310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CE9177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Acclimation Effect</w:t>
            </w:r>
          </w:p>
        </w:tc>
        <w:tc>
          <w:tcPr>
            <w:tcW w:w="132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AF5447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-0.0247</w:t>
            </w:r>
          </w:p>
        </w:tc>
        <w:tc>
          <w:tcPr>
            <w:tcW w:w="13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40FDA9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0.04247</w:t>
            </w:r>
          </w:p>
        </w:tc>
        <w:tc>
          <w:tcPr>
            <w:tcW w:w="126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501C60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-0.1097</w:t>
            </w:r>
          </w:p>
        </w:tc>
        <w:tc>
          <w:tcPr>
            <w:tcW w:w="13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5D82DD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0.0593</w:t>
            </w:r>
          </w:p>
        </w:tc>
      </w:tr>
      <w:tr w:rsidR="00EB0B57" w14:paraId="3DC8FB95" w14:textId="77777777" w:rsidTr="008E4C0F">
        <w:trPr>
          <w:jc w:val="center"/>
        </w:trPr>
        <w:tc>
          <w:tcPr>
            <w:tcW w:w="310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023B67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Habitat (Marine)</w:t>
            </w:r>
          </w:p>
        </w:tc>
        <w:tc>
          <w:tcPr>
            <w:tcW w:w="132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AD95F1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-0.0024</w:t>
            </w:r>
          </w:p>
        </w:tc>
        <w:tc>
          <w:tcPr>
            <w:tcW w:w="13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5E08E2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0.09890</w:t>
            </w:r>
          </w:p>
        </w:tc>
        <w:tc>
          <w:tcPr>
            <w:tcW w:w="126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8780C5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-0.1957</w:t>
            </w:r>
          </w:p>
        </w:tc>
        <w:tc>
          <w:tcPr>
            <w:tcW w:w="13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63E806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0.1968</w:t>
            </w:r>
          </w:p>
        </w:tc>
      </w:tr>
      <w:tr w:rsidR="00EB0B57" w14:paraId="621D4718" w14:textId="77777777" w:rsidTr="008E4C0F">
        <w:trPr>
          <w:jc w:val="center"/>
        </w:trPr>
        <w:tc>
          <w:tcPr>
            <w:tcW w:w="310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684EF4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Habitat (Terrestrial)</w:t>
            </w:r>
          </w:p>
        </w:tc>
        <w:tc>
          <w:tcPr>
            <w:tcW w:w="132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A9DFF3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-0.2032</w:t>
            </w:r>
          </w:p>
        </w:tc>
        <w:tc>
          <w:tcPr>
            <w:tcW w:w="13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014A0A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0.10196</w:t>
            </w:r>
          </w:p>
        </w:tc>
        <w:tc>
          <w:tcPr>
            <w:tcW w:w="126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823687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-0.3956</w:t>
            </w:r>
          </w:p>
        </w:tc>
        <w:tc>
          <w:tcPr>
            <w:tcW w:w="13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72AB29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-0.0049</w:t>
            </w:r>
          </w:p>
        </w:tc>
      </w:tr>
      <w:tr w:rsidR="00EB0B57" w14:paraId="5A5C13FC" w14:textId="77777777" w:rsidTr="008E4C0F">
        <w:trPr>
          <w:jc w:val="center"/>
        </w:trPr>
        <w:tc>
          <w:tcPr>
            <w:tcW w:w="310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3D3FA9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Acclimation*Marine</w:t>
            </w:r>
          </w:p>
        </w:tc>
        <w:tc>
          <w:tcPr>
            <w:tcW w:w="132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BFE501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-0.0857</w:t>
            </w:r>
          </w:p>
        </w:tc>
        <w:tc>
          <w:tcPr>
            <w:tcW w:w="13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C10A17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0.07817</w:t>
            </w:r>
          </w:p>
        </w:tc>
        <w:tc>
          <w:tcPr>
            <w:tcW w:w="126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ACED12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-0.2389</w:t>
            </w:r>
          </w:p>
        </w:tc>
        <w:tc>
          <w:tcPr>
            <w:tcW w:w="13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0FB33E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0.0700</w:t>
            </w:r>
          </w:p>
        </w:tc>
      </w:tr>
      <w:tr w:rsidR="00EB0B57" w14:paraId="0415A424" w14:textId="77777777" w:rsidTr="008E4C0F">
        <w:trPr>
          <w:jc w:val="center"/>
        </w:trPr>
        <w:tc>
          <w:tcPr>
            <w:tcW w:w="310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7788CF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b/>
                <w:color w:val="000000"/>
              </w:rPr>
              <w:t>Random Effects</w:t>
            </w:r>
          </w:p>
        </w:tc>
        <w:tc>
          <w:tcPr>
            <w:tcW w:w="132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C83402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13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7FFD28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126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1FA57F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13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1CDB4C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</w:p>
        </w:tc>
      </w:tr>
      <w:tr w:rsidR="00EB0B57" w14:paraId="7A349C60" w14:textId="77777777" w:rsidTr="008E4C0F">
        <w:trPr>
          <w:jc w:val="center"/>
        </w:trPr>
        <w:tc>
          <w:tcPr>
            <w:tcW w:w="310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46AF07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Study</w:t>
            </w:r>
          </w:p>
        </w:tc>
        <w:tc>
          <w:tcPr>
            <w:tcW w:w="132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B570FE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0.3647</w:t>
            </w:r>
          </w:p>
        </w:tc>
        <w:tc>
          <w:tcPr>
            <w:tcW w:w="13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BC84C1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0.03944</w:t>
            </w:r>
          </w:p>
        </w:tc>
        <w:tc>
          <w:tcPr>
            <w:tcW w:w="126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3DE110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0.2910</w:t>
            </w:r>
          </w:p>
        </w:tc>
        <w:tc>
          <w:tcPr>
            <w:tcW w:w="13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F013CE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0.4434</w:t>
            </w:r>
          </w:p>
        </w:tc>
      </w:tr>
      <w:tr w:rsidR="00EB0B57" w14:paraId="1347B7F5" w14:textId="77777777" w:rsidTr="008E4C0F">
        <w:trPr>
          <w:jc w:val="center"/>
        </w:trPr>
        <w:tc>
          <w:tcPr>
            <w:tcW w:w="310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600736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Phylogeny</w:t>
            </w:r>
          </w:p>
        </w:tc>
        <w:tc>
          <w:tcPr>
            <w:tcW w:w="132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0171AB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0.1194</w:t>
            </w:r>
          </w:p>
        </w:tc>
        <w:tc>
          <w:tcPr>
            <w:tcW w:w="13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7278CC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0.09729</w:t>
            </w:r>
          </w:p>
        </w:tc>
        <w:tc>
          <w:tcPr>
            <w:tcW w:w="126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91157B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0.0043</w:t>
            </w:r>
          </w:p>
        </w:tc>
        <w:tc>
          <w:tcPr>
            <w:tcW w:w="13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F1F4C3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0.3630</w:t>
            </w:r>
          </w:p>
        </w:tc>
      </w:tr>
      <w:tr w:rsidR="00EB0B57" w14:paraId="7D4E6BC0" w14:textId="77777777" w:rsidTr="008E4C0F">
        <w:trPr>
          <w:jc w:val="center"/>
        </w:trPr>
        <w:tc>
          <w:tcPr>
            <w:tcW w:w="310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68E0AF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lastRenderedPageBreak/>
              <w:t>Species</w:t>
            </w:r>
          </w:p>
        </w:tc>
        <w:tc>
          <w:tcPr>
            <w:tcW w:w="132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8079A1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0.0821</w:t>
            </w:r>
          </w:p>
        </w:tc>
        <w:tc>
          <w:tcPr>
            <w:tcW w:w="13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C71072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0.05471</w:t>
            </w:r>
          </w:p>
        </w:tc>
        <w:tc>
          <w:tcPr>
            <w:tcW w:w="126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CEC21A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0.0041</w:t>
            </w:r>
          </w:p>
        </w:tc>
        <w:tc>
          <w:tcPr>
            <w:tcW w:w="13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F92D60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0.2017</w:t>
            </w:r>
          </w:p>
        </w:tc>
      </w:tr>
      <w:tr w:rsidR="00EB0B57" w14:paraId="2E178F3B" w14:textId="77777777" w:rsidTr="008E4C0F">
        <w:trPr>
          <w:jc w:val="center"/>
        </w:trPr>
        <w:tc>
          <w:tcPr>
            <w:tcW w:w="3100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88A793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Trait</w:t>
            </w:r>
          </w:p>
        </w:tc>
        <w:tc>
          <w:tcPr>
            <w:tcW w:w="1328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9191F0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0.3134</w:t>
            </w:r>
          </w:p>
        </w:tc>
        <w:tc>
          <w:tcPr>
            <w:tcW w:w="1352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986E5D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0.04159</w:t>
            </w:r>
          </w:p>
        </w:tc>
        <w:tc>
          <w:tcPr>
            <w:tcW w:w="126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CEDF3F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0.2386</w:t>
            </w:r>
          </w:p>
        </w:tc>
        <w:tc>
          <w:tcPr>
            <w:tcW w:w="1340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57384B" w14:textId="77777777" w:rsidR="00EB0B57" w:rsidRPr="00494AB2" w:rsidRDefault="00EB0B57" w:rsidP="008E4C0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Times New Roman" w:hAnsi="Times New Roman" w:cs="Times New Roman"/>
              </w:rPr>
            </w:pPr>
            <w:r w:rsidRPr="00494AB2">
              <w:rPr>
                <w:rFonts w:ascii="Times New Roman" w:eastAsia="Helvetica" w:hAnsi="Times New Roman" w:cs="Times New Roman"/>
                <w:color w:val="000000"/>
              </w:rPr>
              <w:t>0.3975</w:t>
            </w:r>
          </w:p>
        </w:tc>
      </w:tr>
    </w:tbl>
    <w:p w14:paraId="58DE992F" w14:textId="77777777" w:rsidR="00EB0B57" w:rsidRDefault="00EB0B57" w:rsidP="00EB0B57">
      <w:pPr>
        <w:pStyle w:val="Heading4"/>
      </w:pPr>
      <w:bookmarkStart w:id="9" w:name="plots-of-i2-for-multi-level-models"/>
      <w:bookmarkEnd w:id="6"/>
      <w:r>
        <w:t xml:space="preserve">Plots of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>
        <w:t xml:space="preserve"> for multi-level models</w:t>
      </w:r>
    </w:p>
    <w:tbl>
      <w:tblPr>
        <w:tblStyle w:val="Table"/>
        <w:tblW w:w="5000" w:type="pct"/>
        <w:tblLook w:val="0000" w:firstRow="0" w:lastRow="0" w:firstColumn="0" w:lastColumn="0" w:noHBand="0" w:noVBand="0"/>
      </w:tblPr>
      <w:tblGrid>
        <w:gridCol w:w="10538"/>
      </w:tblGrid>
      <w:tr w:rsidR="00EB0B57" w14:paraId="4870C308" w14:textId="77777777" w:rsidTr="008E4C0F">
        <w:tc>
          <w:tcPr>
            <w:tcW w:w="0" w:type="auto"/>
          </w:tcPr>
          <w:p w14:paraId="6EA7763D" w14:textId="77777777" w:rsidR="00EB0B57" w:rsidRDefault="00EB0B57" w:rsidP="008E4C0F">
            <w:pPr>
              <w:pStyle w:val="Figure"/>
              <w:jc w:val="center"/>
            </w:pPr>
            <w:bookmarkStart w:id="10" w:name="fig-s3"/>
            <w:r>
              <w:rPr>
                <w:noProof/>
              </w:rPr>
              <w:drawing>
                <wp:inline distT="0" distB="0" distL="0" distR="0" wp14:anchorId="496B2862" wp14:editId="2EF91470">
                  <wp:extent cx="6680200" cy="2379821"/>
                  <wp:effectExtent l="0" t="0" r="0" b="0"/>
                  <wp:docPr id="186" name="Picture" descr="A graph of a number of percents&#10;&#10;Description automatically generated with medium confidenc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" descr="A graph of a number of percents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0200" cy="23798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6FFE05" w14:textId="77777777" w:rsidR="00EB0B57" w:rsidRPr="005368CD" w:rsidRDefault="00EB0B57" w:rsidP="008E4C0F">
            <w:pPr>
              <w:pStyle w:val="ImageCaption"/>
              <w:spacing w:before="200"/>
              <w:rPr>
                <w:b/>
                <w:bCs/>
              </w:rPr>
            </w:pPr>
            <w:r w:rsidRPr="005368CD">
              <w:rPr>
                <w:b/>
                <w:bCs/>
              </w:rPr>
              <w:t>Fig. </w:t>
            </w:r>
            <w:r>
              <w:rPr>
                <w:b/>
                <w:bCs/>
              </w:rPr>
              <w:t>S</w:t>
            </w:r>
            <w:r w:rsidRPr="005368CD">
              <w:rPr>
                <w:b/>
                <w:bCs/>
              </w:rPr>
              <w:t xml:space="preserve">10-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Pr="005368CD">
              <w:rPr>
                <w:b/>
                <w:bCs/>
              </w:rPr>
              <w:t xml:space="preserve"> estimates. A)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lnR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10</m:t>
                      </m:r>
                    </m:sub>
                  </m:sSub>
                </m:sub>
              </m:sSub>
            </m:oMath>
            <w:r w:rsidRPr="005368CD">
              <w:rPr>
                <w:b/>
                <w:bCs/>
              </w:rPr>
              <w:t xml:space="preserve"> B)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lnCV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10</m:t>
                      </m:r>
                    </m:sub>
                  </m:sSub>
                </m:sub>
              </m:sSub>
            </m:oMath>
            <w:r w:rsidRPr="005368CD">
              <w:rPr>
                <w:b/>
                <w:bCs/>
              </w:rPr>
              <w:t xml:space="preserve"> and C)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lnV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10</m:t>
                      </m:r>
                    </m:sub>
                  </m:sSub>
                </m:sub>
              </m:sSub>
            </m:oMath>
            <w:r w:rsidRPr="005368CD">
              <w:rPr>
                <w:b/>
                <w:bCs/>
              </w:rPr>
              <w:t>.</w:t>
            </w:r>
          </w:p>
        </w:tc>
        <w:bookmarkEnd w:id="10"/>
      </w:tr>
    </w:tbl>
    <w:p w14:paraId="28F6F31B" w14:textId="77777777" w:rsidR="00EB0B57" w:rsidRDefault="00EB0B57" w:rsidP="00EB0B57">
      <w:pPr>
        <w:pStyle w:val="Heading4"/>
      </w:pPr>
      <w:bookmarkStart w:id="11" w:name="publication-bias-analysis"/>
      <w:bookmarkEnd w:id="9"/>
      <w:r>
        <w:t>Publication Bias Analysis</w:t>
      </w:r>
    </w:p>
    <w:p w14:paraId="24D92D8C" w14:textId="77777777" w:rsidR="00EB0B57" w:rsidRDefault="00EB0B57" w:rsidP="00EB0B57">
      <w:pPr>
        <w:pStyle w:val="FirstParagraph"/>
      </w:pPr>
      <w:r>
        <w:t>Funnel plots did not show any noticeable deviation from the typical funnel shape for any of the effect size estimates (</w:t>
      </w:r>
      <w:hyperlink w:anchor="fig-s2">
        <w:r>
          <w:rPr>
            <w:rStyle w:val="Hyperlink"/>
            <w:b/>
            <w:bCs/>
          </w:rPr>
          <w:t>Fig.</w:t>
        </w:r>
        <w:r w:rsidRPr="005368CD">
          <w:rPr>
            <w:rStyle w:val="Hyperlink"/>
            <w:b/>
            <w:bCs/>
          </w:rPr>
          <w:t> S11</w:t>
        </w:r>
      </w:hyperlink>
      <w:r>
        <w:t>).</w:t>
      </w:r>
    </w:p>
    <w:tbl>
      <w:tblPr>
        <w:tblStyle w:val="Table"/>
        <w:tblW w:w="5000" w:type="pct"/>
        <w:tblLook w:val="0000" w:firstRow="0" w:lastRow="0" w:firstColumn="0" w:lastColumn="0" w:noHBand="0" w:noVBand="0"/>
      </w:tblPr>
      <w:tblGrid>
        <w:gridCol w:w="10538"/>
      </w:tblGrid>
      <w:tr w:rsidR="00EB0B57" w14:paraId="75B28D46" w14:textId="77777777" w:rsidTr="008E4C0F">
        <w:tc>
          <w:tcPr>
            <w:tcW w:w="0" w:type="auto"/>
          </w:tcPr>
          <w:p w14:paraId="3AB52C6D" w14:textId="77777777" w:rsidR="00EB0B57" w:rsidRDefault="00EB0B57" w:rsidP="008E4C0F">
            <w:pPr>
              <w:pStyle w:val="Figure"/>
              <w:jc w:val="center"/>
            </w:pPr>
            <w:bookmarkStart w:id="12" w:name="fig-s2"/>
            <w:r>
              <w:rPr>
                <w:noProof/>
              </w:rPr>
              <w:drawing>
                <wp:inline distT="0" distB="0" distL="0" distR="0" wp14:anchorId="2491E88D" wp14:editId="0C93373A">
                  <wp:extent cx="6680200" cy="2788257"/>
                  <wp:effectExtent l="0" t="0" r="0" b="0"/>
                  <wp:docPr id="191" name="Picture" descr="A graph of a number of dots&#10;&#10;Description automatically generated with medium confidenc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Picture" descr="A graph of a number of dots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0200" cy="27882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761FE6" w14:textId="77777777" w:rsidR="00EB0B57" w:rsidRDefault="00EB0B57" w:rsidP="008E4C0F">
            <w:pPr>
              <w:pStyle w:val="ImageCaption"/>
              <w:spacing w:before="200"/>
            </w:pPr>
            <w:r w:rsidRPr="005368CD">
              <w:rPr>
                <w:b/>
                <w:bCs/>
              </w:rPr>
              <w:t>Fig. </w:t>
            </w:r>
            <w:r>
              <w:rPr>
                <w:b/>
                <w:bCs/>
              </w:rPr>
              <w:t>S</w:t>
            </w:r>
            <w:r w:rsidRPr="005368CD">
              <w:rPr>
                <w:b/>
                <w:bCs/>
              </w:rPr>
              <w:t xml:space="preserve">11. Funnel plot of precision (1/sampling standard error) against effect size for A) log response ratio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10</m:t>
                  </m:r>
                </m:sub>
              </m:sSub>
            </m:oMath>
            <w:r w:rsidRPr="005368CD">
              <w:rPr>
                <w:b/>
                <w:bCs/>
              </w:rPr>
              <w:t xml:space="preserve"> (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lnR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10</m:t>
                      </m:r>
                    </m:sub>
                  </m:sSub>
                </m:sub>
              </m:sSub>
            </m:oMath>
            <w:r w:rsidRPr="005368CD">
              <w:rPr>
                <w:b/>
                <w:bCs/>
              </w:rPr>
              <w:t>), B)</w:t>
            </w:r>
            <w:r>
              <w:rPr>
                <w:b/>
                <w:bCs/>
              </w:rPr>
              <w:t xml:space="preserve"> </w:t>
            </w:r>
            <w:r w:rsidRPr="005368CD">
              <w:rPr>
                <w:b/>
                <w:bCs/>
              </w:rPr>
              <w:t xml:space="preserve">log coefficient of variance ratio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10</m:t>
                  </m:r>
                </m:sub>
              </m:sSub>
            </m:oMath>
            <w:r w:rsidRPr="005368CD">
              <w:rPr>
                <w:b/>
                <w:bCs/>
              </w:rPr>
              <w:t xml:space="preserve"> (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lnCV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10</m:t>
                      </m:r>
                    </m:sub>
                  </m:sSub>
                </m:sub>
              </m:sSub>
            </m:oMath>
            <w:r w:rsidRPr="005368CD">
              <w:rPr>
                <w:b/>
                <w:bCs/>
              </w:rPr>
              <w:t xml:space="preserve">) and C) log variance ratio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10</m:t>
                  </m:r>
                </m:sub>
              </m:sSub>
            </m:oMath>
            <w:r w:rsidRPr="005368CD">
              <w:rPr>
                <w:b/>
                <w:bCs/>
              </w:rPr>
              <w:t xml:space="preserve"> (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lnV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10</m:t>
                      </m:r>
                    </m:sub>
                  </m:sSub>
                </m:sub>
              </m:sSub>
            </m:oMath>
            <w:r w:rsidRPr="005368CD">
              <w:rPr>
                <w:b/>
                <w:bCs/>
              </w:rPr>
              <w:t>).</w:t>
            </w:r>
            <w:r>
              <w:t xml:space="preserve"> Both acute (‘green’) and acclimation (‘orange’) effect sizes are plotted.</w:t>
            </w:r>
          </w:p>
        </w:tc>
        <w:bookmarkEnd w:id="12"/>
      </w:tr>
      <w:bookmarkEnd w:id="0"/>
      <w:bookmarkEnd w:id="11"/>
    </w:tbl>
    <w:p w14:paraId="5DE2A4A6" w14:textId="77777777" w:rsidR="00EB0B57" w:rsidRDefault="00EB0B57" w:rsidP="00EB0B57"/>
    <w:p w14:paraId="6A8CC8E8" w14:textId="77777777" w:rsidR="003C43E7" w:rsidRDefault="003C43E7"/>
    <w:sectPr w:rsidR="003C43E7" w:rsidSect="004B5A8A">
      <w:pgSz w:w="12240" w:h="15840"/>
      <w:pgMar w:top="851" w:right="851" w:bottom="851" w:left="851" w:header="720" w:footer="720" w:gutter="0"/>
      <w:lnNumType w:countBy="1" w:restart="continuous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B57"/>
    <w:rsid w:val="0000430C"/>
    <w:rsid w:val="00006B6F"/>
    <w:rsid w:val="0003315D"/>
    <w:rsid w:val="00044EFC"/>
    <w:rsid w:val="00090AD9"/>
    <w:rsid w:val="000E132F"/>
    <w:rsid w:val="000E4B40"/>
    <w:rsid w:val="001055C7"/>
    <w:rsid w:val="001134B0"/>
    <w:rsid w:val="00124138"/>
    <w:rsid w:val="0013117B"/>
    <w:rsid w:val="00194475"/>
    <w:rsid w:val="001A2DFA"/>
    <w:rsid w:val="001D4A4C"/>
    <w:rsid w:val="001D6F01"/>
    <w:rsid w:val="00213C68"/>
    <w:rsid w:val="002173A2"/>
    <w:rsid w:val="00240A20"/>
    <w:rsid w:val="00241EF2"/>
    <w:rsid w:val="00272C78"/>
    <w:rsid w:val="002748A0"/>
    <w:rsid w:val="00276E11"/>
    <w:rsid w:val="0028181F"/>
    <w:rsid w:val="002B2C96"/>
    <w:rsid w:val="002C2E45"/>
    <w:rsid w:val="002D1E9D"/>
    <w:rsid w:val="002E5618"/>
    <w:rsid w:val="003412A3"/>
    <w:rsid w:val="003500D0"/>
    <w:rsid w:val="00377122"/>
    <w:rsid w:val="00380CB2"/>
    <w:rsid w:val="00392F3D"/>
    <w:rsid w:val="00393C89"/>
    <w:rsid w:val="00397425"/>
    <w:rsid w:val="003B27EC"/>
    <w:rsid w:val="003B6D13"/>
    <w:rsid w:val="003B7CC6"/>
    <w:rsid w:val="003C43E7"/>
    <w:rsid w:val="003F3E25"/>
    <w:rsid w:val="003F64F0"/>
    <w:rsid w:val="00407A75"/>
    <w:rsid w:val="00410E9D"/>
    <w:rsid w:val="004337EF"/>
    <w:rsid w:val="00490F43"/>
    <w:rsid w:val="004B5A8A"/>
    <w:rsid w:val="004D4824"/>
    <w:rsid w:val="004E1DB8"/>
    <w:rsid w:val="004E52DA"/>
    <w:rsid w:val="004F71E4"/>
    <w:rsid w:val="0052246F"/>
    <w:rsid w:val="0054663A"/>
    <w:rsid w:val="00586531"/>
    <w:rsid w:val="00596FD4"/>
    <w:rsid w:val="005D27CA"/>
    <w:rsid w:val="00613BD0"/>
    <w:rsid w:val="00637E5D"/>
    <w:rsid w:val="006617F3"/>
    <w:rsid w:val="006819C7"/>
    <w:rsid w:val="00687461"/>
    <w:rsid w:val="006972A4"/>
    <w:rsid w:val="006A5EA4"/>
    <w:rsid w:val="006D7EBA"/>
    <w:rsid w:val="006F55D5"/>
    <w:rsid w:val="00726EBD"/>
    <w:rsid w:val="00745654"/>
    <w:rsid w:val="00757500"/>
    <w:rsid w:val="007C1AE5"/>
    <w:rsid w:val="007F7DEB"/>
    <w:rsid w:val="00821402"/>
    <w:rsid w:val="0082224D"/>
    <w:rsid w:val="00827579"/>
    <w:rsid w:val="00834B22"/>
    <w:rsid w:val="0087619C"/>
    <w:rsid w:val="00881CAC"/>
    <w:rsid w:val="008975E1"/>
    <w:rsid w:val="008A0C47"/>
    <w:rsid w:val="008F13E9"/>
    <w:rsid w:val="009026E1"/>
    <w:rsid w:val="00923B78"/>
    <w:rsid w:val="0094716C"/>
    <w:rsid w:val="00983016"/>
    <w:rsid w:val="00992D5C"/>
    <w:rsid w:val="009B01EF"/>
    <w:rsid w:val="009C4A1B"/>
    <w:rsid w:val="009D25B9"/>
    <w:rsid w:val="009F17A5"/>
    <w:rsid w:val="00A62839"/>
    <w:rsid w:val="00A7126C"/>
    <w:rsid w:val="00AA633B"/>
    <w:rsid w:val="00AE46D1"/>
    <w:rsid w:val="00AE6643"/>
    <w:rsid w:val="00AF34FC"/>
    <w:rsid w:val="00B234E1"/>
    <w:rsid w:val="00B30F73"/>
    <w:rsid w:val="00B53235"/>
    <w:rsid w:val="00B57784"/>
    <w:rsid w:val="00B7373B"/>
    <w:rsid w:val="00B87191"/>
    <w:rsid w:val="00B91A03"/>
    <w:rsid w:val="00B91D4C"/>
    <w:rsid w:val="00BA7DCE"/>
    <w:rsid w:val="00BB20C6"/>
    <w:rsid w:val="00BE7800"/>
    <w:rsid w:val="00BF1F10"/>
    <w:rsid w:val="00C203A8"/>
    <w:rsid w:val="00C26426"/>
    <w:rsid w:val="00C26C0D"/>
    <w:rsid w:val="00C40D95"/>
    <w:rsid w:val="00CE25FE"/>
    <w:rsid w:val="00CE29A6"/>
    <w:rsid w:val="00CF1209"/>
    <w:rsid w:val="00D37B18"/>
    <w:rsid w:val="00D4342D"/>
    <w:rsid w:val="00D614A7"/>
    <w:rsid w:val="00D65D6C"/>
    <w:rsid w:val="00DA6842"/>
    <w:rsid w:val="00DC6496"/>
    <w:rsid w:val="00DD3D5B"/>
    <w:rsid w:val="00DF25A6"/>
    <w:rsid w:val="00DF3C53"/>
    <w:rsid w:val="00E3312E"/>
    <w:rsid w:val="00E403AC"/>
    <w:rsid w:val="00E94D32"/>
    <w:rsid w:val="00EA0B39"/>
    <w:rsid w:val="00EA567E"/>
    <w:rsid w:val="00EB0B57"/>
    <w:rsid w:val="00EB3290"/>
    <w:rsid w:val="00ED66C0"/>
    <w:rsid w:val="00EE0C27"/>
    <w:rsid w:val="00F013BA"/>
    <w:rsid w:val="00F21CDC"/>
    <w:rsid w:val="00F23863"/>
    <w:rsid w:val="00F25CC3"/>
    <w:rsid w:val="00F313AE"/>
    <w:rsid w:val="00F63B73"/>
    <w:rsid w:val="00F76CC3"/>
    <w:rsid w:val="00F76E89"/>
    <w:rsid w:val="00FC53BE"/>
    <w:rsid w:val="00FE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2551F0"/>
  <w15:chartTrackingRefBased/>
  <w15:docId w15:val="{6AFD27ED-72A6-E04E-98ED-341ABC3F8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0B57"/>
    <w:pPr>
      <w:spacing w:after="200"/>
    </w:pPr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0B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AU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0B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AU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0B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AU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B0B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:lang w:val="en-AU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0B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:lang w:val="en-AU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0B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:lang w:val="en-AU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0B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:lang w:val="en-AU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0B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:lang w:val="en-AU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0B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:lang w:val="en-AU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0B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0B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0B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0B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0B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0B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0B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0B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0B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0B5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AU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EB0B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0B5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AU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EB0B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0B57"/>
    <w:pPr>
      <w:spacing w:before="160" w:after="160"/>
      <w:jc w:val="center"/>
    </w:pPr>
    <w:rPr>
      <w:i/>
      <w:iCs/>
      <w:color w:val="404040" w:themeColor="text1" w:themeTint="BF"/>
      <w:kern w:val="2"/>
      <w:lang w:val="en-AU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EB0B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0B57"/>
    <w:pPr>
      <w:spacing w:after="0"/>
      <w:ind w:left="720"/>
      <w:contextualSpacing/>
    </w:pPr>
    <w:rPr>
      <w:kern w:val="2"/>
      <w:lang w:val="en-AU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EB0B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0B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:lang w:val="en-AU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0B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0B57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qFormat/>
    <w:rsid w:val="00EB0B57"/>
    <w:pPr>
      <w:spacing w:before="180" w:after="180"/>
    </w:pPr>
    <w:rPr>
      <w:rFonts w:ascii="Times New Roman" w:hAnsi="Times New Roman"/>
    </w:rPr>
  </w:style>
  <w:style w:type="character" w:customStyle="1" w:styleId="BodyTextChar">
    <w:name w:val="Body Text Char"/>
    <w:basedOn w:val="DefaultParagraphFont"/>
    <w:link w:val="BodyText"/>
    <w:rsid w:val="00EB0B57"/>
    <w:rPr>
      <w:rFonts w:ascii="Times New Roman" w:hAnsi="Times New Roman"/>
      <w:kern w:val="0"/>
      <w:lang w:val="en-US"/>
      <w14:ligatures w14:val="none"/>
    </w:rPr>
  </w:style>
  <w:style w:type="paragraph" w:customStyle="1" w:styleId="FirstParagraph">
    <w:name w:val="First Paragraph"/>
    <w:basedOn w:val="BodyText"/>
    <w:next w:val="BodyText"/>
    <w:qFormat/>
    <w:rsid w:val="00EB0B57"/>
  </w:style>
  <w:style w:type="table" w:customStyle="1" w:styleId="Table">
    <w:name w:val="Table"/>
    <w:semiHidden/>
    <w:unhideWhenUsed/>
    <w:qFormat/>
    <w:rsid w:val="00EB0B57"/>
    <w:pPr>
      <w:spacing w:after="200"/>
    </w:pPr>
    <w:rPr>
      <w:kern w:val="0"/>
      <w:lang w:val="en-US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Caption">
    <w:name w:val="Table Caption"/>
    <w:basedOn w:val="Caption"/>
    <w:rsid w:val="00EB0B57"/>
    <w:pPr>
      <w:keepNext/>
      <w:spacing w:after="120"/>
    </w:pPr>
    <w:rPr>
      <w:rFonts w:ascii="Times New Roman" w:hAnsi="Times New Roman"/>
      <w:i w:val="0"/>
      <w:iCs w:val="0"/>
      <w:color w:val="auto"/>
      <w:sz w:val="24"/>
      <w:szCs w:val="24"/>
    </w:rPr>
  </w:style>
  <w:style w:type="paragraph" w:customStyle="1" w:styleId="ImageCaption">
    <w:name w:val="Image Caption"/>
    <w:basedOn w:val="Caption"/>
    <w:rsid w:val="00EB0B57"/>
    <w:pPr>
      <w:spacing w:after="120"/>
    </w:pPr>
    <w:rPr>
      <w:rFonts w:ascii="Times New Roman" w:hAnsi="Times New Roman"/>
      <w:i w:val="0"/>
      <w:iCs w:val="0"/>
      <w:color w:val="auto"/>
      <w:sz w:val="24"/>
      <w:szCs w:val="24"/>
    </w:rPr>
  </w:style>
  <w:style w:type="paragraph" w:customStyle="1" w:styleId="Figure">
    <w:name w:val="Figure"/>
    <w:basedOn w:val="Normal"/>
    <w:rsid w:val="00EB0B57"/>
  </w:style>
  <w:style w:type="character" w:styleId="Hyperlink">
    <w:name w:val="Hyperlink"/>
    <w:basedOn w:val="DefaultParagraphFont"/>
    <w:uiPriority w:val="99"/>
    <w:rsid w:val="00EB0B57"/>
    <w:rPr>
      <w:rFonts w:ascii="Times New Roman" w:hAnsi="Times New Roman"/>
      <w:color w:val="000000" w:themeColor="tex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B0B57"/>
    <w:rPr>
      <w:i/>
      <w:iCs/>
      <w:color w:val="0E2841" w:themeColor="text2"/>
      <w:sz w:val="18"/>
      <w:szCs w:val="18"/>
    </w:rPr>
  </w:style>
  <w:style w:type="character" w:styleId="LineNumber">
    <w:name w:val="line number"/>
    <w:basedOn w:val="DefaultParagraphFont"/>
    <w:uiPriority w:val="99"/>
    <w:semiHidden/>
    <w:unhideWhenUsed/>
    <w:rsid w:val="00EB0B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495</Words>
  <Characters>2826</Characters>
  <Application>Microsoft Office Word</Application>
  <DocSecurity>0</DocSecurity>
  <Lines>23</Lines>
  <Paragraphs>6</Paragraphs>
  <ScaleCrop>false</ScaleCrop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Noble</dc:creator>
  <cp:keywords/>
  <dc:description/>
  <cp:lastModifiedBy>Daniel Noble</cp:lastModifiedBy>
  <cp:revision>3</cp:revision>
  <cp:lastPrinted>2024-03-12T10:05:00Z</cp:lastPrinted>
  <dcterms:created xsi:type="dcterms:W3CDTF">2024-03-12T10:05:00Z</dcterms:created>
  <dcterms:modified xsi:type="dcterms:W3CDTF">2024-03-12T10:05:00Z</dcterms:modified>
</cp:coreProperties>
</file>