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1F67" w14:textId="77777777" w:rsidR="00A9620C" w:rsidRDefault="00000000">
      <w:pPr>
        <w:pStyle w:val="Title"/>
      </w:pPr>
      <w:r>
        <w:t>Reduced plasticity and opportunity for selection in terrestrial ectotherm populations under climate change</w:t>
      </w:r>
    </w:p>
    <w:p w14:paraId="394B7A93" w14:textId="77777777" w:rsidR="00A9620C" w:rsidRDefault="00000000">
      <w:pPr>
        <w:pStyle w:val="FirstParagraph"/>
      </w:pPr>
      <w:r>
        <w:t>Daniel W.A. Noble</w:t>
      </w:r>
      <m:oMath>
        <m:sSup>
          <m:sSupPr>
            <m:ctrlPr>
              <w:rPr>
                <w:rFonts w:ascii="Cambria Math" w:hAnsi="Cambria Math"/>
              </w:rPr>
            </m:ctrlPr>
          </m:sSupPr>
          <m:e>
            <m:r>
              <w:rPr>
                <w:rFonts w:ascii="Cambria Math" w:hAnsi="Cambria Math"/>
              </w:rPr>
              <m:t>​</m:t>
            </m:r>
          </m:e>
          <m:sup>
            <m:r>
              <w:rPr>
                <w:rFonts w:ascii="Cambria Math" w:hAnsi="Cambria Math"/>
              </w:rPr>
              <m:t>1</m:t>
            </m:r>
          </m:sup>
        </m:sSup>
      </m:oMath>
      <w:r>
        <w:t>, Fonti Kar</w:t>
      </w:r>
      <m:oMath>
        <m:sSup>
          <m:sSupPr>
            <m:ctrlPr>
              <w:rPr>
                <w:rFonts w:ascii="Cambria Math" w:hAnsi="Cambria Math"/>
              </w:rPr>
            </m:ctrlPr>
          </m:sSupPr>
          <m:e>
            <m:r>
              <w:rPr>
                <w:rFonts w:ascii="Cambria Math" w:hAnsi="Cambria Math"/>
              </w:rPr>
              <m:t>​</m:t>
            </m:r>
          </m:e>
          <m:sup>
            <m:r>
              <w:rPr>
                <w:rFonts w:ascii="Cambria Math" w:hAnsi="Cambria Math"/>
              </w:rPr>
              <m:t>2</m:t>
            </m:r>
          </m:sup>
        </m:sSup>
      </m:oMath>
      <w:r>
        <w:t>, Frank Seebacher</w:t>
      </w:r>
      <m:oMath>
        <m:sSup>
          <m:sSupPr>
            <m:ctrlPr>
              <w:rPr>
                <w:rFonts w:ascii="Cambria Math" w:hAnsi="Cambria Math"/>
              </w:rPr>
            </m:ctrlPr>
          </m:sSupPr>
          <m:e>
            <m:r>
              <w:rPr>
                <w:rFonts w:ascii="Cambria Math" w:hAnsi="Cambria Math"/>
              </w:rPr>
              <m:t>​</m:t>
            </m:r>
          </m:e>
          <m:sup>
            <m:r>
              <w:rPr>
                <w:rFonts w:ascii="Cambria Math" w:hAnsi="Cambria Math"/>
              </w:rPr>
              <m:t>3</m:t>
            </m:r>
          </m:sup>
        </m:sSup>
      </m:oMath>
      <w:r>
        <w:t>, Alex Bush</w:t>
      </w:r>
      <m:oMath>
        <m:sSup>
          <m:sSupPr>
            <m:ctrlPr>
              <w:rPr>
                <w:rFonts w:ascii="Cambria Math" w:hAnsi="Cambria Math"/>
              </w:rPr>
            </m:ctrlPr>
          </m:sSupPr>
          <m:e>
            <m:r>
              <w:rPr>
                <w:rFonts w:ascii="Cambria Math" w:hAnsi="Cambria Math"/>
              </w:rPr>
              <m:t>​</m:t>
            </m:r>
          </m:e>
          <m:sup>
            <m:r>
              <w:rPr>
                <w:rFonts w:ascii="Cambria Math" w:hAnsi="Cambria Math"/>
              </w:rPr>
              <m:t>4</m:t>
            </m:r>
          </m:sup>
        </m:sSup>
      </m:oMath>
      <w:r>
        <w:t>, &amp; Shinichi Nakagawa</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1FAA302C" w14:textId="77777777" w:rsidR="00A9620C" w:rsidRDefault="00000000">
      <w:pPr>
        <w:pStyle w:val="Heading4"/>
      </w:pPr>
      <w:bookmarkStart w:id="0" w:name="affliations"/>
      <w:r>
        <w:t>Affliations:</w:t>
      </w:r>
    </w:p>
    <w:p w14:paraId="5F06C87F" w14:textId="77777777" w:rsidR="00A9620C" w:rsidRDefault="00000000">
      <w:pPr>
        <w:pStyle w:val="FirstParagraph"/>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Division of Ecology and Evolution, Research School of Biology, The Australian National University, Canberra, ACT 2600, Australia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Ecology and Evolution Research Centre, School of Biological, Earth and Environmental Sciences, University of New South Wales, Sydney, NSW, Australia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SOLES, University of Sydney, Sydney, NSW, Australia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Department of Biology, Lancaster University, Liverpool, UK</w:t>
      </w:r>
    </w:p>
    <w:p w14:paraId="2246990A" w14:textId="77777777" w:rsidR="00A9620C" w:rsidRDefault="00000000">
      <w:pPr>
        <w:pStyle w:val="Heading2"/>
      </w:pPr>
      <w:bookmarkStart w:id="1" w:name="abstract"/>
      <w:bookmarkEnd w:id="0"/>
      <w:r>
        <w:t>Abstract</w:t>
      </w:r>
    </w:p>
    <w:p w14:paraId="0969D380" w14:textId="77777777" w:rsidR="00A9620C" w:rsidRDefault="00000000">
      <w:pPr>
        <w:pStyle w:val="Heading2"/>
      </w:pPr>
      <w:bookmarkStart w:id="2" w:name="introduction"/>
      <w:bookmarkEnd w:id="1"/>
      <w:r>
        <w:t>Introduction</w:t>
      </w:r>
    </w:p>
    <w:p w14:paraId="3BE39830" w14:textId="77777777" w:rsidR="00A9620C" w:rsidRDefault="00000000">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 (Seebacher </w:t>
      </w:r>
      <w:r>
        <w:rPr>
          <w:i/>
          <w:iCs/>
        </w:rPr>
        <w:t>et al.</w:t>
      </w:r>
      <w:r>
        <w:t xml:space="preserve"> 2015).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14:paraId="2552363E" w14:textId="77777777" w:rsidR="00A9620C" w:rsidRDefault="00000000">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 Seebacher </w:t>
      </w:r>
      <w:r>
        <w:rPr>
          <w:i/>
          <w:iCs/>
        </w:rPr>
        <w:t>et al.</w:t>
      </w:r>
      <w:r>
        <w:t xml:space="preserve"> (2015); Gunderson &amp; Stillman (2015); Pinsky </w:t>
      </w:r>
      <w:r>
        <w:rPr>
          <w:i/>
          <w:iCs/>
        </w:rPr>
        <w:t>et al.</w:t>
      </w:r>
      <w:r>
        <w:t xml:space="preserve"> (2019)]. Despite marine and freshwater ecosystems appearing to have greater physiological acclimation capacity (e.g., see Seebacher </w:t>
      </w:r>
      <w:r>
        <w:rPr>
          <w:i/>
          <w:iCs/>
        </w:rPr>
        <w:t>et al.</w:t>
      </w:r>
      <w:r>
        <w:t xml:space="preserve"> 2015), it is unclear if the magnitude of physiological adjustment is sufficient. In addition, low oxygen availability has been suggested as a major factor influencing the vulnerability of aquatic ecosystems.</w:t>
      </w:r>
    </w:p>
    <w:p w14:paraId="5DF7A2F7" w14:textId="77777777" w:rsidR="00A9620C" w:rsidRDefault="00000000">
      <w:pPr>
        <w:pStyle w:val="BodyText"/>
      </w:pPr>
      <w:r>
        <w:t>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p w14:paraId="0033D1A6" w14:textId="77777777" w:rsidR="00A9620C" w:rsidRDefault="00000000">
      <w:pPr>
        <w:pStyle w:val="Heading2"/>
      </w:pPr>
      <w:bookmarkStart w:id="3" w:name="materials-and-methods"/>
      <w:bookmarkEnd w:id="2"/>
      <w:r>
        <w:t>Materials and Methods</w:t>
      </w:r>
    </w:p>
    <w:p w14:paraId="5EFE80B4" w14:textId="77777777" w:rsidR="00A9620C" w:rsidRDefault="00000000">
      <w:pPr>
        <w:pStyle w:val="Heading3"/>
      </w:pPr>
      <w:bookmarkStart w:id="4" w:name="literature-collection"/>
      <w:r>
        <w:rPr>
          <w:i/>
          <w:iCs/>
        </w:rPr>
        <w:t>Literature collection</w:t>
      </w:r>
    </w:p>
    <w:p w14:paraId="649C6A75" w14:textId="77777777" w:rsidR="00A9620C" w:rsidRDefault="00000000">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 (Seebacher </w:t>
      </w:r>
      <w:r>
        <w:rPr>
          <w:i/>
          <w:iCs/>
        </w:rPr>
        <w:t>et al.</w:t>
      </w:r>
      <w:r>
        <w:t xml:space="preserve"> 2015) and updated Seebacher </w:t>
      </w:r>
      <w:r>
        <w:rPr>
          <w:i/>
          <w:iCs/>
        </w:rPr>
        <w:t>et al.</w:t>
      </w:r>
      <w:r>
        <w:t xml:space="preserve"> (2015)’s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 (the date </w:t>
      </w:r>
      <w:r>
        <w:lastRenderedPageBreak/>
        <w:t xml:space="preserve">after Seebacher </w:t>
      </w:r>
      <w:r>
        <w:rPr>
          <w:i/>
          <w:iCs/>
        </w:rPr>
        <w:t>et al.</w:t>
      </w:r>
      <w:r>
        <w:t xml:space="preserve"> 2015 searches were conducted) using the following topic search string: </w:t>
      </w:r>
      <w:r>
        <w:rPr>
          <w:i/>
          <w:iCs/>
        </w:rPr>
        <w:t>“(acclimat</w:t>
      </w:r>
      <w:r>
        <w:t xml:space="preserve"> AND (therm* OR temp</w:t>
      </w:r>
      <w:r>
        <w:rPr>
          <w:i/>
          <w:iCs/>
        </w:rPr>
        <w:t>) NOT (plant</w:t>
      </w:r>
      <w:r>
        <w:t xml:space="preserve"> OR tree* OR forest* OR fung* OR mammal* OR marsup* OR bird* OR human OR exercis* OR train* OR hypoxi</w:t>
      </w:r>
      <w:r>
        <w:rPr>
          <w:i/>
          <w:iCs/>
        </w:rPr>
        <w:t>))“</w:t>
      </w:r>
      <w:r>
        <w:t>. We further limited to the following research areas: Anatomy Morphology; Biodiversity Conservation; Biology; Ecology; Endocrinology Metabolism; Entomology; Evolutionary Biology; Marine Freshwater Biology; Physiology; Respiratory System, Reproductive Biology, Zoology.</w:t>
      </w:r>
    </w:p>
    <w:p w14:paraId="5FACF666" w14:textId="77777777" w:rsidR="00A9620C" w:rsidRDefault="00000000">
      <w:pPr>
        <w:pStyle w:val="BodyText"/>
      </w:pPr>
      <w:r>
        <w:t xml:space="preserve">Our search resulted in 1,321 papers for screening in Rayyan (Ouzzani </w:t>
      </w:r>
      <w:r>
        <w:rPr>
          <w:i/>
          <w:iCs/>
        </w:rPr>
        <w:t>et al.</w:t>
      </w:r>
      <w:r>
        <w:t xml:space="preserve"> 2016). We also cross-checked papers we found in our searches with a recent paper by Havird </w:t>
      </w:r>
      <w:r>
        <w:rPr>
          <w:i/>
          <w:iCs/>
        </w:rPr>
        <w:t>et al.</w:t>
      </w:r>
      <w:r>
        <w:t xml:space="preserve"> (2020), which also updates Seebacher </w:t>
      </w:r>
      <w:r>
        <w:rPr>
          <w:i/>
          <w:iCs/>
        </w:rPr>
        <w:t>et al.</w:t>
      </w:r>
      <w:r>
        <w:t xml:space="preserve"> (2015)’s dataset. We included any papers that were missed between our searches and those of Havird </w:t>
      </w:r>
      <w:r>
        <w:rPr>
          <w:i/>
          <w:iCs/>
        </w:rPr>
        <w:t>et al.</w:t>
      </w:r>
      <w:r>
        <w:t xml:space="preserve"> (2020) from the dates 2013-2017. Havird </w:t>
      </w:r>
      <w:r>
        <w:rPr>
          <w:i/>
          <w:iCs/>
        </w:rPr>
        <w:t>et al.</w:t>
      </w:r>
      <w:r>
        <w:t xml:space="preserve"> (2020) added 7 new studies between 2013-2017 (mainly because they were focused on metabolic rates), and our searches differed from theirs by only a single paper (i.e., Bulgarella </w:t>
      </w:r>
      <w:r>
        <w:rPr>
          <w:i/>
          <w:iCs/>
        </w:rPr>
        <w:t>et al.</w:t>
      </w:r>
      <w:r>
        <w:t xml:space="preserve"> 2015). Given the physiological traits we included were broader, we had a substantial increase in additional papers that we added to Seebacher </w:t>
      </w:r>
      <w:r>
        <w:rPr>
          <w:i/>
          <w:iCs/>
        </w:rPr>
        <w:t>et al.</w:t>
      </w:r>
      <w:r>
        <w:t xml:space="preserve"> (2015)’s dataset. More specifically, in addition to the 191 papers we included from the Seebacher </w:t>
      </w:r>
      <w:r>
        <w:rPr>
          <w:i/>
          <w:iCs/>
        </w:rPr>
        <w:t>et al.</w:t>
      </w:r>
      <w:r>
        <w:t xml:space="preserve"> (2015) dataset, we extracted data from an extra 65 papers (with a total of 238 effects) that were published between 2013 - 2017 (a 34.0314136% increase in the number of published articles). Note that Seebacher </w:t>
      </w:r>
      <w:r>
        <w:rPr>
          <w:i/>
          <w:iCs/>
        </w:rPr>
        <w:t>et al.</w:t>
      </w:r>
      <w:r>
        <w:t xml:space="preserve"> (2015) included a total of 205 publications, however, not all these contained the necessary statistics we needed to derive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 Seebacher </w:t>
      </w:r>
      <w:r>
        <w:rPr>
          <w:i/>
          <w:iCs/>
        </w:rPr>
        <w:t>et al.</w:t>
      </w:r>
      <w:r>
        <w:t xml:space="preserve"> (2015) to answer questions on acclimation across ectotherms.</w:t>
      </w:r>
    </w:p>
    <w:p w14:paraId="0975967A" w14:textId="77777777" w:rsidR="00A9620C" w:rsidRDefault="00000000">
      <w:pPr>
        <w:pStyle w:val="BodyText"/>
      </w:pPr>
      <w:r>
        <w:t>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p w14:paraId="7F1A7D9D" w14:textId="77777777" w:rsidR="00A9620C" w:rsidRDefault="00000000">
      <w:pPr>
        <w:pStyle w:val="Heading3"/>
      </w:pPr>
      <w:bookmarkStart w:id="5" w:name="data-compilation"/>
      <w:bookmarkEnd w:id="4"/>
      <w:r>
        <w:rPr>
          <w:i/>
          <w:iCs/>
        </w:rPr>
        <w:t>Data Compilation</w:t>
      </w:r>
    </w:p>
    <w:p w14:paraId="3651F230" w14:textId="77777777" w:rsidR="00A9620C" w:rsidRDefault="00000000">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 </w:t>
      </w:r>
      <w:r>
        <w:rPr>
          <w:i/>
          <w:iCs/>
        </w:rPr>
        <w:t>metaDigitise</w:t>
      </w:r>
      <w:r>
        <w:t xml:space="preserve"> (Pick </w:t>
      </w:r>
      <w:r>
        <w:rPr>
          <w:i/>
          <w:iCs/>
        </w:rPr>
        <w:t>et al.</w:t>
      </w:r>
      <w:r>
        <w:t xml:space="preserve"> 2019).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Start w:id="6" w:name="Xf3fe69bf99abfe707f82e879089730377606513"/>
    <w:bookmarkEnd w:id="5"/>
    <w:p w14:paraId="00C4E28C" w14:textId="77777777" w:rsidR="00A9620C" w:rsidRDefault="00000000">
      <w:pPr>
        <w:pStyle w:val="Heading3"/>
      </w:pPr>
      <m:oMath>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oMath>
      <w:r>
        <w:rPr>
          <w:i/>
          <w:iCs/>
        </w:rPr>
        <w:t xml:space="preserve"> Based Effect Sizes and Sampling Variances for Means and Variances</w:t>
      </w:r>
    </w:p>
    <w:p w14:paraId="1C33D6CC" w14:textId="77777777" w:rsidR="00A9620C" w:rsidRDefault="00000000">
      <w:pPr>
        <w:pStyle w:val="FirstParagraph"/>
      </w:pPr>
      <w:r>
        <w:t xml:space="preserve">Following Noble </w:t>
      </w:r>
      <w:r>
        <w:rPr>
          <w:i/>
          <w:iCs/>
        </w:rPr>
        <w:t>et al.</w:t>
      </w:r>
      <w:r>
        <w:t xml:space="preserve"> (2022) we calculated a series of temperature corrected effect sizes that compared mean physiological rates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as well as the variability in physiological rates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These effect sizes are similar to the traditional temperature coefficient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but with formal analytical approximations for their sampling variances. Sampling variances for effect sizes allowed us to make use of traditional meta-analytic modelling approaches.</w:t>
      </w:r>
    </w:p>
    <w:p w14:paraId="0BC423F5" w14:textId="77777777" w:rsidR="00A9620C" w:rsidRDefault="00000000">
      <w:pPr>
        <w:pStyle w:val="Heading4"/>
      </w:pPr>
      <w:bookmarkStart w:id="7" w:name="X191ddc20159cec0477ba10020d496c0b4030004"/>
      <w:r>
        <w:rPr>
          <w:i/>
          <w:iCs/>
        </w:rPr>
        <w:t>Comparing changes in mean physiological rates</w:t>
      </w:r>
    </w:p>
    <w:p w14:paraId="7EA436CB" w14:textId="77777777" w:rsidR="00A9620C" w:rsidRDefault="00000000">
      <w:pPr>
        <w:pStyle w:val="FirstParagraph"/>
      </w:pPr>
      <w:r>
        <w:t xml:space="preserve">To compare mean physiological rates, we calculated the log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response ratio,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(Noble </w:t>
      </w:r>
      <w:r>
        <w:rPr>
          <w:i/>
          <w:iCs/>
        </w:rPr>
        <w:t>et al.</w:t>
      </w:r>
      <w:r>
        <w:t xml:space="preserve"> 2022) as follows:</w:t>
      </w:r>
    </w:p>
    <w:p w14:paraId="7CD7088F" w14:textId="77777777" w:rsidR="00A9620C" w:rsidRDefault="00000000">
      <w:pPr>
        <w:pStyle w:val="BodyText"/>
      </w:pPr>
      <w:bookmarkStart w:id="8" w:name="eq-lnq10"/>
      <m:oMathPara>
        <m:oMathParaPr>
          <m:jc m:val="center"/>
        </m:oMathParaP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1</m:t>
              </m:r>
            </m:e>
          </m:d>
        </m:oMath>
      </m:oMathPara>
      <w:bookmarkEnd w:id="8"/>
    </w:p>
    <w:p w14:paraId="60705374" w14:textId="77777777" w:rsidR="00A9620C" w:rsidRDefault="00000000">
      <w:pPr>
        <w:pStyle w:val="FirstParagrap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are mean physiological rates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are the temperatures that these rates are measured. Log transformation of this ratio makes the effect size normally distributed. </w:t>
      </w:r>
      <w:hyperlink w:anchor="eq-lnq10">
        <w:r>
          <w:rPr>
            <w:rStyle w:val="Hyperlink"/>
          </w:rPr>
          <w:t>Equation 1</w:t>
        </w:r>
      </w:hyperlink>
      <w:r>
        <w:t xml:space="preserve"> is essentially a temperature corrected equivalent to the log response ratio (lnRR) (Hedges </w:t>
      </w:r>
      <w:r>
        <w:rPr>
          <w:i/>
          <w:iCs/>
        </w:rPr>
        <w:t>et al.</w:t>
      </w:r>
      <w:r>
        <w:t xml:space="preserve"> 1999; Lajeunesse 2011) when the numerator and denominator are measured at different temperatures. This allows one to compare the mean of two temperature treatments directly regardless of the temperatures that these groups have been measured. The sampling variance for </w:t>
      </w:r>
      <w:hyperlink w:anchor="eq-lnq10">
        <w:r>
          <w:rPr>
            <w:rStyle w:val="Hyperlink"/>
          </w:rPr>
          <w:t>Equation 1</w:t>
        </w:r>
      </w:hyperlink>
      <w:r>
        <w:t xml:space="preserve"> can be computed as follows (as described in Noble </w:t>
      </w:r>
      <w:r>
        <w:rPr>
          <w:i/>
          <w:iCs/>
        </w:rPr>
        <w:t>et al.</w:t>
      </w:r>
      <w:r>
        <w:t xml:space="preserve"> (2022)):</w:t>
      </w:r>
    </w:p>
    <w:bookmarkStart w:id="9" w:name="eq-Vlnq10"/>
    <w:p w14:paraId="503E6C92" w14:textId="77777777" w:rsidR="00A9620C"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1</m:t>
                      </m:r>
                    </m:sub>
                  </m:sSub>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2</m:t>
              </m:r>
            </m:e>
          </m:d>
        </m:oMath>
      </m:oMathPara>
      <w:bookmarkEnd w:id="9"/>
    </w:p>
    <w:p w14:paraId="05D7F84E" w14:textId="77777777" w:rsidR="00A9620C" w:rsidRDefault="00000000">
      <w:pPr>
        <w:pStyle w:val="FirstParagraph"/>
      </w:pPr>
      <w:r>
        <w:t xml:space="preserve">Here,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oMath>
      <w:r>
        <w:t xml:space="preserve"> and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oMath>
      <w:r>
        <w:t xml:space="preserve"> are the standard deviations and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are the sample sizes in group 1 and 2, respectively.</w:t>
      </w:r>
    </w:p>
    <w:p w14:paraId="495D84F4" w14:textId="77777777" w:rsidR="00A9620C" w:rsidRDefault="00000000">
      <w:pPr>
        <w:pStyle w:val="Heading4"/>
      </w:pPr>
      <w:bookmarkStart w:id="10" w:name="X75718e4b1b83775e048cfa6d169e8d942ee68d0"/>
      <w:bookmarkEnd w:id="7"/>
      <w:r>
        <w:rPr>
          <w:i/>
          <w:iCs/>
        </w:rPr>
        <w:t>Comparing variance in physiological rates</w:t>
      </w:r>
    </w:p>
    <w:p w14:paraId="23C25C75" w14:textId="77777777" w:rsidR="00A9620C" w:rsidRDefault="00000000">
      <w:pPr>
        <w:pStyle w:val="FirstParagraph"/>
      </w:pPr>
      <w:r>
        <w:t xml:space="preserve">Nakagawa </w:t>
      </w:r>
      <w:r>
        <w:rPr>
          <w:i/>
          <w:iCs/>
        </w:rPr>
        <w:t>et al.</w:t>
      </w:r>
      <w:r>
        <w:t xml:space="preserve"> (2015) recently proposed analogous effect size estimates to </w:t>
      </w:r>
      <w:r>
        <w:rPr>
          <w:i/>
          <w:iCs/>
        </w:rPr>
        <w:t>lnRR</w:t>
      </w:r>
      <w:r>
        <w:t xml:space="preserve"> that allow for comparisons of changes in variance between two groups, the log variance ratio (</w:t>
      </w:r>
      <w:r>
        <w:rPr>
          <w:i/>
          <w:iCs/>
        </w:rPr>
        <w:t>lnVR</w:t>
      </w:r>
      <w:r>
        <w:t>) and the log coefficient of variation (</w:t>
      </w:r>
      <w:r>
        <w:rPr>
          <w:i/>
          <w:iCs/>
        </w:rPr>
        <w:t>lnCVR</w:t>
      </w:r>
      <w:r>
        <w:t xml:space="preserve">). </w:t>
      </w:r>
      <w:r>
        <w:rPr>
          <w:i/>
          <w:iCs/>
        </w:rPr>
        <w:t>lnVR</w:t>
      </w:r>
      <w:r>
        <w:t xml:space="preserve"> and </w:t>
      </w:r>
      <w:r>
        <w:rPr>
          <w:i/>
          <w:iCs/>
        </w:rPr>
        <w:t>lnCVR</w:t>
      </w:r>
      <w:r>
        <w:t xml:space="preserve"> are ratios that describe the relative difference in trait variability between two groups. We refer readers to Nakagawa </w:t>
      </w:r>
      <w:r>
        <w:rPr>
          <w:i/>
          <w:iCs/>
        </w:rPr>
        <w:t>et al.</w:t>
      </w:r>
      <w:r>
        <w:t xml:space="preserve"> (2015) for the equations describing </w:t>
      </w:r>
      <w:r>
        <w:rPr>
          <w:i/>
          <w:iCs/>
        </w:rPr>
        <w:t>lnVR</w:t>
      </w:r>
      <w:r>
        <w:t xml:space="preserve"> and </w:t>
      </w:r>
      <w:r>
        <w:rPr>
          <w:i/>
          <w:iCs/>
        </w:rPr>
        <w:t>lnCVR</w:t>
      </w:r>
      <w:r>
        <w:t xml:space="preserve">, but these can easily be extended to their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analogues (and associated sampling variance) as follows:</w:t>
      </w:r>
    </w:p>
    <w:p w14:paraId="7261C9D8" w14:textId="77777777" w:rsidR="00A9620C" w:rsidRDefault="00000000">
      <w:pPr>
        <w:pStyle w:val="BodyText"/>
      </w:pPr>
      <w:bookmarkStart w:id="11" w:name="eq-lnq10VR"/>
      <m:oMathPara>
        <m:oMathParaPr>
          <m:jc m:val="center"/>
        </m:oMathParaP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3</m:t>
              </m:r>
            </m:e>
          </m:d>
        </m:oMath>
      </m:oMathPara>
      <w:bookmarkEnd w:id="11"/>
    </w:p>
    <w:bookmarkStart w:id="12" w:name="eq-slnq10VR"/>
    <w:p w14:paraId="2C895F67" w14:textId="77777777" w:rsidR="00A9620C"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4</m:t>
              </m:r>
            </m:e>
          </m:d>
        </m:oMath>
      </m:oMathPara>
      <w:bookmarkEnd w:id="12"/>
    </w:p>
    <w:p w14:paraId="2D1DB6AE" w14:textId="77777777" w:rsidR="00A9620C" w:rsidRDefault="00000000">
      <w:pPr>
        <w:pStyle w:val="FirstParagraph"/>
      </w:pPr>
      <w:hyperlink w:anchor="eq-lnq10VR">
        <w:r>
          <w:rPr>
            <w:rStyle w:val="Hyperlink"/>
          </w:rPr>
          <w:t>Equation 3</w:t>
        </w:r>
      </w:hyperlink>
      <w:r>
        <w:t xml:space="preserve"> and </w:t>
      </w:r>
      <w:hyperlink w:anchor="eq-slnq10VR">
        <w:r>
          <w:rPr>
            <w:rStyle w:val="Hyperlink"/>
          </w:rPr>
          <w:t>Equation 4</w:t>
        </w:r>
      </w:hyperlink>
      <w:r>
        <w:t xml:space="preserve"> describe the change in physiological rate variance (</w:t>
      </w:r>
      <w:hyperlink w:anchor="eq-lnq10VR">
        <w:r>
          <w:rPr>
            <w:rStyle w:val="Hyperlink"/>
          </w:rPr>
          <w:t>Equation 3</w:t>
        </w:r>
      </w:hyperlink>
      <w:r>
        <w:t>) across a 10°C temperature change along with its sampling variance (</w:t>
      </w:r>
      <w:hyperlink w:anchor="eq-slnq10VR">
        <w:r>
          <w:rPr>
            <w:rStyle w:val="Hyperlink"/>
          </w:rPr>
          <w:t>Equation 4</w:t>
        </w:r>
      </w:hyperlink>
      <w:r>
        <w:t xml:space="preserve">). While this is a useful metric, as discussed by Nakagawa </w:t>
      </w:r>
      <w:r>
        <w:rPr>
          <w:i/>
          <w:iCs/>
        </w:rPr>
        <w:t>et al.</w:t>
      </w:r>
      <w:r>
        <w:t xml:space="preserve"> (2015) there is often a strong mean-variance relationship that needs to be accounted for in analysing changes in variance. As such, we calculated the coefficient of variation, which standardizes changes in variance for changes in means as follows:</w:t>
      </w:r>
    </w:p>
    <w:p w14:paraId="67F5F6E4" w14:textId="77777777" w:rsidR="00A9620C" w:rsidRDefault="00000000">
      <w:pPr>
        <w:pStyle w:val="BodyText"/>
      </w:pPr>
      <w:bookmarkStart w:id="13" w:name="eq-lnq10CVR"/>
      <m:oMathPara>
        <m:oMathParaPr>
          <m:jc m:val="center"/>
        </m:oMathParaP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CV</m:t>
                      </m:r>
                    </m:e>
                    <m:sub>
                      <m:r>
                        <w:rPr>
                          <w:rFonts w:ascii="Cambria Math" w:hAnsi="Cambria Math"/>
                        </w:rPr>
                        <m:t>2</m:t>
                      </m:r>
                    </m:sub>
                  </m:sSub>
                </m:num>
                <m:den>
                  <m:sSub>
                    <m:sSubPr>
                      <m:ctrlPr>
                        <w:rPr>
                          <w:rFonts w:ascii="Cambria Math" w:hAnsi="Cambria Math"/>
                        </w:rPr>
                      </m:ctrlPr>
                    </m:sSubPr>
                    <m:e>
                      <m:r>
                        <m:rPr>
                          <m:nor/>
                        </m:rPr>
                        <m:t>CV</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5</m:t>
              </m:r>
            </m:e>
          </m:d>
        </m:oMath>
      </m:oMathPara>
      <w:bookmarkEnd w:id="13"/>
    </w:p>
    <w:bookmarkStart w:id="14" w:name="eq-slncvr"/>
    <w:p w14:paraId="620D862E" w14:textId="77777777" w:rsidR="00A9620C"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1</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2</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m:t>
              </m:r>
            </m:e>
          </m:d>
        </m:oMath>
      </m:oMathPara>
      <w:bookmarkEnd w:id="14"/>
    </w:p>
    <w:p w14:paraId="3BE18E7E" w14:textId="77777777" w:rsidR="00A9620C" w:rsidRDefault="00000000">
      <w:pPr>
        <w:pStyle w:val="FirstParagraph"/>
      </w:pPr>
      <w:r>
        <w:t xml:space="preserve">where </w:t>
      </w:r>
      <m:oMath>
        <m:r>
          <w:rPr>
            <w:rFonts w:ascii="Cambria Math" w:hAnsi="Cambria Math"/>
          </w:rPr>
          <m:t>CV</m:t>
        </m:r>
      </m:oMath>
      <w:r>
        <w:t xml:space="preserve"> is the coefficient of variation defined as </w:t>
      </w:r>
      <m:oMath>
        <m:r>
          <w:rPr>
            <w:rFonts w:ascii="Cambria Math" w:hAnsi="Cambria Math"/>
          </w:rPr>
          <m:t>SD</m:t>
        </m:r>
        <m:r>
          <m:rPr>
            <m:sty m:val="p"/>
          </m:rPr>
          <w:rPr>
            <w:rFonts w:ascii="Cambria Math" w:hAnsi="Cambria Math"/>
          </w:rPr>
          <m:t>/</m:t>
        </m:r>
        <m:r>
          <w:rPr>
            <w:rFonts w:ascii="Cambria Math" w:hAnsi="Cambria Math"/>
          </w:rPr>
          <m:t>R</m:t>
        </m:r>
      </m:oMath>
      <w:r>
        <w:t>.</w:t>
      </w:r>
    </w:p>
    <w:p w14:paraId="5724544F" w14:textId="77777777" w:rsidR="00A9620C" w:rsidRDefault="00000000">
      <w:pPr>
        <w:pStyle w:val="Heading4"/>
      </w:pPr>
      <w:bookmarkStart w:id="15" w:name="X9669279ffbb8faf91cf80ad27852fe842a929bd"/>
      <w:bookmarkEnd w:id="10"/>
      <w:r>
        <w:rPr>
          <w:i/>
          <w:iCs/>
        </w:rPr>
        <w:t xml:space="preserve">Calculating acute and acclimation </w:t>
      </w:r>
      <m:oMath>
        <m:r>
          <m:rPr>
            <m:sty m:val="bi"/>
          </m:rPr>
          <w:rPr>
            <w:rFonts w:ascii="Cambria Math" w:hAnsi="Cambria Math"/>
          </w:rPr>
          <m:t>lnR</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and </w:t>
      </w:r>
      <m:oMath>
        <m:r>
          <m:rPr>
            <m:sty m:val="bi"/>
          </m:rPr>
          <w:rPr>
            <w:rFonts w:ascii="Cambria Math" w:hAnsi="Cambria Math"/>
          </w:rPr>
          <m:t>lnCV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estimates</w:t>
      </w:r>
    </w:p>
    <w:p w14:paraId="27C3410E" w14:textId="77777777" w:rsidR="00A9620C" w:rsidRDefault="00000000">
      <w:pPr>
        <w:pStyle w:val="FirstParagraph"/>
      </w:pPr>
      <w:r>
        <w:t xml:space="preserve">Using the mean, standard deviation, and sample size for all acute and acclimation treatments of studies in our databases we derived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p w14:paraId="08A36E36" w14:textId="77777777" w:rsidR="00A9620C" w:rsidRDefault="00000000">
      <w:pPr>
        <w:pStyle w:val="Heading3"/>
      </w:pPr>
      <w:bookmarkStart w:id="16" w:name="moderator-variables"/>
      <w:bookmarkEnd w:id="6"/>
      <w:bookmarkEnd w:id="15"/>
      <w:r>
        <w:rPr>
          <w:i/>
          <w:iCs/>
        </w:rPr>
        <w:t>Moderator Variables</w:t>
      </w:r>
    </w:p>
    <w:p w14:paraId="00C7C2F8" w14:textId="77777777" w:rsidR="00A9620C" w:rsidRDefault="00000000">
      <w:pPr>
        <w:pStyle w:val="FirstParagraph"/>
      </w:pPr>
      <w:r>
        <w:t xml:space="preserve">We recorded or derived a series of moderator variables from each study that are expected to have an impact on our effect size estimates. These included the duration of acclimation in days and acclimation type (“acclimation” or “acclimatization”) given that acclimation responses are expected to depend on how long chronic temperature exposure occurs (longer exposure = better acclimation response) (Seebacher </w:t>
      </w:r>
      <w:r>
        <w:rPr>
          <w:i/>
          <w:iCs/>
        </w:rPr>
        <w:t>et al.</w:t>
      </w:r>
      <w:r>
        <w:t xml:space="preserve"> 2015). We also recorded if the sample of animals were derived from captive or wild stocks, the life-history stage of the animals used (“adult” or “juvenile”) and the habitat type (“freshwater”, “marine” or “terrestrial”) given that Seebacher </w:t>
      </w:r>
      <w:r>
        <w:rPr>
          <w:i/>
          <w:iCs/>
        </w:rPr>
        <w:t>et al.</w:t>
      </w:r>
      <w:r>
        <w:t xml:space="preserve"> (2015) show that these factors can impact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estimates. Physiological rate measures varied widely across the studies but could generally be grouped into discrete trait categories (Seebacher </w:t>
      </w:r>
      <w:r>
        <w:rPr>
          <w:i/>
          <w:iCs/>
        </w:rPr>
        <w:t>et al.</w:t>
      </w:r>
      <w:r>
        <w:t xml:space="preserve"> 2015). As such, using the detailed information on the trait type, and its associated units from a given study, we categorized each effect size into one of 12 trait categories. These categories included measures of whole organism performance measures including cardiac (i.e., ‘cardiac’) and muscle (‘muscle’) function, sprint speed (‘sprint’) and endurance (‘endurance’) and metabolic rates (i.e., maximal and resting metabolic rate; max MR’, ‘rest MR’, respectively). Studies also quantified various enzymatic reaction rates, including enzymes involved in general metabolic responses (categorized as ‘metabolic enzyme’), various parts of the electron transport chain, including ATPase activity (‘ATPase’), mitochondrial leak (‘mito_leak’) and oxidation (‘mito_oxidation’) as well as antioxidant enzymes (‘antiox’). All other traits not falling within these categories were placed into ‘other’.</w:t>
      </w:r>
    </w:p>
    <w:p w14:paraId="0A8F6429" w14:textId="77777777" w:rsidR="00A9620C" w:rsidRDefault="00000000">
      <w:pPr>
        <w:pStyle w:val="Heading3"/>
      </w:pPr>
      <w:bookmarkStart w:id="17" w:name="climate-data"/>
      <w:bookmarkEnd w:id="16"/>
      <w:r>
        <w:rPr>
          <w:i/>
          <w:iCs/>
        </w:rPr>
        <w:t>Climate Data</w:t>
      </w:r>
    </w:p>
    <w:p w14:paraId="3A0237FC" w14:textId="77777777" w:rsidR="00A9620C" w:rsidRDefault="00000000">
      <w:pPr>
        <w:pStyle w:val="FirstParagraph"/>
      </w:pPr>
      <w:r>
        <w:t>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14:paraId="022AA1A5" w14:textId="77777777" w:rsidR="00A9620C" w:rsidRDefault="00000000">
      <w:pPr>
        <w:pStyle w:val="BodyText"/>
      </w:pPr>
      <w:r>
        <w:t xml:space="preserve">Temperature data was extracted using the monthly averages provided by the ERA5 climate model, available from the Copernicus climate data store (Hersbach </w:t>
      </w:r>
      <w:r>
        <w:rPr>
          <w:i/>
          <w:iCs/>
        </w:rPr>
        <w:t>et al.</w:t>
      </w:r>
      <w:r>
        <w:t xml:space="preserve"> 2020). For each population and species in the dataset we extracted a 30-year period (1958-2022) of either surface temperature at 2 meters for both terrestrial and freshwater taxa, or sea surface temperature for the marine taxa using the </w:t>
      </w:r>
      <w:r>
        <w:rPr>
          <w:i/>
          <w:iCs/>
        </w:rPr>
        <w:t>ncdf4</w:t>
      </w:r>
      <w:r>
        <w:t xml:space="preserve"> R package (vers. 1.21, Pierce 2021). We chose a 2-meter resolution because we believed that it more likely to reflects the micro-thermal environment experienced by terrestrial and freshwater ectotherms at those locations.</w:t>
      </w:r>
    </w:p>
    <w:p w14:paraId="3887DFB4" w14:textId="77777777" w:rsidR="00A9620C" w:rsidRDefault="00000000">
      <w:pPr>
        <w:pStyle w:val="BodyText"/>
      </w:pPr>
      <w:r>
        <w:t>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ctrlPr>
              <w:rPr>
                <w:rFonts w:ascii="Cambria Math" w:hAnsi="Cambria Math"/>
              </w:rPr>
            </m:ctrlPr>
          </m:fPr>
          <m:num>
            <m:r>
              <w:rPr>
                <w:rFonts w:ascii="Cambria Math" w:hAnsi="Cambria Math"/>
              </w:rPr>
              <m:t>SD</m:t>
            </m:r>
          </m:num>
          <m:den>
            <m:r>
              <w:rPr>
                <w:rFonts w:ascii="Cambria Math" w:hAnsi="Cambria Math"/>
              </w:rPr>
              <m:t>M</m:t>
            </m:r>
          </m:den>
        </m:f>
      </m:oMath>
      <w:r>
        <w:t xml:space="preserve">, where SD = standard deviation in </w:t>
      </w:r>
      <w:r>
        <w:lastRenderedPageBreak/>
        <w:t>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p w14:paraId="4F9DCF0A" w14:textId="77777777" w:rsidR="00A9620C" w:rsidRDefault="00000000">
      <w:pPr>
        <w:pStyle w:val="Heading3"/>
      </w:pPr>
      <w:bookmarkStart w:id="18" w:name="meta-analysis"/>
      <w:bookmarkEnd w:id="17"/>
      <w:r>
        <w:rPr>
          <w:i/>
          <w:iCs/>
        </w:rPr>
        <w:t>Meta-Analysis</w:t>
      </w:r>
    </w:p>
    <w:p w14:paraId="741C8A85" w14:textId="77777777" w:rsidR="00A9620C" w:rsidRDefault="00000000">
      <w:pPr>
        <w:pStyle w:val="FirstParagraph"/>
      </w:pPr>
      <w:r>
        <w:t xml:space="preserve">We analysed our data using multilevel meta-analytic (MLMA) and meta-regression (MLMR) models in R (vers. 4.2.1) using </w:t>
      </w:r>
      <w:r>
        <w:rPr>
          <w:i/>
          <w:iCs/>
        </w:rPr>
        <w:t>brms</w:t>
      </w:r>
      <w:r>
        <w:t xml:space="preserve"> (vers. 2.18.0 Bürkner 2017, 2018; “Stan development team. RStan” 2021) and </w:t>
      </w:r>
      <w:r>
        <w:rPr>
          <w:i/>
          <w:iCs/>
        </w:rPr>
        <w:t>metafor</w:t>
      </w:r>
      <w:r>
        <w:t xml:space="preserve"> (vers. 3.8.1 Viechtbauer 2010). We fit both Bayesian and frequentist approaches to ensure that our results were consistent, and to create orchard plots more easily (vers. 2.0, Nakagawa </w:t>
      </w:r>
      <w:r>
        <w:rPr>
          <w:i/>
          <w:iCs/>
        </w:rPr>
        <w:t>et al.</w:t>
      </w:r>
      <w:r>
        <w:t xml:space="preserve"> 2021a). In addition, Bayesian methods better protect against type I errors in the presence of complex sources of non-independence (Nakagawa </w:t>
      </w:r>
      <w:r>
        <w:rPr>
          <w:i/>
          <w:iCs/>
        </w:rPr>
        <w:t>et al.</w:t>
      </w:r>
      <w:r>
        <w:t xml:space="preserve"> 2021b; Song </w:t>
      </w:r>
      <w:r>
        <w:rPr>
          <w:i/>
          <w:iCs/>
        </w:rPr>
        <w:t>et al.</w:t>
      </w:r>
      <w:r>
        <w:t xml:space="preserve"> 2021). For our Bayesian models, we ran 4 MCMC chains, each with a warm-up of 1000 followed by 4000 sampling iterations keeping every 5 iterations for a total of 3200 samples from the posterior distribution. We used flat Gaussian priors for ‘fixed’ effects (i.e.,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r>
        <w:t xml:space="preserve">) and a student t-distribution for ‘random’ effects (i.e., </w:t>
      </w:r>
      <m:oMath>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t</m:t>
            </m:r>
          </m:sub>
        </m:s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e>
        </m:d>
      </m:oMath>
      <w:r>
        <w:t xml:space="preserve">). We checked that all MCMC chains were mixing and had converged (i.e., </w:t>
      </w:r>
      <m:oMath>
        <m:sSub>
          <m:sSubPr>
            <m:ctrlPr>
              <w:rPr>
                <w:rFonts w:ascii="Cambria Math" w:hAnsi="Cambria Math"/>
              </w:rPr>
            </m:ctrlPr>
          </m:sSubPr>
          <m:e>
            <m:r>
              <w:rPr>
                <w:rFonts w:ascii="Cambria Math" w:hAnsi="Cambria Math"/>
              </w:rPr>
              <m:t>R</m:t>
            </m:r>
          </m:e>
          <m:sub>
            <m:r>
              <w:rPr>
                <w:rFonts w:ascii="Cambria Math" w:hAnsi="Cambria Math"/>
              </w:rPr>
              <m:t>hat</m:t>
            </m:r>
          </m:sub>
        </m:sSub>
        <m:r>
          <m:rPr>
            <m:sty m:val="p"/>
          </m:rPr>
          <w:rPr>
            <w:rFonts w:ascii="Cambria Math" w:hAnsi="Cambria Math"/>
          </w:rPr>
          <m:t>=</m:t>
        </m:r>
        <m:r>
          <w:rPr>
            <w:rFonts w:ascii="Cambria Math" w:hAnsi="Cambria Math"/>
          </w:rPr>
          <m:t>1</m:t>
        </m:r>
      </m:oMath>
      <w:r>
        <w:t xml:space="preserve">). We compared any competing models using Akaike’s Information Criteria (AIC) (if frequentist) or Wantabe Information Criteria (WIC) (if Bayesian). We deemed models with the lowest IC value to be best supported if there was a </w:t>
      </w:r>
      <m:oMath>
        <m:r>
          <w:rPr>
            <w:rFonts w:ascii="Cambria Math" w:hAnsi="Cambria Math"/>
          </w:rPr>
          <m:t>ΔIC</m:t>
        </m:r>
      </m:oMath>
      <w:r>
        <w:t xml:space="preserve"> between the competing models of 2 or more. If two models were within 2 </w:t>
      </w:r>
      <m:oMath>
        <m:r>
          <w:rPr>
            <w:rFonts w:ascii="Cambria Math" w:hAnsi="Cambria Math"/>
          </w:rPr>
          <m:t>ΔIC</m:t>
        </m:r>
      </m:oMath>
      <w:r>
        <w:t xml:space="preserve"> units we went with the most parsimonious model.</w:t>
      </w:r>
    </w:p>
    <w:p w14:paraId="05FB12FF" w14:textId="77777777" w:rsidR="00A9620C" w:rsidRDefault="00000000">
      <w:pPr>
        <w:pStyle w:val="Heading4"/>
      </w:pPr>
      <w:bookmarkStart w:id="19" w:name="multi-level-meta-analysis-mlma-models"/>
      <w:r>
        <w:rPr>
          <w:i/>
          <w:iCs/>
        </w:rPr>
        <w:t>Multi-level Meta-analysis (MLMA) Models</w:t>
      </w:r>
    </w:p>
    <w:p w14:paraId="0C146BB9" w14:textId="77777777" w:rsidR="00A9620C" w:rsidRDefault="00000000">
      <w:pPr>
        <w:pStyle w:val="FirstParagraph"/>
      </w:pPr>
      <w:r>
        <w:t xml:space="preserve">We first fit multi-level meta-analysis (MLMA) models (i.e., intercept only models) for both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among these key sources while accounting for total sampling variance in each. This allowed us to calculate total heterogeneity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along with various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metrics describing the proportion of variance explained by each random effect level (Nakagawa &amp; Santos 2012). We also present 95% prediction intervals which describe the expected distribution of effects from future studies (Nakagawa </w:t>
      </w:r>
      <w:r>
        <w:rPr>
          <w:i/>
          <w:iCs/>
        </w:rPr>
        <w:t>et al.</w:t>
      </w:r>
      <w:r>
        <w:t xml:space="preserve"> 2021a; Noble </w:t>
      </w:r>
      <w:r>
        <w:rPr>
          <w:i/>
          <w:iCs/>
        </w:rPr>
        <w:t>et al.</w:t>
      </w:r>
      <w:r>
        <w:t xml:space="preserve"> 2022).</w:t>
      </w:r>
    </w:p>
    <w:p w14:paraId="06755CB2" w14:textId="77777777" w:rsidR="00A9620C" w:rsidRDefault="00000000">
      <w:pPr>
        <w:pStyle w:val="BodyText"/>
      </w:pPr>
      <w:r>
        <w:t xml:space="preserve">A phylogeny was derived using the Open Tree of Life (OTL) with the </w:t>
      </w:r>
      <w:r>
        <w:rPr>
          <w:i/>
          <w:iCs/>
        </w:rPr>
        <w:t>rotl</w:t>
      </w:r>
      <w:r>
        <w:t xml:space="preserve"> package in R (vers. 3.0.14, Michonneau </w:t>
      </w:r>
      <w:r>
        <w:rPr>
          <w:i/>
          <w:iCs/>
        </w:rPr>
        <w:t>et al.</w:t>
      </w:r>
      <w:r>
        <w:t xml:space="preserve"> 2016), and plotted using </w:t>
      </w:r>
      <w:r>
        <w:rPr>
          <w:i/>
          <w:iCs/>
        </w:rPr>
        <w:t>ggtree</w:t>
      </w:r>
      <w:r>
        <w:t xml:space="preserve"> (vers. 3.6.2, Yu </w:t>
      </w:r>
      <w:r>
        <w:rPr>
          <w:i/>
          <w:iCs/>
        </w:rPr>
        <w:t>et al.</w:t>
      </w:r>
      <w:r>
        <w:t xml:space="preserve"> 2017). We resolved all polytomies in the tree. Any missing taxa were replaced with closely related species and branch lengths were computed using Grafen’s method (using power = 0.7, Grafen 1989). We used the R packages </w:t>
      </w:r>
      <w:r>
        <w:rPr>
          <w:i/>
          <w:iCs/>
        </w:rPr>
        <w:t>ape</w:t>
      </w:r>
      <w:r>
        <w:t xml:space="preserve"> (vers. 5.7, Paradis &amp; Schliep 2019) and </w:t>
      </w:r>
      <w:r>
        <w:rPr>
          <w:i/>
          <w:iCs/>
        </w:rPr>
        <w:t>phytools</w:t>
      </w:r>
      <w:r>
        <w:t xml:space="preserve"> (vers. 1.5.1, Revell 2012) to prune the tree for individual analyses and calculate phylogenetic covariance (or correlation) matrices used in meta-analytic models.</w:t>
      </w:r>
    </w:p>
    <w:p w14:paraId="5F71CCE3" w14:textId="77777777" w:rsidR="00A9620C" w:rsidRDefault="00000000">
      <w:pPr>
        <w:pStyle w:val="Heading4"/>
      </w:pPr>
      <w:bookmarkStart w:id="20" w:name="multi-level-meta-regression-mlmr-models"/>
      <w:bookmarkEnd w:id="19"/>
      <w:r>
        <w:rPr>
          <w:i/>
          <w:iCs/>
        </w:rPr>
        <w:t>Multi-level Meta-regression (MLMR) Models</w:t>
      </w:r>
    </w:p>
    <w:p w14:paraId="2BCE1175" w14:textId="77777777" w:rsidR="00A9620C" w:rsidRDefault="00000000">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 </w:t>
      </w:r>
      <m:oMath>
        <m:r>
          <m:rPr>
            <m:sty m:val="p"/>
          </m:rPr>
          <w:rPr>
            <w:rFonts w:ascii="Cambria Math" w:hAnsi="Cambria Math"/>
          </w:rPr>
          <m:t>±</m:t>
        </m:r>
      </m:oMath>
      <w:r>
        <w:t xml:space="preserve"> 45.1903321 days), and terrestrial ectotherms were acclimated for a much shorter duration (mean (SD) = 23.5284553 </w:t>
      </w:r>
      <m:oMath>
        <m:r>
          <m:rPr>
            <m:sty m:val="p"/>
          </m:rPr>
          <w:rPr>
            <w:rFonts w:ascii="Cambria Math" w:hAnsi="Cambria Math"/>
          </w:rPr>
          <m:t>±</m:t>
        </m:r>
      </m:oMath>
      <w:r>
        <w:t xml:space="preserve"> 15.5570474, n = 125) than both freshwater (mean (SD) = 36.8087167 </w:t>
      </w:r>
      <m:oMath>
        <m:r>
          <m:rPr>
            <m:sty m:val="p"/>
          </m:rPr>
          <w:rPr>
            <w:rFonts w:ascii="Cambria Math" w:hAnsi="Cambria Math"/>
          </w:rPr>
          <m:t>±</m:t>
        </m:r>
      </m:oMath>
      <w:r>
        <w:t xml:space="preserve"> 28.7077629, n = 430) and marine species (mean (SD) = 46.1775362 </w:t>
      </w:r>
      <m:oMath>
        <m:r>
          <m:rPr>
            <m:sty m:val="p"/>
          </m:rPr>
          <w:rPr>
            <w:rFonts w:ascii="Cambria Math" w:hAnsi="Cambria Math"/>
          </w:rPr>
          <m:t>±</m:t>
        </m:r>
      </m:oMath>
      <w:r>
        <w:t xml:space="preserve"> 67.2126693, n = 313). Rates of acclimation have been shown to be faster for many terrestrial groups compared to aquatic organisms [e.g., amphibians and reptiles have faster rates of acclimation than fishes; See Einum &amp; Burton (2023)], which would make it more likely that terrestrial ectotherms would show lower post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To control for these possible differences, acclimation time was mean-centered (mean = 0) and included in all our models. As such, all estimates can be interpreted as values for an average level of acclimation time (i.e., 37.9815271 days).</w:t>
      </w:r>
    </w:p>
    <w:p w14:paraId="1B808C0C" w14:textId="77777777" w:rsidR="00A9620C" w:rsidRDefault="00000000">
      <w:pPr>
        <w:pStyle w:val="BodyText"/>
      </w:pPr>
      <w:r>
        <w:lastRenderedPageBreak/>
        <w:t xml:space="preserve">We first tested the degree to which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effects varied by habitat type (i.e., terrestrial, freshwater, and marine ecosystems). Models included an interaction between effect type (i.e., acute or acclimation) and habitat. Reduced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indicates that acclimation to thermal environments results in partial compensation of physiological rates (i.e., phenotypic plasticity), whereas no differences between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suggests organisms are not capable of physiological plasticity (Havird </w:t>
      </w:r>
      <w:r>
        <w:rPr>
          <w:i/>
          <w:iCs/>
        </w:rPr>
        <w:t>et al.</w:t>
      </w:r>
      <w:r>
        <w:t xml:space="preserve"> 2020). In contrast, a difference in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would imply that changes in between individual variation in physiological rates across 10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w:rPr>
            <w:rFonts w:ascii="Cambria Math" w:hAnsi="Cambria Math"/>
          </w:rPr>
          <m:t>ΔAI</m:t>
        </m:r>
        <m:sSub>
          <m:sSubPr>
            <m:ctrlPr>
              <w:rPr>
                <w:rFonts w:ascii="Cambria Math" w:hAnsi="Cambria Math"/>
              </w:rPr>
            </m:ctrlPr>
          </m:sSubPr>
          <m:e>
            <m:r>
              <w:rPr>
                <w:rFonts w:ascii="Cambria Math" w:hAnsi="Cambria Math"/>
              </w:rPr>
              <m:t>C</m:t>
            </m:r>
          </m:e>
          <m:sub>
            <m:r>
              <w:rPr>
                <w:rFonts w:ascii="Cambria Math" w:hAnsi="Cambria Math"/>
              </w:rPr>
              <m:t>c</m:t>
            </m:r>
          </m:sub>
        </m:sSub>
      </m:oMath>
      <w:r>
        <w:t>; marine = 58, freshwater = 120, and terrestrial = 12). To ensure models converged we limited to trait categories for each habitat with six or more effect sizes.</w:t>
      </w:r>
    </w:p>
    <w:p w14:paraId="2D897A55" w14:textId="77777777" w:rsidR="00A9620C" w:rsidRDefault="00000000">
      <w:pPr>
        <w:pStyle w:val="BodyText"/>
      </w:pPr>
      <w:r>
        <w:t>Second, we tested whether different life-stages are more or less likely to acclimate by fitting a model for each habitat type and including an interaction between life-stage (‘adult’ or ‘juvenile’)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p w14:paraId="0E26DDC8" w14:textId="77777777" w:rsidR="00A9620C" w:rsidRDefault="00000000">
      <w:pPr>
        <w:pStyle w:val="Heading3"/>
      </w:pPr>
      <w:bookmarkStart w:id="21" w:name="sensitivity-analyses"/>
      <w:bookmarkEnd w:id="18"/>
      <w:bookmarkEnd w:id="20"/>
      <w:r>
        <w:rPr>
          <w:i/>
          <w:iCs/>
        </w:rPr>
        <w:t>Sensitivity Analyses</w:t>
      </w:r>
    </w:p>
    <w:p w14:paraId="0416FF67" w14:textId="77777777" w:rsidR="00A9620C" w:rsidRDefault="00000000">
      <w:pPr>
        <w:pStyle w:val="Heading3"/>
      </w:pPr>
      <w:bookmarkStart w:id="22" w:name="publication-bias"/>
      <w:bookmarkEnd w:id="21"/>
      <w:r>
        <w:rPr>
          <w:i/>
          <w:iCs/>
        </w:rPr>
        <w:t>Publication Bias</w:t>
      </w:r>
    </w:p>
    <w:p w14:paraId="0150B94F" w14:textId="77777777" w:rsidR="00A9620C" w:rsidRDefault="00000000">
      <w:pPr>
        <w:pStyle w:val="Heading2"/>
      </w:pPr>
      <w:bookmarkStart w:id="23" w:name="results"/>
      <w:bookmarkEnd w:id="3"/>
      <w:bookmarkEnd w:id="22"/>
      <w:r>
        <w:t>Results</w:t>
      </w:r>
    </w:p>
    <w:p w14:paraId="10E1C998" w14:textId="77777777" w:rsidR="00A9620C" w:rsidRDefault="00000000">
      <w:pPr>
        <w:pStyle w:val="FirstParagraph"/>
      </w:pPr>
      <w:r>
        <w:t>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Figure 1</w:t>
        </w:r>
      </w:hyperlink>
      <w:r>
        <w:t xml:space="preserve"> A). We had more data on acute thermal responses (n = 1115) compared to thermal responses after an acclimation period (n = 798) because both acclimation temperatures had separate acute responses (</w:t>
      </w:r>
      <w:hyperlink w:anchor="fig-1">
        <w:r>
          <w:rPr>
            <w:rStyle w:val="Hyperlink"/>
          </w:rPr>
          <w:t>Figure 1</w:t>
        </w:r>
      </w:hyperlink>
      <w:r>
        <w:t xml:space="preserve">). While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did differ significantly from each other, on average (Acute responses were higher for animals acclimated to high temperatures – </w:t>
      </w:r>
      <m:oMath>
        <m:r>
          <w:rPr>
            <w:rFonts w:ascii="Cambria Math" w:hAnsi="Cambria Math"/>
          </w:rPr>
          <m:t>β</m:t>
        </m:r>
      </m:oMath>
      <w:r>
        <w:t xml:space="preserve"> = 0.0692282, 95% CI: 0.0352333 to 0.1032231, p &lt; 0.001), they were in the same direction and only differed by ~10%. As such, we averaged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in subsequent analyses.</w:t>
      </w:r>
    </w:p>
    <w:p w14:paraId="40FF810B" w14:textId="77777777" w:rsidR="00A9620C" w:rsidRDefault="00000000">
      <w:pPr>
        <w:pStyle w:val="BodyText"/>
      </w:pPr>
      <w:r>
        <w:t xml:space="preserve">Most of the effect size estimates came from measurements of metabolic rates (both resting and maximal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190,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3069, considering acute and acclimation effects together), metabolic enzymes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61,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2394) and whole-organism performance traits (i.e., measures of speed and endurance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73,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963).</w:t>
      </w:r>
    </w:p>
    <w:p w14:paraId="25066A83" w14:textId="77777777" w:rsidR="00A9620C" w:rsidRDefault="00000000">
      <w:pPr>
        <w:pStyle w:val="Heading3"/>
      </w:pPr>
      <w:bookmarkStart w:id="24" w:name="Xf7a896a2824436cd0fe89306caf457d9a436d93"/>
      <w:r>
        <w:rPr>
          <w:i/>
          <w:iCs/>
        </w:rPr>
        <w:lastRenderedPageBreak/>
        <w:t>Do terrestrial and aquatic ectotherms differ in their capacity to acclimate?</w:t>
      </w:r>
    </w:p>
    <w:p w14:paraId="0230E7C7" w14:textId="77777777" w:rsidR="00A9620C" w:rsidRDefault="00000000">
      <w:pPr>
        <w:pStyle w:val="FirstParagraph"/>
      </w:pPr>
      <w:r>
        <w:t xml:space="preserve">Overall,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differed by only 7.942601% across all habitats (95%CI: 4.7858502 to 11.2428758%). Ectotherms in marine and freshwater environments showed partial compensation of physiological rates (</w:t>
      </w:r>
      <w:hyperlink w:anchor="fig-1">
        <w:r>
          <w:rPr>
            <w:rStyle w:val="Hyperlink"/>
          </w:rPr>
          <w:t>Figure 1</w:t>
        </w:r>
      </w:hyperlink>
      <w:r>
        <w:t xml:space="preserve"> B) amounting to reduced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of 10.1151427% (95% CI: 6.0391131 to 14.1246045) in freshwater and 9.2635907% (95% CI: 2.6165698 to 15.7998426) in marine environments. In contrast, terrestrial ectotherms showed no acclimation (possibly even inverse acclimation) – showing a 4.4490697% increase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(95% CI: 0.1937765 to 11.4392369, </w:t>
      </w:r>
      <w:hyperlink w:anchor="fig-1">
        <w:r>
          <w:rPr>
            <w:rStyle w:val="Hyperlink"/>
          </w:rPr>
          <w:t>Figure 1</w:t>
        </w:r>
      </w:hyperlink>
      <w:r>
        <w:t xml:space="preserve"> B). Considering acute responses of animals acclimated to high temperatures are generally slightly elevated compared to cold acclimated animals (~7%; </w:t>
      </w:r>
      <m:oMath>
        <m:r>
          <w:rPr>
            <w:rFonts w:ascii="Cambria Math" w:hAnsi="Cambria Math"/>
          </w:rPr>
          <m:t>β</m:t>
        </m:r>
      </m:oMath>
      <w:r>
        <w:t xml:space="preserve"> = 0.0692282, 95% CI: 0.0352333 to 0.1032231, p &lt; 0.001), acclimatization is not likely going to provide adaptive benefits under climate change.</w:t>
      </w:r>
    </w:p>
    <w:tbl>
      <w:tblPr>
        <w:tblStyle w:val="Table"/>
        <w:tblW w:w="5000" w:type="pct"/>
        <w:tblLook w:val="0000" w:firstRow="0" w:lastRow="0" w:firstColumn="0" w:lastColumn="0" w:noHBand="0" w:noVBand="0"/>
      </w:tblPr>
      <w:tblGrid>
        <w:gridCol w:w="10538"/>
      </w:tblGrid>
      <w:tr w:rsidR="00A9620C" w14:paraId="77A3AB26" w14:textId="77777777">
        <w:tc>
          <w:tcPr>
            <w:tcW w:w="0" w:type="auto"/>
          </w:tcPr>
          <w:p w14:paraId="29387C02" w14:textId="77777777" w:rsidR="00A9620C" w:rsidRDefault="00000000">
            <w:pPr>
              <w:pStyle w:val="Figure"/>
              <w:jc w:val="center"/>
            </w:pPr>
            <w:bookmarkStart w:id="25" w:name="fig-1"/>
            <w:r>
              <w:rPr>
                <w:noProof/>
              </w:rPr>
              <w:drawing>
                <wp:inline distT="0" distB="0" distL="0" distR="0" wp14:anchorId="62EECBF6" wp14:editId="7E1389E9">
                  <wp:extent cx="6680200" cy="492521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s_files/figure-docx/fig-1-1.png"/>
                          <pic:cNvPicPr>
                            <a:picLocks noChangeAspect="1" noChangeArrowheads="1"/>
                          </pic:cNvPicPr>
                        </pic:nvPicPr>
                        <pic:blipFill>
                          <a:blip r:embed="rId7"/>
                          <a:stretch>
                            <a:fillRect/>
                          </a:stretch>
                        </pic:blipFill>
                        <pic:spPr bwMode="auto">
                          <a:xfrm>
                            <a:off x="0" y="0"/>
                            <a:ext cx="6680200" cy="4925214"/>
                          </a:xfrm>
                          <a:prstGeom prst="rect">
                            <a:avLst/>
                          </a:prstGeom>
                          <a:noFill/>
                          <a:ln w="9525">
                            <a:noFill/>
                            <a:headEnd/>
                            <a:tailEnd/>
                          </a:ln>
                        </pic:spPr>
                      </pic:pic>
                    </a:graphicData>
                  </a:graphic>
                </wp:inline>
              </w:drawing>
            </w:r>
          </w:p>
          <w:p w14:paraId="76FA33D7" w14:textId="77777777" w:rsidR="00A9620C" w:rsidRDefault="00000000">
            <w:pPr>
              <w:pStyle w:val="ImageCaption"/>
              <w:spacing w:before="200"/>
            </w:pPr>
            <w:r>
              <w:rPr>
                <w:b/>
                <w:bCs/>
              </w:rPr>
              <w:t>Fig</w:t>
            </w:r>
            <w:r>
              <w:t> 1</w:t>
            </w:r>
            <w:r>
              <w:rPr>
                <w:b/>
                <w:bCs/>
              </w:rPr>
              <w:t>-</w:t>
            </w:r>
            <w:r>
              <w:t xml:space="preserve"> Taxonomic distribution of acute and acclimation Q10 estimates across major habitats. </w:t>
            </w:r>
            <w:r>
              <w:rPr>
                <w:b/>
                <w:bCs/>
              </w:rPr>
              <w:t>A)</w:t>
            </w:r>
            <w:r>
              <w:t xml:space="preserve"> Phylogenetic distribution of taxa contained within the data. The total number of acute and acclimation type Q10 effect sizes are highlighted as well as whether the taxa is marine, freshwater or terrestrial. Silouettes are representative taxa of major clades within the tree. </w:t>
            </w:r>
            <w:r>
              <w:rPr>
                <w:b/>
                <w:bCs/>
              </w:rPr>
              <w:t>B)</w:t>
            </w:r>
            <w:r>
              <w:t xml:space="preserve"> Acute and Acclimation lnRR Q10 across marine, freshwater, and terrestrial environments. </w:t>
            </w:r>
            <w:r>
              <w:rPr>
                <w:b/>
                <w:bCs/>
              </w:rPr>
              <w:t>C)</w:t>
            </w:r>
            <w:r>
              <w:t xml:space="preserve"> lnCVR Q10 across traits for marine, freshwater and terrestrial systems. Note there were no differences between acute and acclimation Q10 types. k = total number of effect size estimates while the numbers in brackets indicate the number of species.</w:t>
            </w:r>
          </w:p>
        </w:tc>
        <w:bookmarkEnd w:id="25"/>
      </w:tr>
    </w:tbl>
    <w:p w14:paraId="5CE9CE4F" w14:textId="77777777" w:rsidR="00A9620C" w:rsidRDefault="00000000">
      <w:pPr>
        <w:pStyle w:val="BodyText"/>
      </w:pPr>
      <w:r>
        <w:t xml:space="preserve"> </w:t>
      </w:r>
    </w:p>
    <w:tbl>
      <w:tblPr>
        <w:tblStyle w:val="Table"/>
        <w:tblW w:w="5000" w:type="pct"/>
        <w:tblLook w:val="0000" w:firstRow="0" w:lastRow="0" w:firstColumn="0" w:lastColumn="0" w:noHBand="0" w:noVBand="0"/>
      </w:tblPr>
      <w:tblGrid>
        <w:gridCol w:w="10538"/>
      </w:tblGrid>
      <w:tr w:rsidR="00A9620C" w14:paraId="2639033B" w14:textId="77777777">
        <w:tc>
          <w:tcPr>
            <w:tcW w:w="0" w:type="auto"/>
          </w:tcPr>
          <w:p w14:paraId="109C9022" w14:textId="77777777" w:rsidR="00A9620C" w:rsidRDefault="00000000">
            <w:pPr>
              <w:pStyle w:val="Figure"/>
              <w:jc w:val="center"/>
            </w:pPr>
            <w:bookmarkStart w:id="26" w:name="fig-2"/>
            <w:r>
              <w:rPr>
                <w:noProof/>
              </w:rPr>
              <w:lastRenderedPageBreak/>
              <w:drawing>
                <wp:inline distT="0" distB="0" distL="0" distR="0" wp14:anchorId="4E9E9EEA" wp14:editId="364346CF">
                  <wp:extent cx="6680200" cy="166857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ms_files/figure-docx/fig-2-1.png"/>
                          <pic:cNvPicPr>
                            <a:picLocks noChangeAspect="1" noChangeArrowheads="1"/>
                          </pic:cNvPicPr>
                        </pic:nvPicPr>
                        <pic:blipFill>
                          <a:blip r:embed="rId8"/>
                          <a:stretch>
                            <a:fillRect/>
                          </a:stretch>
                        </pic:blipFill>
                        <pic:spPr bwMode="auto">
                          <a:xfrm>
                            <a:off x="0" y="0"/>
                            <a:ext cx="6680200" cy="1668575"/>
                          </a:xfrm>
                          <a:prstGeom prst="rect">
                            <a:avLst/>
                          </a:prstGeom>
                          <a:noFill/>
                          <a:ln w="9525">
                            <a:noFill/>
                            <a:headEnd/>
                            <a:tailEnd/>
                          </a:ln>
                        </pic:spPr>
                      </pic:pic>
                    </a:graphicData>
                  </a:graphic>
                </wp:inline>
              </w:drawing>
            </w:r>
          </w:p>
          <w:p w14:paraId="61521D40" w14:textId="77777777" w:rsidR="00A9620C" w:rsidRDefault="00000000">
            <w:pPr>
              <w:pStyle w:val="ImageCaption"/>
              <w:spacing w:before="200"/>
            </w:pPr>
            <w:r>
              <w:rPr>
                <w:b/>
                <w:bCs/>
              </w:rPr>
              <w:t>Fig</w:t>
            </w:r>
            <w:r>
              <w:t> 2</w:t>
            </w:r>
            <w:r>
              <w:rPr>
                <w:b/>
                <w:bCs/>
              </w:rPr>
              <w:t>-</w:t>
            </w:r>
            <w:r>
              <w:t xml:space="preserve"> Acute and Acclimation lnRR q10 across traits for A) marine, B) freshwater and C) terrestrial systems</w:t>
            </w:r>
          </w:p>
        </w:tc>
        <w:bookmarkEnd w:id="26"/>
      </w:tr>
    </w:tbl>
    <w:p w14:paraId="743DC63F" w14:textId="77777777" w:rsidR="00A9620C" w:rsidRDefault="00000000">
      <w:pPr>
        <w:pStyle w:val="Heading3"/>
      </w:pPr>
      <w:bookmarkStart w:id="27" w:name="X3393869c47f435e9cf00f18ea1403d82e4fa8de"/>
      <w:bookmarkEnd w:id="24"/>
      <w:r>
        <w:rPr>
          <w:i/>
          <w:iCs/>
        </w:rPr>
        <w:t>Does the opportunity for selection differ across terrestrial and aquatic ectotherms?</w:t>
      </w:r>
    </w:p>
    <w:p w14:paraId="00EB5A99" w14:textId="77777777" w:rsidR="00A9620C" w:rsidRDefault="00000000">
      <w:pPr>
        <w:pStyle w:val="Heading3"/>
      </w:pPr>
      <w:bookmarkStart w:id="28" w:name="Xc10ebb43a1744a2445867384f67c174e2ec2054"/>
      <w:bookmarkEnd w:id="27"/>
      <w:r>
        <w:rPr>
          <w:i/>
          <w:iCs/>
        </w:rPr>
        <w:t>Does climate variability predict acclimation capacity among aquatic and terrestrial ectotherms?</w:t>
      </w:r>
    </w:p>
    <w:p w14:paraId="5FFF4EDC" w14:textId="77777777" w:rsidR="00A9620C" w:rsidRDefault="00000000">
      <w:pPr>
        <w:pStyle w:val="Heading2"/>
      </w:pPr>
      <w:bookmarkStart w:id="29" w:name="discussion"/>
      <w:bookmarkEnd w:id="23"/>
      <w:bookmarkEnd w:id="28"/>
      <w:r>
        <w:t>Discussion</w:t>
      </w:r>
    </w:p>
    <w:p w14:paraId="60813F5D" w14:textId="77777777" w:rsidR="00A9620C" w:rsidRDefault="00000000">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 Einum &amp; Burton (2023)]. However, faster rates of acclimation would result in opposite patterns to those we observed – in other words, terrestrial species would be more likely to exhibit lower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compared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when controlling for acclimation time.</w:t>
      </w:r>
    </w:p>
    <w:p w14:paraId="5968B83D" w14:textId="77777777" w:rsidR="00A9620C" w:rsidRDefault="00000000">
      <w:pPr>
        <w:pStyle w:val="Heading2"/>
      </w:pPr>
      <w:bookmarkStart w:id="30" w:name="references"/>
      <w:bookmarkEnd w:id="29"/>
      <w:r>
        <w:t>References</w:t>
      </w:r>
    </w:p>
    <w:p w14:paraId="2170D3C1" w14:textId="77777777" w:rsidR="00A9620C" w:rsidRDefault="00A9620C">
      <w:pPr>
        <w:pStyle w:val="FirstParagraph"/>
      </w:pPr>
    </w:p>
    <w:p w14:paraId="0078538E" w14:textId="77777777" w:rsidR="00A9620C" w:rsidRDefault="00000000">
      <w:pPr>
        <w:pStyle w:val="Bibliography"/>
      </w:pPr>
      <w:bookmarkStart w:id="31" w:name="ref-Bulgarella2015-yl"/>
      <w:bookmarkStart w:id="32" w:name="refs"/>
      <w:r>
        <w:t xml:space="preserve">Bulgarella, M., Trewick, S.A., Godfrey, A.J.R., Sinclair, B.J. &amp; Morgan-Richards, M. (2015). Elevational variation in adult body size and growth rate but not in metabolic rate in the tree weta hemideina crassidens. </w:t>
      </w:r>
      <w:r>
        <w:rPr>
          <w:i/>
          <w:iCs/>
        </w:rPr>
        <w:t>J. Insect Physiol.</w:t>
      </w:r>
      <w:r>
        <w:t>, 75, 30–38.</w:t>
      </w:r>
    </w:p>
    <w:p w14:paraId="232A2A28" w14:textId="77777777" w:rsidR="00A9620C" w:rsidRDefault="00000000">
      <w:pPr>
        <w:pStyle w:val="Bibliography"/>
      </w:pPr>
      <w:bookmarkStart w:id="33" w:name="ref-Burkner2017-wg"/>
      <w:bookmarkEnd w:id="31"/>
      <w:r>
        <w:t xml:space="preserve">Bürkner, P.-C. (2017). Brms: An R package for bayesian multilevel models using stan. </w:t>
      </w:r>
      <w:r>
        <w:rPr>
          <w:i/>
          <w:iCs/>
        </w:rPr>
        <w:t>J. Stat. Softw.</w:t>
      </w:r>
      <w:r>
        <w:t>, 80, 1–28., doi:10.18637/jss.v080.i01.</w:t>
      </w:r>
    </w:p>
    <w:p w14:paraId="23A00385" w14:textId="77777777" w:rsidR="00A9620C" w:rsidRDefault="00000000">
      <w:pPr>
        <w:pStyle w:val="Bibliography"/>
      </w:pPr>
      <w:bookmarkStart w:id="34" w:name="ref-Burkner2018-ur"/>
      <w:bookmarkEnd w:id="33"/>
      <w:r>
        <w:t xml:space="preserve">Bürkner, P.-C. (2018). Advanced bayesian multilevel modeling with the R package brms. </w:t>
      </w:r>
      <w:r>
        <w:rPr>
          <w:i/>
          <w:iCs/>
        </w:rPr>
        <w:t>R J.</w:t>
      </w:r>
      <w:r>
        <w:t>, 10, 395–411.</w:t>
      </w:r>
    </w:p>
    <w:p w14:paraId="4CB3D321" w14:textId="77777777" w:rsidR="00A9620C" w:rsidRDefault="00000000">
      <w:pPr>
        <w:pStyle w:val="Bibliography"/>
      </w:pPr>
      <w:bookmarkStart w:id="35" w:name="ref-Einum2023-lz"/>
      <w:bookmarkEnd w:id="34"/>
      <w:r>
        <w:t xml:space="preserve">Einum, S. &amp; Burton, T. (2023). Divergence in rates of phenotypic plasticty among ectotherms. </w:t>
      </w:r>
      <w:r>
        <w:rPr>
          <w:i/>
          <w:iCs/>
        </w:rPr>
        <w:t>Ecol. Lett.</w:t>
      </w:r>
      <w:r>
        <w:t>, 26, 147–156.</w:t>
      </w:r>
    </w:p>
    <w:p w14:paraId="29B777F6" w14:textId="77777777" w:rsidR="00A9620C" w:rsidRDefault="00000000">
      <w:pPr>
        <w:pStyle w:val="Bibliography"/>
      </w:pPr>
      <w:bookmarkStart w:id="36" w:name="ref-Grafen1989-pr"/>
      <w:bookmarkEnd w:id="35"/>
      <w:r>
        <w:t xml:space="preserve">Grafen, A. (1989). The phylogenetic regression. </w:t>
      </w:r>
      <w:r>
        <w:rPr>
          <w:i/>
          <w:iCs/>
        </w:rPr>
        <w:t>Philos. Trans. R. Soc. Lond. B Biol. Sci.</w:t>
      </w:r>
      <w:r>
        <w:t>, 326, 119–157.</w:t>
      </w:r>
    </w:p>
    <w:p w14:paraId="7E81E7CA" w14:textId="77777777" w:rsidR="00A9620C" w:rsidRDefault="00000000">
      <w:pPr>
        <w:pStyle w:val="Bibliography"/>
      </w:pPr>
      <w:bookmarkStart w:id="37" w:name="ref-Gunderson2015-hz"/>
      <w:bookmarkEnd w:id="36"/>
      <w:r>
        <w:t xml:space="preserve">Gunderson, A.R. &amp; Stillman, J.H. (2015). Plasticity in thermal tolerance has limited potential to buffer ectotherms from global warming. </w:t>
      </w:r>
      <w:r>
        <w:rPr>
          <w:i/>
          <w:iCs/>
        </w:rPr>
        <w:t>Proceedings of the Royal Society B: Biological Sciences</w:t>
      </w:r>
      <w:r>
        <w:t>, 282, 20150401.</w:t>
      </w:r>
    </w:p>
    <w:p w14:paraId="58A61EE7" w14:textId="77777777" w:rsidR="00A9620C" w:rsidRDefault="00000000">
      <w:pPr>
        <w:pStyle w:val="Bibliography"/>
      </w:pPr>
      <w:bookmarkStart w:id="38" w:name="ref-Havird2020-mj"/>
      <w:bookmarkEnd w:id="37"/>
      <w:r>
        <w:t xml:space="preserve">Havird, J.C., Neuwald, J.L., Shah, A.A., Mauro, A., Marshall, C.A. &amp; Ghalambor, C.K. (2020). Distinguishing between active plasticity due to thermal acclimation and passive plasticity due to Q10 effects: Why methodology matters. </w:t>
      </w:r>
      <w:r>
        <w:rPr>
          <w:i/>
          <w:iCs/>
        </w:rPr>
        <w:t>Funct. Ecol.</w:t>
      </w:r>
      <w:r>
        <w:t>, 0, 1–14.</w:t>
      </w:r>
    </w:p>
    <w:p w14:paraId="77FC5AC2" w14:textId="77777777" w:rsidR="00A9620C" w:rsidRDefault="00000000">
      <w:pPr>
        <w:pStyle w:val="Bibliography"/>
      </w:pPr>
      <w:bookmarkStart w:id="39" w:name="ref-Hedges1999-de"/>
      <w:bookmarkEnd w:id="38"/>
      <w:r>
        <w:lastRenderedPageBreak/>
        <w:t xml:space="preserve">Hedges, L.V., Gurevitch, J. &amp; Curtis, P.S. (1999). The meta-analysis of response ratios in experimental ecology. </w:t>
      </w:r>
      <w:r>
        <w:rPr>
          <w:i/>
          <w:iCs/>
        </w:rPr>
        <w:t>Ecology</w:t>
      </w:r>
      <w:r>
        <w:t>, 80, 1150–1156.</w:t>
      </w:r>
    </w:p>
    <w:p w14:paraId="2732B253" w14:textId="77777777" w:rsidR="00A9620C" w:rsidRDefault="00000000">
      <w:pPr>
        <w:pStyle w:val="Bibliography"/>
      </w:pPr>
      <w:bookmarkStart w:id="40" w:name="ref-Hersbach2020-hx"/>
      <w:bookmarkEnd w:id="39"/>
      <w:r>
        <w:t xml:space="preserve">Hersbach, H., Bell, B., Berrisford, P., Hirahara, S., Horányi, A., Muñoz-Sabater, J., </w:t>
      </w:r>
      <w:r>
        <w:rPr>
          <w:i/>
          <w:iCs/>
        </w:rPr>
        <w:t>et al.</w:t>
      </w:r>
      <w:r>
        <w:t xml:space="preserve"> (2020). The ERA5 global reanalysis. </w:t>
      </w:r>
      <w:r>
        <w:rPr>
          <w:i/>
          <w:iCs/>
        </w:rPr>
        <w:t>Quart. J. Roy. Meteor. Soc.</w:t>
      </w:r>
      <w:r>
        <w:t>, 146, 1999–2049.</w:t>
      </w:r>
    </w:p>
    <w:p w14:paraId="5EEFD8B7" w14:textId="77777777" w:rsidR="00A9620C" w:rsidRDefault="00000000">
      <w:pPr>
        <w:pStyle w:val="Bibliography"/>
      </w:pPr>
      <w:bookmarkStart w:id="41" w:name="ref-Lajeunesse2011-fq"/>
      <w:bookmarkEnd w:id="40"/>
      <w:r>
        <w:t xml:space="preserve">Lajeunesse, M.J. (2011). On the meta-analysis of response ratios for studies with correlated and multi-group designs. </w:t>
      </w:r>
      <w:r>
        <w:rPr>
          <w:i/>
          <w:iCs/>
        </w:rPr>
        <w:t>Ecology</w:t>
      </w:r>
      <w:r>
        <w:t>, 92, 2049–2055.</w:t>
      </w:r>
    </w:p>
    <w:p w14:paraId="3259D805" w14:textId="77777777" w:rsidR="00A9620C" w:rsidRDefault="00000000">
      <w:pPr>
        <w:pStyle w:val="Bibliography"/>
      </w:pPr>
      <w:bookmarkStart w:id="42" w:name="ref-Michonneau2016-if"/>
      <w:bookmarkEnd w:id="41"/>
      <w:r>
        <w:t xml:space="preserve">Michonneau, F., Brown, J.W. &amp; Winter, D.J. (2016). Rotl: An R package to interact with the open tree of life data. </w:t>
      </w:r>
      <w:r>
        <w:rPr>
          <w:i/>
          <w:iCs/>
        </w:rPr>
        <w:t>Methods Ecol. Evol.</w:t>
      </w:r>
      <w:r>
        <w:t>, 7, 1476-1481. doi:10.1111/2041-210X.12593.</w:t>
      </w:r>
    </w:p>
    <w:p w14:paraId="3BC1151A" w14:textId="77777777" w:rsidR="00A9620C" w:rsidRDefault="00000000">
      <w:pPr>
        <w:pStyle w:val="Bibliography"/>
      </w:pPr>
      <w:bookmarkStart w:id="43" w:name="ref-Nakagawa2021-ls"/>
      <w:bookmarkEnd w:id="42"/>
      <w:r>
        <w:t xml:space="preserve">Nakagawa, S., Lagisz, M., O’Dea, R.E., Rutkowska, J., Yang, Y., Noble, D.W.A., </w:t>
      </w:r>
      <w:r>
        <w:rPr>
          <w:i/>
          <w:iCs/>
        </w:rPr>
        <w:t>et al.</w:t>
      </w:r>
      <w:r>
        <w:t xml:space="preserve"> (2021a). The orchard plot: Cultivating forest plots for use in ecology, evolution and beyond. </w:t>
      </w:r>
      <w:r>
        <w:rPr>
          <w:i/>
          <w:iCs/>
        </w:rPr>
        <w:t>Research Synthesis Methods</w:t>
      </w:r>
      <w:r>
        <w:t>, 12, 4–12.</w:t>
      </w:r>
    </w:p>
    <w:p w14:paraId="795365C0" w14:textId="77777777" w:rsidR="00A9620C" w:rsidRDefault="00000000">
      <w:pPr>
        <w:pStyle w:val="Bibliography"/>
      </w:pPr>
      <w:bookmarkStart w:id="44" w:name="ref-Nakagawa2015-fo"/>
      <w:bookmarkEnd w:id="43"/>
      <w:r>
        <w:t xml:space="preserve">Nakagawa, S., Poulin, R., Mengersen, K., Reinhold, K., Engqvist, L., Lagisz, M., </w:t>
      </w:r>
      <w:r>
        <w:rPr>
          <w:i/>
          <w:iCs/>
        </w:rPr>
        <w:t>et al.</w:t>
      </w:r>
      <w:r>
        <w:t xml:space="preserve"> (2015). Meta-analysis of variation: Ecological and evolutionary applications and beyond. </w:t>
      </w:r>
      <w:r>
        <w:rPr>
          <w:i/>
          <w:iCs/>
        </w:rPr>
        <w:t>Methods Ecol. Evol.</w:t>
      </w:r>
      <w:r>
        <w:t>, 6, 143–152.</w:t>
      </w:r>
    </w:p>
    <w:p w14:paraId="0F7378C1" w14:textId="77777777" w:rsidR="00A9620C" w:rsidRDefault="00000000">
      <w:pPr>
        <w:pStyle w:val="Bibliography"/>
      </w:pPr>
      <w:bookmarkStart w:id="45" w:name="ref-Nakagawa2012-oc"/>
      <w:bookmarkEnd w:id="44"/>
      <w:r>
        <w:t xml:space="preserve">Nakagawa, S. &amp; Santos, E.S.A. (2012). Methodological issues and advances in biological meta-analysis. </w:t>
      </w:r>
      <w:r>
        <w:rPr>
          <w:i/>
          <w:iCs/>
        </w:rPr>
        <w:t>Evol. Ecol.</w:t>
      </w:r>
      <w:r>
        <w:t>, 26, 1253–1274.</w:t>
      </w:r>
    </w:p>
    <w:p w14:paraId="5BEC3D48" w14:textId="77777777" w:rsidR="00A9620C" w:rsidRDefault="00000000">
      <w:pPr>
        <w:pStyle w:val="Bibliography"/>
      </w:pPr>
      <w:bookmarkStart w:id="46" w:name="ref-Nakagawa2021-uf"/>
      <w:bookmarkEnd w:id="45"/>
      <w:r>
        <w:t xml:space="preserve">Nakagawa, S., Senior, A.M., Viechtbauer, W. &amp; Noble, D.W.A. (2021b). An assessment of statistical methods for non-independent data in ecological meta-analyses: comment. </w:t>
      </w:r>
      <w:r>
        <w:rPr>
          <w:i/>
          <w:iCs/>
        </w:rPr>
        <w:t>Ecology</w:t>
      </w:r>
      <w:r>
        <w:t>, in press., https://doi.org/10.1002/ecy.3490.</w:t>
      </w:r>
    </w:p>
    <w:p w14:paraId="10F7E3B4" w14:textId="77777777" w:rsidR="00A9620C" w:rsidRDefault="00000000">
      <w:pPr>
        <w:pStyle w:val="Bibliography"/>
      </w:pPr>
      <w:bookmarkStart w:id="47" w:name="ref-Noble2022-ty"/>
      <w:bookmarkEnd w:id="46"/>
      <w:r>
        <w:t xml:space="preserve">Noble, D.W.A., Pottier, P., Lagisz, M., Burke, S., Drobniak, S.M., O’Dea, R.E., </w:t>
      </w:r>
      <w:r>
        <w:rPr>
          <w:i/>
          <w:iCs/>
        </w:rPr>
        <w:t>et al.</w:t>
      </w:r>
      <w:r>
        <w:t xml:space="preserve"> (2022). Meta-analytic approaches and effect sizes to account for “nuisance heterogeneity” in comparative physiology. </w:t>
      </w:r>
      <w:r>
        <w:rPr>
          <w:i/>
          <w:iCs/>
        </w:rPr>
        <w:t>J. Exp. Biol.</w:t>
      </w:r>
      <w:r>
        <w:t>, 225, jeb243225.</w:t>
      </w:r>
    </w:p>
    <w:p w14:paraId="10E71D20" w14:textId="77777777" w:rsidR="00A9620C" w:rsidRDefault="00000000">
      <w:pPr>
        <w:pStyle w:val="Bibliography"/>
      </w:pPr>
      <w:bookmarkStart w:id="48" w:name="ref-Ouzzani2016-ge"/>
      <w:bookmarkEnd w:id="47"/>
      <w:r>
        <w:t xml:space="preserve">Ouzzani, M., Hammady, H., Fedorowicz, Z. &amp; Elmagarmid, A. (2016). Rayyan—a web and mobile app for systematic reviews. </w:t>
      </w:r>
      <w:r>
        <w:rPr>
          <w:i/>
          <w:iCs/>
        </w:rPr>
        <w:t>Syst. Rev.</w:t>
      </w:r>
      <w:r>
        <w:t>, 5, 210–220.</w:t>
      </w:r>
    </w:p>
    <w:p w14:paraId="0D5518F7" w14:textId="77777777" w:rsidR="00A9620C" w:rsidRDefault="00000000">
      <w:pPr>
        <w:pStyle w:val="Bibliography"/>
      </w:pPr>
      <w:bookmarkStart w:id="49" w:name="ref-Paradis2019-gx"/>
      <w:bookmarkEnd w:id="48"/>
      <w:r>
        <w:t xml:space="preserve">Paradis, E. &amp; Schliep, K. (2019). Ape 5.0: An environment for modern phylogenetics and evolutionary analyses in R. </w:t>
      </w:r>
      <w:r>
        <w:rPr>
          <w:i/>
          <w:iCs/>
        </w:rPr>
        <w:t>Bioinformatics</w:t>
      </w:r>
      <w:r>
        <w:t>, 35, 526–528.</w:t>
      </w:r>
    </w:p>
    <w:p w14:paraId="14AB6206" w14:textId="77777777" w:rsidR="00A9620C" w:rsidRDefault="00000000">
      <w:pPr>
        <w:pStyle w:val="Bibliography"/>
      </w:pPr>
      <w:bookmarkStart w:id="50" w:name="ref-Pick2019-mg"/>
      <w:bookmarkEnd w:id="49"/>
      <w:r>
        <w:t xml:space="preserve">Pick, J.L., Nakagawa, S. &amp; Noble, D.W.A. (2019). Reproducible, flexible and high throughput data extraction from primary literature: The metaDigitise R package. </w:t>
      </w:r>
      <w:r>
        <w:rPr>
          <w:i/>
          <w:iCs/>
        </w:rPr>
        <w:t>Methods Ecol. Evol.</w:t>
      </w:r>
      <w:r>
        <w:t>, 10, 426–431.</w:t>
      </w:r>
    </w:p>
    <w:p w14:paraId="0DDC2CB1" w14:textId="77777777" w:rsidR="00A9620C" w:rsidRDefault="00000000">
      <w:pPr>
        <w:pStyle w:val="Bibliography"/>
      </w:pPr>
      <w:bookmarkStart w:id="51" w:name="ref-Pierce2021"/>
      <w:bookmarkEnd w:id="50"/>
      <w:r>
        <w:t xml:space="preserve">Pierce, D. (2021). </w:t>
      </w:r>
      <w:hyperlink r:id="rId9">
        <w:r>
          <w:rPr>
            <w:rStyle w:val="Hyperlink"/>
          </w:rPr>
          <w:t>ncdf4: Interface to unidata netCDF (version 4 or earlier) format data files</w:t>
        </w:r>
      </w:hyperlink>
      <w:r>
        <w:t>.</w:t>
      </w:r>
    </w:p>
    <w:p w14:paraId="52AB31BB" w14:textId="77777777" w:rsidR="00A9620C" w:rsidRDefault="00000000">
      <w:pPr>
        <w:pStyle w:val="Bibliography"/>
      </w:pPr>
      <w:bookmarkStart w:id="52" w:name="ref-Pinsky2019-fn"/>
      <w:bookmarkEnd w:id="51"/>
      <w:r>
        <w:t xml:space="preserve">Pinsky, M.L., Eikeset, A.M., McCauley, D.J., Payne, J.L. &amp; Sunday, J.M. (2019). Greater vulnerability to warming of marine versus terrestrial ectotherms. </w:t>
      </w:r>
      <w:r>
        <w:rPr>
          <w:i/>
          <w:iCs/>
        </w:rPr>
        <w:t>Nature</w:t>
      </w:r>
      <w:r>
        <w:t>, 569, 108–111.</w:t>
      </w:r>
    </w:p>
    <w:p w14:paraId="0C9FABF4" w14:textId="77777777" w:rsidR="00A9620C" w:rsidRDefault="00000000">
      <w:pPr>
        <w:pStyle w:val="Bibliography"/>
      </w:pPr>
      <w:bookmarkStart w:id="53" w:name="ref-Revell2012-vq"/>
      <w:bookmarkEnd w:id="52"/>
      <w:r>
        <w:t xml:space="preserve">Revell, L.J. (2012). Phytools: An R package for phylogenetic comparative biology (and other things). </w:t>
      </w:r>
      <w:r>
        <w:rPr>
          <w:i/>
          <w:iCs/>
        </w:rPr>
        <w:t>Methods Ecol. Evol.</w:t>
      </w:r>
      <w:r>
        <w:t>, 3, 217–223.</w:t>
      </w:r>
    </w:p>
    <w:p w14:paraId="64945B06" w14:textId="77777777" w:rsidR="00A9620C" w:rsidRDefault="00000000">
      <w:pPr>
        <w:pStyle w:val="Bibliography"/>
      </w:pPr>
      <w:bookmarkStart w:id="54" w:name="ref-Seebacher2015-wi"/>
      <w:bookmarkEnd w:id="53"/>
      <w:r>
        <w:t xml:space="preserve">Seebacher, F., White, C.R. &amp; Franklin, C.E. (2015). Physiological plasticity increases resilience of ectothermic animals to climate change. </w:t>
      </w:r>
      <w:r>
        <w:rPr>
          <w:i/>
          <w:iCs/>
        </w:rPr>
        <w:t>Nat. Clim. Chang.</w:t>
      </w:r>
      <w:r>
        <w:t>, 5, 61.</w:t>
      </w:r>
    </w:p>
    <w:p w14:paraId="2A74D58A" w14:textId="77777777" w:rsidR="00A9620C" w:rsidRDefault="00000000">
      <w:pPr>
        <w:pStyle w:val="Bibliography"/>
      </w:pPr>
      <w:bookmarkStart w:id="55" w:name="ref-Song2021-ba"/>
      <w:bookmarkEnd w:id="54"/>
      <w:r>
        <w:t xml:space="preserve">Song, C., Peacor, S.D., Osenberg, C.W. &amp; Bence, J.R. (2021). An assessment of statistical methods for nonindependent data in ecological meta-analyses. </w:t>
      </w:r>
      <w:r>
        <w:rPr>
          <w:i/>
          <w:iCs/>
        </w:rPr>
        <w:t>Ecology</w:t>
      </w:r>
      <w:r>
        <w:t>, e03184.</w:t>
      </w:r>
    </w:p>
    <w:p w14:paraId="5F30D93C" w14:textId="77777777" w:rsidR="00A9620C" w:rsidRDefault="00000000">
      <w:pPr>
        <w:pStyle w:val="Bibliography"/>
      </w:pPr>
      <w:bookmarkStart w:id="56" w:name="ref-noauthor_2021-az"/>
      <w:bookmarkEnd w:id="55"/>
      <w:r>
        <w:t xml:space="preserve">Stan development team. RStan: The R interface to stan. (2021). </w:t>
      </w:r>
      <w:r>
        <w:rPr>
          <w:i/>
          <w:iCs/>
        </w:rPr>
        <w:t>R package version 2. 21. 3. https://mc-stan. org/.</w:t>
      </w:r>
    </w:p>
    <w:p w14:paraId="700AC549" w14:textId="77777777" w:rsidR="00A9620C" w:rsidRDefault="00000000">
      <w:pPr>
        <w:pStyle w:val="Bibliography"/>
      </w:pPr>
      <w:bookmarkStart w:id="57" w:name="ref-Viechtbauer2010-fn"/>
      <w:bookmarkEnd w:id="56"/>
      <w:r>
        <w:lastRenderedPageBreak/>
        <w:t xml:space="preserve">Viechtbauer, W. (2010). Conducting meta-analyses in R with the metafor package. </w:t>
      </w:r>
      <w:r>
        <w:rPr>
          <w:i/>
          <w:iCs/>
        </w:rPr>
        <w:t>J. Stat. Softw.</w:t>
      </w:r>
      <w:r>
        <w:t>, 36, 1–48. URL: https://www.jstatsoft.org/v36/i03/.</w:t>
      </w:r>
    </w:p>
    <w:p w14:paraId="683F7056" w14:textId="77777777" w:rsidR="00A9620C" w:rsidRDefault="00000000">
      <w:pPr>
        <w:pStyle w:val="Bibliography"/>
      </w:pPr>
      <w:bookmarkStart w:id="58" w:name="ref-Yu2017-wj"/>
      <w:bookmarkEnd w:id="57"/>
      <w:r>
        <w:t xml:space="preserve">Yu, G., Smith, D., Zhu, H., Guan, Y. &amp; Lam, T.T.-Y. (2017). Ggtree: An R package for visualization and annotation of phylogenetic trees with their covariates and other associated data. </w:t>
      </w:r>
      <w:r>
        <w:rPr>
          <w:i/>
          <w:iCs/>
        </w:rPr>
        <w:t>Methods Ecol. Evol.</w:t>
      </w:r>
      <w:r>
        <w:t>, 8, 28–36, doi:10.1111/2041–210X.12628.</w:t>
      </w:r>
    </w:p>
    <w:bookmarkEnd w:id="32"/>
    <w:bookmarkEnd w:id="58"/>
    <w:p w14:paraId="64C585F5" w14:textId="77777777" w:rsidR="00A9620C" w:rsidRDefault="00A9620C">
      <w:pPr>
        <w:pStyle w:val="BodyText"/>
      </w:pPr>
    </w:p>
    <w:p w14:paraId="08B0E55E" w14:textId="77777777" w:rsidR="00A9620C" w:rsidRDefault="00000000">
      <w:pPr>
        <w:pStyle w:val="Heading2"/>
      </w:pPr>
      <w:bookmarkStart w:id="59" w:name="supplemental-results-and-figures"/>
      <w:bookmarkEnd w:id="30"/>
      <w:r>
        <w:t>Supplemental Results and Figures</w:t>
      </w:r>
    </w:p>
    <w:tbl>
      <w:tblPr>
        <w:tblStyle w:val="Table"/>
        <w:tblW w:w="5000" w:type="pct"/>
        <w:tblLook w:val="0000" w:firstRow="0" w:lastRow="0" w:firstColumn="0" w:lastColumn="0" w:noHBand="0" w:noVBand="0"/>
      </w:tblPr>
      <w:tblGrid>
        <w:gridCol w:w="10538"/>
      </w:tblGrid>
      <w:tr w:rsidR="00A9620C" w14:paraId="121D1E5A" w14:textId="77777777">
        <w:tc>
          <w:tcPr>
            <w:tcW w:w="0" w:type="auto"/>
          </w:tcPr>
          <w:p w14:paraId="055C0711" w14:textId="77777777" w:rsidR="00A9620C" w:rsidRDefault="00000000">
            <w:pPr>
              <w:pStyle w:val="Figure"/>
              <w:jc w:val="center"/>
            </w:pPr>
            <w:r>
              <w:rPr>
                <w:noProof/>
              </w:rPr>
              <w:drawing>
                <wp:inline distT="0" distB="0" distL="0" distR="0" wp14:anchorId="4E0037D5" wp14:editId="796ACEE7">
                  <wp:extent cx="6096000" cy="48768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ms_files/figure-docx/fig4-1.png"/>
                          <pic:cNvPicPr>
                            <a:picLocks noChangeAspect="1" noChangeArrowheads="1"/>
                          </pic:cNvPicPr>
                        </pic:nvPicPr>
                        <pic:blipFill>
                          <a:blip r:embed="rId10"/>
                          <a:stretch>
                            <a:fillRect/>
                          </a:stretch>
                        </pic:blipFill>
                        <pic:spPr bwMode="auto">
                          <a:xfrm>
                            <a:off x="0" y="0"/>
                            <a:ext cx="6096000" cy="4876800"/>
                          </a:xfrm>
                          <a:prstGeom prst="rect">
                            <a:avLst/>
                          </a:prstGeom>
                          <a:noFill/>
                          <a:ln w="9525">
                            <a:noFill/>
                            <a:headEnd/>
                            <a:tailEnd/>
                          </a:ln>
                        </pic:spPr>
                      </pic:pic>
                    </a:graphicData>
                  </a:graphic>
                </wp:inline>
              </w:drawing>
            </w:r>
          </w:p>
          <w:p w14:paraId="3687C854" w14:textId="77777777" w:rsidR="00A9620C" w:rsidRDefault="00000000">
            <w:pPr>
              <w:pStyle w:val="ImageCaption"/>
              <w:spacing w:before="200"/>
            </w:pPr>
            <w:r>
              <w:t>I2 estimates</w:t>
            </w:r>
          </w:p>
        </w:tc>
      </w:tr>
    </w:tbl>
    <w:p w14:paraId="02222263" w14:textId="77777777" w:rsidR="00A9620C" w:rsidRDefault="00000000">
      <w:pPr>
        <w:pStyle w:val="BodyText"/>
      </w:pPr>
      <w:r>
        <w:t xml:space="preserve"> </w:t>
      </w:r>
    </w:p>
    <w:tbl>
      <w:tblPr>
        <w:tblStyle w:val="Table"/>
        <w:tblW w:w="5000" w:type="pct"/>
        <w:tblLook w:val="0000" w:firstRow="0" w:lastRow="0" w:firstColumn="0" w:lastColumn="0" w:noHBand="0" w:noVBand="0"/>
      </w:tblPr>
      <w:tblGrid>
        <w:gridCol w:w="10538"/>
      </w:tblGrid>
      <w:tr w:rsidR="00A9620C" w14:paraId="72053296" w14:textId="77777777">
        <w:tc>
          <w:tcPr>
            <w:tcW w:w="0" w:type="auto"/>
          </w:tcPr>
          <w:p w14:paraId="728DF293" w14:textId="77777777" w:rsidR="00A9620C" w:rsidRDefault="00000000">
            <w:pPr>
              <w:pStyle w:val="Figure"/>
              <w:jc w:val="center"/>
            </w:pPr>
            <w:r>
              <w:rPr>
                <w:noProof/>
              </w:rPr>
              <w:lastRenderedPageBreak/>
              <w:drawing>
                <wp:inline distT="0" distB="0" distL="0" distR="0" wp14:anchorId="11905CAC" wp14:editId="6A3FE38F">
                  <wp:extent cx="6096000" cy="48768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ms_files/figure-docx/fig5-1.png"/>
                          <pic:cNvPicPr>
                            <a:picLocks noChangeAspect="1" noChangeArrowheads="1"/>
                          </pic:cNvPicPr>
                        </pic:nvPicPr>
                        <pic:blipFill>
                          <a:blip r:embed="rId11"/>
                          <a:stretch>
                            <a:fillRect/>
                          </a:stretch>
                        </pic:blipFill>
                        <pic:spPr bwMode="auto">
                          <a:xfrm>
                            <a:off x="0" y="0"/>
                            <a:ext cx="6096000" cy="4876800"/>
                          </a:xfrm>
                          <a:prstGeom prst="rect">
                            <a:avLst/>
                          </a:prstGeom>
                          <a:noFill/>
                          <a:ln w="9525">
                            <a:noFill/>
                            <a:headEnd/>
                            <a:tailEnd/>
                          </a:ln>
                        </pic:spPr>
                      </pic:pic>
                    </a:graphicData>
                  </a:graphic>
                </wp:inline>
              </w:drawing>
            </w:r>
          </w:p>
          <w:p w14:paraId="4A9FDD9A" w14:textId="77777777" w:rsidR="00A9620C" w:rsidRDefault="00000000">
            <w:pPr>
              <w:pStyle w:val="ImageCaption"/>
              <w:spacing w:before="200"/>
            </w:pPr>
            <w:r>
              <w:t>I2 estimates lnCVR</w:t>
            </w:r>
          </w:p>
        </w:tc>
      </w:tr>
      <w:bookmarkEnd w:id="59"/>
    </w:tbl>
    <w:p w14:paraId="4C7295EF" w14:textId="77777777" w:rsidR="00223086" w:rsidRDefault="00223086"/>
    <w:sectPr w:rsidR="00223086" w:rsidSect="00DF7D6E">
      <w:pgSz w:w="12240" w:h="15840"/>
      <w:pgMar w:top="851" w:right="851"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800F1" w14:textId="77777777" w:rsidR="00223086" w:rsidRDefault="00223086">
      <w:pPr>
        <w:spacing w:after="0"/>
      </w:pPr>
      <w:r>
        <w:separator/>
      </w:r>
    </w:p>
  </w:endnote>
  <w:endnote w:type="continuationSeparator" w:id="0">
    <w:p w14:paraId="5F0C6AF0" w14:textId="77777777" w:rsidR="00223086" w:rsidRDefault="002230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6652" w14:textId="77777777" w:rsidR="00223086" w:rsidRDefault="00223086">
      <w:r>
        <w:separator/>
      </w:r>
    </w:p>
  </w:footnote>
  <w:footnote w:type="continuationSeparator" w:id="0">
    <w:p w14:paraId="2F90F61C" w14:textId="77777777" w:rsidR="00223086" w:rsidRDefault="00223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032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988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A42DB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ECE64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A236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5A69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0C7A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B80C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47D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C65B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1704B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A7F01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F2A58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23309980">
    <w:abstractNumId w:val="11"/>
  </w:num>
  <w:num w:numId="2" w16cid:durableId="1282882070">
    <w:abstractNumId w:val="11"/>
  </w:num>
  <w:num w:numId="3" w16cid:durableId="1172599916">
    <w:abstractNumId w:val="12"/>
  </w:num>
  <w:num w:numId="4" w16cid:durableId="1596982598">
    <w:abstractNumId w:val="0"/>
  </w:num>
  <w:num w:numId="5" w16cid:durableId="340819348">
    <w:abstractNumId w:val="1"/>
  </w:num>
  <w:num w:numId="6" w16cid:durableId="840313352">
    <w:abstractNumId w:val="2"/>
  </w:num>
  <w:num w:numId="7" w16cid:durableId="982465735">
    <w:abstractNumId w:val="3"/>
  </w:num>
  <w:num w:numId="8" w16cid:durableId="1976372737">
    <w:abstractNumId w:val="8"/>
  </w:num>
  <w:num w:numId="9" w16cid:durableId="143863577">
    <w:abstractNumId w:val="4"/>
  </w:num>
  <w:num w:numId="10" w16cid:durableId="933174805">
    <w:abstractNumId w:val="5"/>
  </w:num>
  <w:num w:numId="11" w16cid:durableId="213470915">
    <w:abstractNumId w:val="6"/>
  </w:num>
  <w:num w:numId="12" w16cid:durableId="1229265008">
    <w:abstractNumId w:val="7"/>
  </w:num>
  <w:num w:numId="13" w16cid:durableId="489179725">
    <w:abstractNumId w:val="9"/>
  </w:num>
  <w:num w:numId="14" w16cid:durableId="576476009">
    <w:abstractNumId w:val="12"/>
  </w:num>
  <w:num w:numId="15" w16cid:durableId="1146313701">
    <w:abstractNumId w:val="12"/>
  </w:num>
  <w:num w:numId="16" w16cid:durableId="5254960">
    <w:abstractNumId w:val="10"/>
  </w:num>
  <w:num w:numId="17" w16cid:durableId="3830675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20C"/>
    <w:rsid w:val="00223086"/>
    <w:rsid w:val="00A9620C"/>
    <w:rsid w:val="00BB46C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D787E8"/>
  <w15:docId w15:val="{68076FF0-FE56-B04A-91E2-1FC095125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F610CE"/>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F610CE"/>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94721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415C6"/>
    <w:pPr>
      <w:spacing w:before="180" w:after="180"/>
    </w:pPr>
    <w:rPr>
      <w:rFonts w:ascii="Times New Roman" w:hAnsi="Times New Roman"/>
    </w:rPr>
  </w:style>
  <w:style w:type="paragraph" w:customStyle="1" w:styleId="FirstParagraph">
    <w:name w:val="First Paragraph"/>
    <w:basedOn w:val="BodyText"/>
    <w:next w:val="BodyText"/>
    <w:qFormat/>
    <w:rsid w:val="00F610CE"/>
  </w:style>
  <w:style w:type="paragraph" w:customStyle="1" w:styleId="Compact">
    <w:name w:val="Compact"/>
    <w:basedOn w:val="BodyText"/>
    <w:qFormat/>
    <w:pPr>
      <w:spacing w:before="36" w:after="36"/>
    </w:pPr>
  </w:style>
  <w:style w:type="paragraph" w:styleId="Title">
    <w:name w:val="Title"/>
    <w:basedOn w:val="Normal"/>
    <w:next w:val="BodyText"/>
    <w:qFormat/>
    <w:rsid w:val="00F610CE"/>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610CE"/>
    <w:pPr>
      <w:keepNext/>
      <w:keepLines/>
      <w:jc w:val="center"/>
    </w:pPr>
    <w:rPr>
      <w:rFonts w:ascii="Times New Roman" w:hAnsi="Times New Roman"/>
    </w:rPr>
  </w:style>
  <w:style w:type="paragraph" w:styleId="Date">
    <w:name w:val="Date"/>
    <w:next w:val="BodyText"/>
    <w:qFormat/>
    <w:rsid w:val="00F610CE"/>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53A3A"/>
    <w:pPr>
      <w:ind w:left="227" w:hanging="227"/>
    </w:pPr>
    <w:rPr>
      <w:rFonts w:ascii="Times New Roman" w:hAnsi="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BB46C2"/>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F610CE"/>
    <w:rPr>
      <w:rFonts w:ascii="Times New Roman" w:hAnsi="Times New Roman"/>
      <w:color w:val="000000" w:themeColor="text1"/>
    </w:rPr>
  </w:style>
  <w:style w:type="paragraph" w:styleId="TOCHeading">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val="000000" w:themeColor="tex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B76D52"/>
    <w:pPr>
      <w:spacing w:after="100"/>
      <w:ind w:left="240"/>
    </w:pPr>
  </w:style>
  <w:style w:type="paragraph" w:styleId="TOC3">
    <w:name w:val="toc 3"/>
    <w:basedOn w:val="Normal"/>
    <w:next w:val="Normal"/>
    <w:autoRedefine/>
    <w:uiPriority w:val="39"/>
    <w:unhideWhenUsed/>
    <w:rsid w:val="00B76D52"/>
    <w:pPr>
      <w:spacing w:after="100"/>
      <w:ind w:left="480"/>
    </w:pPr>
  </w:style>
  <w:style w:type="character" w:customStyle="1" w:styleId="BodyTextCha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CRAN.R-project.org/package=ncdf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4699</Words>
  <Characters>26789</Characters>
  <Application>Microsoft Office Word</Application>
  <DocSecurity>0</DocSecurity>
  <Lines>223</Lines>
  <Paragraphs>62</Paragraphs>
  <ScaleCrop>false</ScaleCrop>
  <Company/>
  <LinksUpToDate>false</LinksUpToDate>
  <CharactersWithSpaces>31426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Daniel Noble</dc:creator>
  <cp:keywords/>
  <cp:lastModifiedBy>Daniel Noble</cp:lastModifiedBy>
  <cp:revision>2</cp:revision>
  <dcterms:created xsi:type="dcterms:W3CDTF">2023-03-01T11:05:00Z</dcterms:created>
  <dcterms:modified xsi:type="dcterms:W3CDTF">2023-03-01T11:05:00Z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