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5.png" ContentType="image/png"/>
  <Override PartName="/word/media/rId78.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2015a)</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2015a;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2015a)</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2015a)</w:t>
      </w:r>
      <w:r>
        <w:t xml:space="preserve"> </w:t>
      </w:r>
      <w:r>
        <w:t xml:space="preserve">and updated</w:t>
      </w:r>
      <w:r>
        <w:t xml:space="preserve"> </w:t>
      </w:r>
      <w:r>
        <w:t xml:space="preserve">Seebacher</w:t>
      </w:r>
      <w:r>
        <w:t xml:space="preserve"> </w:t>
      </w:r>
      <w:r>
        <w:rPr>
          <w:iCs/>
          <w:i/>
        </w:rPr>
        <w:t xml:space="preserve">et al.</w:t>
      </w:r>
      <w:r>
        <w:t xml:space="preserve"> </w:t>
      </w:r>
      <w:r>
        <w:t xml:space="preserve">(2015a)</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2015a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w:t>
      </w:r>
      <w:r>
        <w:rPr>
          <w:bCs/>
          <w:b/>
        </w:rPr>
        <w:t xml:space="preserve">ouzzani2016-ge?</w:t>
      </w:r>
      <w:r>
        <w:t xml:space="preserve">)</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(2015a)</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(2015a)</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(2015a)</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(2015a)</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(2015a)</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(Lajeunesse 2011;</w:t>
      </w:r>
      <w:r>
        <w:t xml:space="preserve"> </w:t>
      </w:r>
      <w:r>
        <w:rPr>
          <w:bCs/>
          <w:b/>
        </w:rPr>
        <w:t xml:space="preserve">hedges1999-de?</w:t>
      </w:r>
      <w:r>
        <w:t xml:space="preserve">)</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2015b)</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(2015b)</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2015b)</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 across all habitats (95%CI: 4.79 to 11.24%). Ectotherms in marine and freshwater environments showed partial compensation of physiological rates (Figure</w:t>
      </w:r>
      <w:r>
        <w:t xml:space="preserve"> </w:t>
      </w:r>
      <w:r>
        <w:t xml:space="preserve">1</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10.12% (95% CI: 6.04 to 14.12) in freshwater and 9.26% (95% CI: 2.62 to 15.8) in marine environments. In contrast, terrestrial ectotherms showed no acclimation (possibly even inverse acclimation) – showing a 4.45%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 to 11.44, Figure</w:t>
      </w:r>
      <w:r>
        <w:t xml:space="preserve"> </w:t>
      </w:r>
      <w:r>
        <w:t xml:space="preserve">1</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0.07, 95% CI: 0.04 to 0.1, p &lt; 0.001), acclimatization is not likely going to provide adaptive benefits under climate change.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4" w:name="references"/>
    <w:p>
      <w:pPr>
        <w:pStyle w:val="Heading2"/>
      </w:pPr>
      <w:r>
        <w:t xml:space="preserve">References</w:t>
      </w:r>
    </w:p>
    <w:p>
      <w:pPr>
        <w:pStyle w:val="FirstParagraph"/>
      </w:pPr>
    </w:p>
    <w:bookmarkStart w:id="73" w:name="refs"/>
    <w:bookmarkStart w:id="48"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48"/>
    <w:bookmarkStart w:id="49"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49"/>
    <w:bookmarkStart w:id="50"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50"/>
    <w:bookmarkStart w:id="51"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51"/>
    <w:bookmarkStart w:id="52"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52"/>
    <w:bookmarkStart w:id="53"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54"/>
    <w:bookmarkStart w:id="55"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55"/>
    <w:bookmarkStart w:id="56"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6"/>
    <w:bookmarkStart w:id="57"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57"/>
    <w:bookmarkStart w:id="58"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8"/>
    <w:bookmarkStart w:id="59"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59"/>
    <w:bookmarkStart w:id="60" w:name="ref-Nakagawa2012-su"/>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60"/>
    <w:bookmarkStart w:id="61"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1"/>
    <w:bookmarkStart w:id="62"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62"/>
    <w:bookmarkStart w:id="63"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3"/>
    <w:bookmarkStart w:id="64"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64"/>
    <w:bookmarkStart w:id="65"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5"/>
    <w:bookmarkStart w:id="66"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66"/>
    <w:bookmarkStart w:id="67" w:name="ref-Seebacher2015-wi"/>
    <w:p>
      <w:pPr>
        <w:pStyle w:val="Bibliography"/>
      </w:pPr>
      <w:r>
        <w:t xml:space="preserve">Seebacher, F., White, C.R. &amp; Franklin, C.E. (2015a). Physiological plasticity increases resilience of ectothermic animals to climate change.</w:t>
      </w:r>
      <w:r>
        <w:t xml:space="preserve"> </w:t>
      </w:r>
      <w:r>
        <w:rPr>
          <w:iCs/>
          <w:i/>
        </w:rPr>
        <w:t xml:space="preserve">Nat. Clim. Chang.</w:t>
      </w:r>
      <w:r>
        <w:t xml:space="preserve">, 5, 61.</w:t>
      </w:r>
    </w:p>
    <w:bookmarkEnd w:id="67"/>
    <w:bookmarkStart w:id="68" w:name="ref-Seebacher2015-xj"/>
    <w:p>
      <w:pPr>
        <w:pStyle w:val="Bibliography"/>
      </w:pPr>
      <w:r>
        <w:t xml:space="preserve">Seebacher, F., White, C.R. &amp; Franklin, C.E. (2015b). Physiological plasticity increases resilience of ectothermic animals to climate change.</w:t>
      </w:r>
      <w:r>
        <w:t xml:space="preserve"> </w:t>
      </w:r>
      <w:r>
        <w:rPr>
          <w:iCs/>
          <w:i/>
        </w:rPr>
        <w:t xml:space="preserve">Nat. Clim. Chang.</w:t>
      </w:r>
      <w:r>
        <w:t xml:space="preserve">, 5, 61–66.</w:t>
      </w:r>
    </w:p>
    <w:bookmarkEnd w:id="68"/>
    <w:bookmarkStart w:id="69"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69"/>
    <w:bookmarkStart w:id="70"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70"/>
    <w:bookmarkStart w:id="71"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71"/>
    <w:bookmarkStart w:id="72"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72"/>
    <w:bookmarkEnd w:id="73"/>
    <w:p>
      <w:pPr>
        <w:pStyle w:val="BodyText"/>
      </w:pPr>
    </w:p>
    <w:bookmarkEnd w:id="74"/>
    <w:bookmarkStart w:id="81"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6" name="Picture"/>
            <a:graphic>
              <a:graphicData uri="http://schemas.openxmlformats.org/drawingml/2006/picture">
                <pic:pic>
                  <pic:nvPicPr>
                    <pic:cNvPr descr="ms_files/figure-docx/fig4-1.png" id="77" name="Picture"/>
                    <pic:cNvPicPr>
                      <a:picLocks noChangeArrowheads="1" noChangeAspect="1"/>
                    </pic:cNvPicPr>
                  </pic:nvPicPr>
                  <pic:blipFill>
                    <a:blip r:embed="rId75"/>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79" name="Picture"/>
            <a:graphic>
              <a:graphicData uri="http://schemas.openxmlformats.org/drawingml/2006/picture">
                <pic:pic>
                  <pic:nvPicPr>
                    <pic:cNvPr descr="ms_files/figure-docx/fig5-1.png" id="80" name="Picture"/>
                    <pic:cNvPicPr>
                      <a:picLocks noChangeArrowheads="1" noChangeAspect="1"/>
                    </pic:cNvPicPr>
                  </pic:nvPicPr>
                  <pic:blipFill>
                    <a:blip r:embed="rId78"/>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1"/>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78" Target="media/rId7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2023-02-19T23:42:55Z</dcterms:created>
  <dcterms:modified xsi:type="dcterms:W3CDTF">2023-02-19T23:42:55Z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