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across</w:t>
      </w:r>
      <w:r>
        <w:t xml:space="preserve"> </w:t>
      </w:r>
      <w:r>
        <w:t xml:space="preserve">terrestrial</w:t>
      </w:r>
      <w:r>
        <w:t xml:space="preserve"> </w:t>
      </w:r>
      <w:r>
        <w:t xml:space="preserve">ectotherm</w:t>
      </w:r>
      <w:r>
        <w:t xml:space="preserve"> </w:t>
      </w:r>
      <w:r>
        <w:t xml:space="preserve">populations</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result in adaptation or the evolution of phenotypic plasticity. Plasticity and adaptation are considered critical for population resilience to human-induced climate change.</w:t>
      </w:r>
    </w:p>
    <w:p>
      <w:pPr>
        <w:pStyle w:val="BodyText"/>
      </w:pPr>
      <w:r>
        <w:t xml:space="preserve">Applying new effect sizes that allow us to make use of powerful meta-analytic models we: 1) quantify the degree</w:t>
      </w:r>
    </w:p>
    <w:p>
      <w:pPr>
        <w:pStyle w:val="BodyText"/>
      </w:pPr>
      <w:r>
        <w:t xml:space="preserve">ectotherms are capable of physiological plasticity in rates: 1)</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comparing-variance-physiological-rates"/>
    <w:p>
      <w:pPr>
        <w:pStyle w:val="Heading4"/>
      </w:pPr>
      <w:r>
        <w:rPr>
          <w:iCs/>
          <w:i/>
        </w:rPr>
        <w:t xml:space="preserve">Comparing variance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9" w:name="results"/>
    <w:p>
      <w:pPr>
        <w:pStyle w:val="Heading2"/>
      </w:pPr>
      <w:r>
        <w:rPr>
          <w:bCs/>
          <w:b/>
        </w:rPr>
        <w:t xml:space="preserve">Results</w:t>
      </w:r>
    </w:p>
    <w:bookmarkStart w:id="46" w:name="Xf7a896a2824436cd0fe89306caf457d9a436d93"/>
    <w:p>
      <w:pPr>
        <w:pStyle w:val="Heading3"/>
      </w:pPr>
      <w:r>
        <w:rPr>
          <w:iCs/>
          <w:i/>
        </w:rPr>
        <w:t xml:space="preserve">Do terrestrial and aquatic ectotherms differ in their capacity to acclimate?</w:t>
      </w:r>
    </w:p>
    <w:p>
      <w:pPr>
        <w:pStyle w:val="CaptionedFigure"/>
      </w:pPr>
      <w:r>
        <w:drawing>
          <wp:inline>
            <wp:extent cx="6680200" cy="4925214"/>
            <wp:effectExtent b="0" l="0" r="0" t="0"/>
            <wp:docPr descr="Figure. 1. Acute and Acclimation lnRR Q10 across marine, freshwater and terrestrial environment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t xml:space="preserve">Acute and Acclimation lnRR Q10 across marine, freshwater and terrestrial environments</w:t>
      </w:r>
    </w:p>
    <w:p>
      <w:pPr>
        <w:pStyle w:val="CaptionedFigure"/>
      </w:pPr>
      <w:r>
        <w:drawing>
          <wp:inline>
            <wp:extent cx="6680200" cy="2672080"/>
            <wp:effectExtent b="0" l="0" r="0" t="0"/>
            <wp:docPr descr="Figure. 2. I2 estimates" title="" id="41" name="Picture"/>
            <a:graphic>
              <a:graphicData uri="http://schemas.openxmlformats.org/drawingml/2006/picture">
                <pic:pic>
                  <pic:nvPicPr>
                    <pic:cNvPr descr="ms_files/figure-docx/fig4-1.png" id="42" name="Picture"/>
                    <pic:cNvPicPr>
                      <a:picLocks noChangeArrowheads="1" noChangeAspect="1"/>
                    </pic:cNvPicPr>
                  </pic:nvPicPr>
                  <pic:blipFill>
                    <a:blip r:embed="rId40"/>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I2 estimates</w:t>
      </w:r>
    </w:p>
    <w:p>
      <w:pPr>
        <w:pStyle w:val="CaptionedFigure"/>
      </w:pPr>
      <w:r>
        <w:drawing>
          <wp:inline>
            <wp:extent cx="6680200" cy="2672080"/>
            <wp:effectExtent b="0" l="0" r="0" t="0"/>
            <wp:docPr descr="Figure. 3. I2 estimates lnCVR" title="" id="44" name="Picture"/>
            <a:graphic>
              <a:graphicData uri="http://schemas.openxmlformats.org/drawingml/2006/picture">
                <pic:pic>
                  <pic:nvPicPr>
                    <pic:cNvPr descr="ms_files/figure-docx/fig5-1.png" id="45" name="Picture"/>
                    <pic:cNvPicPr>
                      <a:picLocks noChangeArrowheads="1" noChangeAspect="1"/>
                    </pic:cNvPicPr>
                  </pic:nvPicPr>
                  <pic:blipFill>
                    <a:blip r:embed="rId43"/>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 lnCVR</w:t>
      </w:r>
    </w:p>
    <w:bookmarkEnd w:id="46"/>
    <w:bookmarkStart w:id="47" w:name="X3393869c47f435e9cf00f18ea1403d82e4fa8de"/>
    <w:p>
      <w:pPr>
        <w:pStyle w:val="Heading3"/>
      </w:pPr>
      <w:r>
        <w:rPr>
          <w:iCs/>
          <w:i/>
        </w:rPr>
        <w:t xml:space="preserve">Does the opportunity for selection differ across terrestrial and aquatic ectotherms?</w:t>
      </w:r>
    </w:p>
    <w:bookmarkEnd w:id="47"/>
    <w:bookmarkStart w:id="48" w:name="Xc10ebb43a1744a2445867384f67c174e2ec2054"/>
    <w:p>
      <w:pPr>
        <w:pStyle w:val="Heading3"/>
      </w:pPr>
      <w:r>
        <w:rPr>
          <w:iCs/>
          <w:i/>
        </w:rPr>
        <w:t xml:space="preserve">Does climate variability predict acclimation capacity among aquatic and terrestrial ectotherms?</w:t>
      </w:r>
    </w:p>
    <w:bookmarkEnd w:id="48"/>
    <w:bookmarkEnd w:id="49"/>
    <w:bookmarkStart w:id="50" w:name="discussion"/>
    <w:p>
      <w:pPr>
        <w:pStyle w:val="Heading2"/>
      </w:pPr>
      <w:r>
        <w:rPr>
          <w:bCs/>
          <w:b/>
        </w:rPr>
        <w:t xml:space="preserve">Discussion</w:t>
      </w:r>
    </w:p>
    <w:bookmarkEnd w:id="50"/>
    <w:bookmarkStart w:id="73" w:name="references"/>
    <w:p>
      <w:pPr>
        <w:pStyle w:val="Heading2"/>
      </w:pPr>
      <w:r>
        <w:t xml:space="preserve">References</w:t>
      </w:r>
    </w:p>
    <w:bookmarkStart w:id="72" w:name="refs"/>
    <w:bookmarkStart w:id="51"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51"/>
    <w:bookmarkStart w:id="52"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52"/>
    <w:bookmarkStart w:id="53"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3"/>
    <w:bookmarkStart w:id="54"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4"/>
    <w:bookmarkStart w:id="55"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5"/>
    <w:bookmarkStart w:id="56"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6"/>
    <w:bookmarkStart w:id="57"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7"/>
    <w:bookmarkStart w:id="58"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8"/>
    <w:bookmarkStart w:id="59"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9"/>
    <w:bookmarkStart w:id="60" w:name="ref-Nakagawa2021c"/>
    <w:p>
      <w:pPr>
        <w:pStyle w:val="Bibliography"/>
      </w:pPr>
      <w:r>
        <w:t xml:space="preserve">Nakagawa, S., Lagisz, M., O’Dea, R.E., Rutkowska, J., Yang, Y., Noble, D.W.A.,</w:t>
      </w:r>
      <w:r>
        <w:t xml:space="preserve"> </w:t>
      </w:r>
      <w:r>
        <w:rPr>
          <w:iCs/>
          <w:i/>
        </w:rPr>
        <w:t xml:space="preserve">et al.</w:t>
      </w:r>
      <w:r>
        <w:t xml:space="preserve"> (2021). The orchard plot: Cultivating forest plots for use in ecology, evolution and beyond.</w:t>
      </w:r>
      <w:r>
        <w:t xml:space="preserve"> </w:t>
      </w:r>
      <w:r>
        <w:rPr>
          <w:iCs/>
          <w:i/>
        </w:rPr>
        <w:t xml:space="preserve">Research Synthesis Methods</w:t>
      </w:r>
      <w:r>
        <w:t xml:space="preserve">, 12, 4–12.</w:t>
      </w:r>
    </w:p>
    <w:bookmarkEnd w:id="60"/>
    <w:bookmarkStart w:id="61"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1"/>
    <w:bookmarkStart w:id="62"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2"/>
    <w:bookmarkStart w:id="63"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3"/>
    <w:bookmarkStart w:id="64"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4"/>
    <w:bookmarkStart w:id="65"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5"/>
    <w:bookmarkStart w:id="66"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6"/>
    <w:bookmarkStart w:id="67"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7"/>
    <w:bookmarkStart w:id="68"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8"/>
    <w:bookmarkStart w:id="69" w:name="ref-stan"/>
    <w:p>
      <w:pPr>
        <w:pStyle w:val="Bibliography"/>
      </w:pPr>
      <w:r>
        <w:t xml:space="preserve">Stan development team. RStan: The r interface to stan. (2021).</w:t>
      </w:r>
      <w:r>
        <w:t xml:space="preserve"> </w:t>
      </w:r>
      <w:r>
        <w:rPr>
          <w:iCs/>
          <w:i/>
        </w:rPr>
        <w:t xml:space="preserve">R package version 2.21.3. https://mc-stan.org/.</w:t>
      </w:r>
    </w:p>
    <w:bookmarkEnd w:id="69"/>
    <w:bookmarkStart w:id="70"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0"/>
    <w:bookmarkStart w:id="71"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1"/>
    <w:bookmarkEnd w:id="72"/>
    <w:bookmarkEnd w:id="73"/>
    <w:sectPr w:rsidR="00FD5239"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 w:numId="15">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1"/>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1657</Words>
  <Characters>9447</Characters>
  <Application>Microsoft Office Word</Application>
  <DocSecurity>0</DocSecurity>
  <Lines>78</Lines>
  <Paragraphs>22</Paragraphs>
  <ScaleCrop>false</ScaleCrop>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across terrestrial ectotherm populations</dc:title>
  <dc:creator/>
  <cp:keywords/>
  <dcterms:created xsi:type="dcterms:W3CDTF">2023-01-09T02:02:47Z</dcterms:created>
  <dcterms:modified xsi:type="dcterms:W3CDTF">2023-01-09T02:02:47Z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