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Opportunity</w:t>
      </w:r>
      <w:r>
        <w:t xml:space="preserve"> </w:t>
      </w:r>
      <w:r>
        <w:t xml:space="preserve">for</w:t>
      </w:r>
      <w:r>
        <w:t xml:space="preserve"> </w:t>
      </w:r>
      <w:r>
        <w:t xml:space="preserve">selection</w:t>
      </w:r>
      <w:r>
        <w:t xml:space="preserve"> </w:t>
      </w:r>
      <w:r>
        <w:t xml:space="preserve">and</w:t>
      </w:r>
      <w:r>
        <w:t xml:space="preserve"> </w:t>
      </w:r>
      <w:r>
        <w:t xml:space="preserve">plasticity</w:t>
      </w:r>
      <w:r>
        <w:t xml:space="preserve"> </w:t>
      </w:r>
      <w:r>
        <w:t xml:space="preserve">in</w:t>
      </w:r>
      <w:r>
        <w:t xml:space="preserve"> </w:t>
      </w:r>
      <w:r>
        <w:t xml:space="preserve">phyiological</w:t>
      </w:r>
      <w:r>
        <w:t xml:space="preserve"> </w:t>
      </w:r>
      <w:r>
        <w:t xml:space="preserve">rates</w:t>
      </w:r>
      <w:r>
        <w:t xml:space="preserve"> </w:t>
      </w:r>
      <w:r>
        <w:t xml:space="preserve">are</w:t>
      </w:r>
      <w:r>
        <w:t xml:space="preserve"> </w:t>
      </w:r>
      <w:r>
        <w:t xml:space="preserve">reduced</w:t>
      </w:r>
      <w:r>
        <w:t xml:space="preserve"> </w:t>
      </w:r>
      <w:r>
        <w:t xml:space="preserve">in</w:t>
      </w:r>
      <w:r>
        <w:t xml:space="preserve"> </w:t>
      </w:r>
      <w:r>
        <w:t xml:space="preserve">terrestrial</w:t>
      </w:r>
      <w:r>
        <w:t xml:space="preserve"> </w:t>
      </w:r>
      <w:r>
        <w:t xml:space="preserve">ectotherm</w:t>
      </w:r>
      <w:r>
        <w:t xml:space="preserve"> </w:t>
      </w:r>
      <w:r>
        <w:t xml:space="preserve">populations</w:t>
      </w:r>
    </w:p>
    <w:p>
      <w:pPr>
        <w:pStyle w:val="Author"/>
      </w:pPr>
      <w:r>
        <w:t xml:space="preserve">r</w:t>
      </w:r>
      <w:r>
        <w:t xml:space="preserve"> </w:t>
      </w:r>
      <w:r>
        <w:t xml:space="preserve">Daniel</w:t>
      </w:r>
      <w:r>
        <w:t xml:space="preserve"> </w:t>
      </w:r>
      <w:r>
        <w:t xml:space="preserve">W.A.</w:t>
      </w:r>
      <w:r>
        <w:t xml:space="preserve"> </w:t>
      </w:r>
      <w:r>
        <w:t xml:space="preserve">Noble^1,</w:t>
      </w:r>
      <w:r>
        <w:t xml:space="preserve"> </w:t>
      </w:r>
      <w:r>
        <w:t xml:space="preserve">Fonti</w:t>
      </w:r>
      <w:r>
        <w:t xml:space="preserve"> </w:t>
      </w:r>
      <w:r>
        <w:t xml:space="preserve">Kar^2,</w:t>
      </w:r>
      <w:r>
        <w:t xml:space="preserve"> </w:t>
      </w:r>
      <w:r>
        <w:t xml:space="preserve">Frank</w:t>
      </w:r>
      <w:r>
        <w:t xml:space="preserve"> </w:t>
      </w:r>
      <w:r>
        <w:t xml:space="preserve">Seebacher^3,</w:t>
      </w:r>
      <w:r>
        <w:t xml:space="preserve"> </w:t>
      </w:r>
      <w:r>
        <w:t xml:space="preserve">Alex</w:t>
      </w:r>
      <w:r>
        <w:t xml:space="preserve"> </w:t>
      </w:r>
      <w:r>
        <w:t xml:space="preserve">Bush^4,</w:t>
      </w:r>
      <w:r>
        <w:t xml:space="preserve"> </w:t>
      </w:r>
      <w:r>
        <w:t xml:space="preserve">&amp;</w:t>
      </w:r>
      <w:r>
        <w:t xml:space="preserve"> </w:t>
      </w:r>
      <w:r>
        <w:t xml:space="preserve">Shinichi</w:t>
      </w:r>
      <w:r>
        <w:t xml:space="preserve"> </w:t>
      </w:r>
      <w:r>
        <w:t xml:space="preserve">Nakagawa^2</w:t>
      </w:r>
    </w:p>
    <w:bookmarkStart w:id="20" w:name="affliations"/>
    <w:p>
      <w:pPr>
        <w:pStyle w:val="Heading4"/>
      </w:pPr>
      <w:r>
        <w:t xml:space="preserve">Affliations:</w:t>
      </w:r>
    </w:p>
    <w:p>
      <w:pPr>
        <w:pStyle w:val="FirstParagraph"/>
      </w:pPr>
      <m:oMath>
        <m:sSup>
          <m:e>
            <m:r>
              <m:t>​</m:t>
            </m:r>
          </m:e>
          <m:sup>
            <m:r>
              <m:t>1</m:t>
            </m:r>
          </m:sup>
        </m:sSup>
      </m:oMath>
      <w:r>
        <w:t xml:space="preserve"> </w:t>
      </w:r>
      <w:r>
        <w:t xml:space="preserve">Division of Ecology and Evolution, Research School of Biology, The Australian National University, Canberra, ACT 2600</w:t>
      </w:r>
    </w:p>
    <w:bookmarkEnd w:id="20"/>
    <w:bookmarkStart w:id="21" w:name="abstract"/>
    <w:p>
      <w:pPr>
        <w:pStyle w:val="Heading2"/>
      </w:pPr>
      <w:r>
        <w:rPr>
          <w:bCs/>
          <w:b/>
        </w:rPr>
        <w:t xml:space="preserve">Abstract</w:t>
      </w:r>
    </w:p>
    <w:bookmarkEnd w:id="21"/>
    <w:bookmarkStart w:id="22" w:name="introduction"/>
    <w:p>
      <w:pPr>
        <w:pStyle w:val="Heading2"/>
      </w:pPr>
      <w:r>
        <w:rPr>
          <w:bCs/>
          <w:b/>
        </w:rPr>
        <w:t xml:space="preserve">Introduction</w:t>
      </w:r>
    </w:p>
    <w:p>
      <w:pPr>
        <w:pStyle w:val="FirstParagraph"/>
      </w:pPr>
      <w:r>
        <w:t xml:space="preserve">Variable thermal environments are expected to result in strong selection pressures that result in adaptation or the evolution of plasticity.</w:t>
      </w:r>
    </w:p>
    <w:p>
      <w:pPr>
        <w:pStyle w:val="BodyText"/>
      </w:pPr>
      <w:r>
        <w:t xml:space="preserve">Applying new effect sizes that allow us to make use of powerful meta-analytic models we: 1) quantify the degree</w:t>
      </w:r>
    </w:p>
    <w:p>
      <w:pPr>
        <w:pStyle w:val="BodyText"/>
      </w:pPr>
      <w:r>
        <w:t xml:space="preserve">ectotherms are capable of physiological plasticity in rates: 1)</w:t>
      </w:r>
    </w:p>
    <w:bookmarkEnd w:id="22"/>
    <w:bookmarkStart w:id="36" w:name="materials-and-methods"/>
    <w:p>
      <w:pPr>
        <w:pStyle w:val="Heading2"/>
      </w:pPr>
      <w:r>
        <w:rPr>
          <w:bCs/>
          <w:b/>
        </w:rPr>
        <w:t xml:space="preserve">Materials and Methods</w:t>
      </w:r>
    </w:p>
    <w:bookmarkStart w:id="23" w:name="literature-collection"/>
    <w:p>
      <w:pPr>
        <w:pStyle w:val="Heading3"/>
      </w:pPr>
      <w:r>
        <w:rPr>
          <w:iCs/>
          <w:i/>
        </w:rPr>
        <w:t xml:space="preserve">Literature collection</w:t>
      </w:r>
    </w:p>
    <w:p>
      <w:pPr>
        <w:pStyle w:val="FirstParagraph"/>
      </w:pPr>
      <w:r>
        <w:t xml:space="preserve">We compiled literature on ectothermic animals that measured physiological rates (e.g., metabolic rate) at two or more temperatures after having been acclimated (or acclimatized) at these temperatures. We used data from a previous meta-analysis</w:t>
      </w:r>
      <w:r>
        <w:t xml:space="preserve"> </w:t>
      </w:r>
      <w:r>
        <w:t xml:space="preserve">(Seebacher</w:t>
      </w:r>
      <w:r>
        <w:t xml:space="preserve"> </w:t>
      </w:r>
      <w:r>
        <w:rPr>
          <w:iCs/>
          <w:i/>
        </w:rPr>
        <w:t xml:space="preserve">et al.</w:t>
      </w:r>
      <w:r>
        <w:t xml:space="preserve"> </w:t>
      </w:r>
      <w:r>
        <w:t xml:space="preserve">2015)</w:t>
      </w:r>
      <w:r>
        <w:t xml:space="preserve"> </w:t>
      </w:r>
      <w:r>
        <w:t xml:space="preserve">and updated</w:t>
      </w:r>
      <w:r>
        <w:t xml:space="preserve"> </w:t>
      </w:r>
      <w:r>
        <w:t xml:space="preserve">Seebacher</w:t>
      </w:r>
      <w:r>
        <w:t xml:space="preserve"> </w:t>
      </w:r>
      <w:r>
        <w:rPr>
          <w:iCs/>
          <w:i/>
        </w:rPr>
        <w:t xml:space="preserve">et al.</w:t>
      </w:r>
      <w:r>
        <w:t xml:space="preserve"> </w:t>
      </w:r>
      <w:r>
        <w:t xml:space="preserve">(2015)</w:t>
      </w:r>
      <w:r>
        <w:t xml:space="preserve">’s data by extracting data from suitable studies from our own searches that followed the same search protocol. More specifically, we performed a literature search on the 28th of June 2017 using the Web of Science database. We limited our search to articles or proceedings papers published in English from 2013 to 2017</w:t>
      </w:r>
      <w:r>
        <w:t xml:space="preserve"> </w:t>
      </w:r>
      <w:r>
        <w:t xml:space="preserve">(the date after Seebacher</w:t>
      </w:r>
      <w:r>
        <w:t xml:space="preserve"> </w:t>
      </w:r>
      <w:r>
        <w:rPr>
          <w:iCs/>
          <w:i/>
        </w:rPr>
        <w:t xml:space="preserve">et al.</w:t>
      </w:r>
      <w:r>
        <w:t xml:space="preserve"> </w:t>
      </w:r>
      <w:r>
        <w:t xml:space="preserve">2015 searches were conducted)</w:t>
      </w:r>
      <w:r>
        <w:t xml:space="preserve"> </w:t>
      </w:r>
      <w:r>
        <w:t xml:space="preserve">using the following topic search string:</w:t>
      </w:r>
      <w:r>
        <w:t xml:space="preserve"> </w:t>
      </w:r>
      <w:r>
        <w:rPr>
          <w:iCs/>
          <w:i/>
        </w:rPr>
        <w:t xml:space="preserve">“(acclimat</w:t>
      </w:r>
      <w:r>
        <w:t xml:space="preserve"> </w:t>
      </w:r>
      <w:r>
        <w:t xml:space="preserve">AND (therm* OR temp</w:t>
      </w:r>
      <w:r>
        <w:rPr>
          <w:iCs/>
          <w:i/>
        </w:rPr>
        <w:t xml:space="preserve">) NOT (plant</w:t>
      </w:r>
      <w:r>
        <w:t xml:space="preserve"> </w:t>
      </w:r>
      <w:r>
        <w:t xml:space="preserve">OR tree* OR forest* OR fung* OR mammal* OR marsup* OR bird* OR human OR exercis* OR train* OR hypoxi</w:t>
      </w:r>
      <w:r>
        <w:rPr>
          <w:iCs/>
          <w:i/>
        </w:rPr>
        <w:t xml:space="preserve">))“</w:t>
      </w:r>
      <w:r>
        <w:t xml:space="preserve">. We further limited to the following research areas: Anatomy Morphology; Biodiversity Conservation; Biology; Ecology; Endocrinology Metabolism; Entomology; Evolutionary Biology; Marine Freshwater Biology; Physiology; Respiratory System, Reproductive Biology, Zoology.</w:t>
      </w:r>
    </w:p>
    <w:p>
      <w:pPr>
        <w:pStyle w:val="BodyText"/>
      </w:pPr>
      <w:r>
        <w:t xml:space="preserve">Our search resulted in 1,321 papers for screening in Rayyan</w:t>
      </w:r>
      <w:r>
        <w:t xml:space="preserve"> </w:t>
      </w:r>
      <w:r>
        <w:t xml:space="preserve">(Ouzzani</w:t>
      </w:r>
      <w:r>
        <w:t xml:space="preserve"> </w:t>
      </w:r>
      <w:r>
        <w:rPr>
          <w:iCs/>
          <w:i/>
        </w:rPr>
        <w:t xml:space="preserve">et al.</w:t>
      </w:r>
      <w:r>
        <w:t xml:space="preserve"> </w:t>
      </w:r>
      <w:r>
        <w:t xml:space="preserve">2016)</w:t>
      </w:r>
      <w:r>
        <w:t xml:space="preserve">. We also cross-checked papers we found in our searches with a recent paper by</w:t>
      </w:r>
      <w:r>
        <w:t xml:space="preserve"> </w:t>
      </w:r>
      <w:r>
        <w:t xml:space="preserve">Havird</w:t>
      </w:r>
      <w:r>
        <w:t xml:space="preserve"> </w:t>
      </w:r>
      <w:r>
        <w:rPr>
          <w:iCs/>
          <w:i/>
        </w:rPr>
        <w:t xml:space="preserve">et al.</w:t>
      </w:r>
      <w:r>
        <w:t xml:space="preserve"> </w:t>
      </w:r>
      <w:r>
        <w:t xml:space="preserve">(2020)</w:t>
      </w:r>
      <w:r>
        <w:t xml:space="preserve">, which also updates</w:t>
      </w:r>
      <w:r>
        <w:t xml:space="preserve"> </w:t>
      </w:r>
      <w:r>
        <w:t xml:space="preserve">Seebacher</w:t>
      </w:r>
      <w:r>
        <w:t xml:space="preserve"> </w:t>
      </w:r>
      <w:r>
        <w:rPr>
          <w:iCs/>
          <w:i/>
        </w:rPr>
        <w:t xml:space="preserve">et al.</w:t>
      </w:r>
      <w:r>
        <w:t xml:space="preserve"> </w:t>
      </w:r>
      <w:r>
        <w:t xml:space="preserve">(2015)</w:t>
      </w:r>
      <w:r>
        <w:t xml:space="preserve">’s dataset. We included any papers that were missed between our searches and those of</w:t>
      </w:r>
      <w:r>
        <w:t xml:space="preserve"> </w:t>
      </w:r>
      <w:r>
        <w:t xml:space="preserve">Havird</w:t>
      </w:r>
      <w:r>
        <w:t xml:space="preserve"> </w:t>
      </w:r>
      <w:r>
        <w:rPr>
          <w:iCs/>
          <w:i/>
        </w:rPr>
        <w:t xml:space="preserve">et al.</w:t>
      </w:r>
      <w:r>
        <w:t xml:space="preserve"> </w:t>
      </w:r>
      <w:r>
        <w:t xml:space="preserve">(2020)</w:t>
      </w:r>
      <w:r>
        <w:t xml:space="preserve"> </w:t>
      </w:r>
      <w:r>
        <w:t xml:space="preserve">from the dates 2013-2017.</w:t>
      </w:r>
      <w:r>
        <w:t xml:space="preserve"> </w:t>
      </w:r>
      <w:r>
        <w:t xml:space="preserve">Havird</w:t>
      </w:r>
      <w:r>
        <w:t xml:space="preserve"> </w:t>
      </w:r>
      <w:r>
        <w:rPr>
          <w:iCs/>
          <w:i/>
        </w:rPr>
        <w:t xml:space="preserve">et al.</w:t>
      </w:r>
      <w:r>
        <w:t xml:space="preserve"> </w:t>
      </w:r>
      <w:r>
        <w:t xml:space="preserve">(2020)</w:t>
      </w:r>
      <w:r>
        <w:t xml:space="preserve"> </w:t>
      </w:r>
      <w:r>
        <w:t xml:space="preserve">added 7 new studies between 2013-2017 (mainly because they were focused on metabolic rates), and our searches differed from theirs by only a single paper</w:t>
      </w:r>
      <w:r>
        <w:t xml:space="preserve"> </w:t>
      </w:r>
      <w:r>
        <w:t xml:space="preserve">(i.e., Bulgarella</w:t>
      </w:r>
      <w:r>
        <w:t xml:space="preserve"> </w:t>
      </w:r>
      <w:r>
        <w:rPr>
          <w:iCs/>
          <w:i/>
        </w:rPr>
        <w:t xml:space="preserve">et al.</w:t>
      </w:r>
      <w:r>
        <w:t xml:space="preserve"> </w:t>
      </w:r>
      <w:r>
        <w:t xml:space="preserve">2015)</w:t>
      </w:r>
      <w:r>
        <w:t xml:space="preserve">. Given the physiological traits we included were broader, we had a substantial increase in additional papers that we added to</w:t>
      </w:r>
      <w:r>
        <w:t xml:space="preserve"> </w:t>
      </w:r>
      <w:r>
        <w:t xml:space="preserve">Seebacher</w:t>
      </w:r>
      <w:r>
        <w:t xml:space="preserve"> </w:t>
      </w:r>
      <w:r>
        <w:rPr>
          <w:iCs/>
          <w:i/>
        </w:rPr>
        <w:t xml:space="preserve">et al.</w:t>
      </w:r>
      <w:r>
        <w:t xml:space="preserve"> </w:t>
      </w:r>
      <w:r>
        <w:t xml:space="preserve">(2015)</w:t>
      </w:r>
      <w:r>
        <w:t xml:space="preserve">’s dataset. More specifically, in addition to the 191 papers we included from the</w:t>
      </w:r>
      <w:r>
        <w:t xml:space="preserve"> </w:t>
      </w:r>
      <w:r>
        <w:t xml:space="preserve">Seebacher</w:t>
      </w:r>
      <w:r>
        <w:t xml:space="preserve"> </w:t>
      </w:r>
      <w:r>
        <w:rPr>
          <w:iCs/>
          <w:i/>
        </w:rPr>
        <w:t xml:space="preserve">et al.</w:t>
      </w:r>
      <w:r>
        <w:t xml:space="preserve"> </w:t>
      </w:r>
      <w:r>
        <w:t xml:space="preserve">(2015)</w:t>
      </w:r>
      <w:r>
        <w:t xml:space="preserve"> </w:t>
      </w:r>
      <w:r>
        <w:t xml:space="preserve">dataset, we extracted data from an extra 65 papers (with a total of 238 effects) that were published between 2013 - 2017 (a 34.03% increase in the number of published articles). Note that</w:t>
      </w:r>
      <w:r>
        <w:t xml:space="preserve"> </w:t>
      </w:r>
      <w:r>
        <w:t xml:space="preserve">Seebacher</w:t>
      </w:r>
      <w:r>
        <w:t xml:space="preserve"> </w:t>
      </w:r>
      <w:r>
        <w:rPr>
          <w:iCs/>
          <w:i/>
        </w:rPr>
        <w:t xml:space="preserve">et al.</w:t>
      </w:r>
      <w:r>
        <w:t xml:space="preserve"> </w:t>
      </w:r>
      <w:r>
        <w:t xml:space="preserve">(2015)</w:t>
      </w:r>
      <w:r>
        <w:t xml:space="preserve"> </w:t>
      </w:r>
      <w:r>
        <w:t xml:space="preserve">included a total of 205 publications, however, not all these contained the necessary statistics we needed to derive</w:t>
      </w:r>
      <w:r>
        <w:t xml:space="preserve"> </w:t>
      </w:r>
      <m:oMath>
        <m:sSub>
          <m:e>
            <m:r>
              <m:t>Q</m:t>
            </m:r>
          </m:e>
          <m:sub>
            <m:r>
              <m:t>10</m:t>
            </m:r>
          </m:sub>
        </m:sSub>
      </m:oMath>
      <w:r>
        <w:t xml:space="preserve"> </w:t>
      </w:r>
      <w:r>
        <w:t xml:space="preserve">effect sizes and associated sampling variances (see below). While we may have missed papers, our goal was to obtain a large representative (and unbiased) sample of acclimation research rather than a comprehensive dataset. As such, our database represents the most up-to-date dataset used by</w:t>
      </w:r>
      <w:r>
        <w:t xml:space="preserve"> </w:t>
      </w:r>
      <w:r>
        <w:t xml:space="preserve">Seebacher</w:t>
      </w:r>
      <w:r>
        <w:t xml:space="preserve"> </w:t>
      </w:r>
      <w:r>
        <w:rPr>
          <w:iCs/>
          <w:i/>
        </w:rPr>
        <w:t xml:space="preserve">et al.</w:t>
      </w:r>
      <w:r>
        <w:t xml:space="preserve"> </w:t>
      </w:r>
      <w:r>
        <w:t xml:space="preserve">(2015)</w:t>
      </w:r>
      <w:r>
        <w:t xml:space="preserve"> </w:t>
      </w:r>
      <w:r>
        <w:t xml:space="preserve">to answer questions on acclimation across ectotherms.</w:t>
      </w:r>
    </w:p>
    <w:p>
      <w:pPr>
        <w:pStyle w:val="BodyText"/>
      </w:pPr>
      <w:r>
        <w:t xml:space="preserve">We split the screening of titles and abstracts for the 1,321 papers found in our search among all authors evenly. To ensure consistency among authors in title and abstracts that should be included, prior to screening all authors went through a randomly selected set of papers together - agreeing on those that were relevant and those that were not based on our inclusion criteria (see below). Where any authors were uncertain about whether to include a paper in the sub-sample they screened, we conservatively included the paper for full text screening and discussed uncertain papers among authors to come to a decision on whether to include the paper. After title and abstract screening, we were left with a total of 149 papers for full text screening. Papers were included only if they: 1) measured a physiological rate acutely at two temperatures on a sample of animals chronically exposed to the same two temperatures for at least 1 week; and 2) where physiological rates measured were burst and sustained locomotion, metabolic rates (standard, resting, routine and maximal), heart rates, and/or enzyme activities.</w:t>
      </w:r>
    </w:p>
    <w:bookmarkEnd w:id="23"/>
    <w:bookmarkStart w:id="24" w:name="data-compilation"/>
    <w:p>
      <w:pPr>
        <w:pStyle w:val="Heading3"/>
      </w:pPr>
      <w:r>
        <w:rPr>
          <w:iCs/>
          <w:i/>
        </w:rPr>
        <w:t xml:space="preserve">Data Compilation</w:t>
      </w:r>
    </w:p>
    <w:p>
      <w:pPr>
        <w:pStyle w:val="FirstParagraph"/>
      </w:pPr>
      <w:r>
        <w:t xml:space="preserve">We extracted means, standard deviations, and sample sizes for physiological rates at the two test temperatures. If there were more than two test temperatures, we choose only the test temperatures that fell within the most likely natural range of temperatures experienced by the species in question. We extracted these data from text, tables or figures of a given paper. Data were extracted from figures using the R package</w:t>
      </w:r>
      <w:r>
        <w:t xml:space="preserve"> </w:t>
      </w:r>
      <w:r>
        <w:rPr>
          <w:iCs/>
          <w:i/>
        </w:rPr>
        <w:t xml:space="preserve">metaDigitise</w:t>
      </w:r>
      <w:r>
        <w:t xml:space="preserve"> </w:t>
      </w:r>
      <w:r>
        <w:t xml:space="preserve">(Pick</w:t>
      </w:r>
      <w:r>
        <w:t xml:space="preserve"> </w:t>
      </w:r>
      <w:r>
        <w:rPr>
          <w:iCs/>
          <w:i/>
        </w:rPr>
        <w:t xml:space="preserve">et al.</w:t>
      </w:r>
      <w:r>
        <w:t xml:space="preserve"> </w:t>
      </w:r>
      <w:r>
        <w:t xml:space="preserve">2019)</w:t>
      </w:r>
      <w:r>
        <w:t xml:space="preserve">. We also recorded the phylum, class, order, genus and species under study and the latitude and longitude of the population that was being studied. For studies that did not provide latitude and longitude for the population, we searched for similar studies by the lab group to identify where the population was likely to have been sourced or derived from when needed. If the population was derived from the wild, we recorded the nearest latitude and longitude of the population to the field collection site. If the animals had been sourced from a commercial supplier, we took the latitude and longitude of the supplier that the paper identified the animals to have originated from. When it was not possible to find latitude and longitude using these methods, we looked up the distribution of the species in question and took the latitude and longitude of the centroid of the species’ distributional range.</w:t>
      </w:r>
    </w:p>
    <w:bookmarkEnd w:id="24"/>
    <w:bookmarkStart w:id="28" w:name="Xf3fe69bf99abfe707f82e879089730377606513"/>
    <w:p>
      <w:pPr>
        <w:pStyle w:val="Heading3"/>
      </w:pPr>
      <m:oMath>
        <m:sSub>
          <m:e>
            <m:r>
              <m:t>Q</m:t>
            </m:r>
          </m:e>
          <m:sub>
            <m:r>
              <m:t>10</m:t>
            </m:r>
          </m:sub>
        </m:sSub>
      </m:oMath>
      <w:r>
        <w:rPr>
          <w:iCs/>
          <w:i/>
        </w:rPr>
        <w:t xml:space="preserve"> </w:t>
      </w:r>
      <w:r>
        <w:rPr>
          <w:iCs/>
          <w:i/>
        </w:rPr>
        <w:t xml:space="preserve">Based Effect Sizes and Sampling Variances for Means and Variances</w:t>
      </w:r>
    </w:p>
    <w:p>
      <w:pPr>
        <w:pStyle w:val="FirstParagraph"/>
      </w:pPr>
      <w:r>
        <w:t xml:space="preserve">Following</w:t>
      </w:r>
      <w:r>
        <w:t xml:space="preserve"> </w:t>
      </w:r>
      <w:r>
        <w:t xml:space="preserve">Noble</w:t>
      </w:r>
      <w:r>
        <w:t xml:space="preserve"> </w:t>
      </w:r>
      <w:r>
        <w:rPr>
          <w:iCs/>
          <w:i/>
        </w:rPr>
        <w:t xml:space="preserve">et al.</w:t>
      </w:r>
      <w:r>
        <w:t xml:space="preserve"> </w:t>
      </w:r>
      <w:r>
        <w:t xml:space="preserve">(2022)</w:t>
      </w:r>
      <w:r>
        <w:t xml:space="preserve"> </w:t>
      </w:r>
      <w:r>
        <w:t xml:space="preserve">we calculated a series of temperature corrected effect sizes that compared mean physiological rates (</w:t>
      </w:r>
      <m:oMath>
        <m:r>
          <m:t>l</m:t>
        </m:r>
        <m:r>
          <m:t>n</m:t>
        </m:r>
        <m:r>
          <m:t>R</m:t>
        </m:r>
        <m:sSub>
          <m:e>
            <m:r>
              <m:t>R</m:t>
            </m:r>
          </m:e>
          <m:sub>
            <m:sSub>
              <m:e>
                <m:r>
                  <m:t>Q</m:t>
                </m:r>
              </m:e>
              <m:sub>
                <m:r>
                  <m:t>10</m:t>
                </m:r>
              </m:sub>
            </m:sSub>
          </m:sub>
        </m:sSub>
      </m:oMath>
      <w:r>
        <w:t xml:space="preserve">) as well as the variability in physiological rates (</w:t>
      </w:r>
      <m:oMath>
        <m:r>
          <m:t>l</m:t>
        </m:r>
        <m:r>
          <m:t>n</m:t>
        </m:r>
        <m:r>
          <m:t>V</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These effect sizes are similar to the traditional temperature coefficient (</w:t>
      </w:r>
      <m:oMath>
        <m:sSub>
          <m:e>
            <m:r>
              <m:t>Q</m:t>
            </m:r>
          </m:e>
          <m:sub>
            <m:r>
              <m:t>10</m:t>
            </m:r>
          </m:sub>
        </m:sSub>
      </m:oMath>
      <w:r>
        <w:t xml:space="preserve">), but with formal analytical approximations for their sampling variances. Sampling variances for effect sizes allowed us to make use of traditional meta-analytic modelling approaches.</w:t>
      </w:r>
    </w:p>
    <w:bookmarkStart w:id="25" w:name="X191ddc20159cec0477ba10020d496c0b4030004"/>
    <w:p>
      <w:pPr>
        <w:pStyle w:val="Heading4"/>
      </w:pPr>
      <w:r>
        <w:rPr>
          <w:iCs/>
          <w:i/>
        </w:rPr>
        <w:t xml:space="preserve">Comparing changes in mean physiological rates</w:t>
      </w:r>
    </w:p>
    <w:p>
      <w:pPr>
        <w:pStyle w:val="FirstParagraph"/>
      </w:pPr>
      <w:r>
        <w:t xml:space="preserve">To compare mean physiological rates, we calculated the log</w:t>
      </w:r>
      <w:r>
        <w:t xml:space="preserve"> </w:t>
      </w:r>
      <m:oMath>
        <m:sSub>
          <m:e>
            <m:r>
              <m:t>Q</m:t>
            </m:r>
          </m:e>
          <m:sub>
            <m:r>
              <m:t>10</m:t>
            </m:r>
          </m:sub>
        </m:sSub>
      </m:oMath>
      <w:r>
        <w:t xml:space="preserve"> </w:t>
      </w:r>
      <w:r>
        <w:t xml:space="preserve">response ratio,</w:t>
      </w:r>
      <w:r>
        <w:t xml:space="preserve"> </w:t>
      </w:r>
      <m:oMath>
        <m:r>
          <m:t>l</m:t>
        </m:r>
        <m:r>
          <m:t>n</m:t>
        </m:r>
        <m:r>
          <m:t>R</m:t>
        </m:r>
        <m:sSub>
          <m:e>
            <m:r>
              <m:t>R</m:t>
            </m:r>
          </m:e>
          <m:sub>
            <m:sSub>
              <m:e>
                <m:r>
                  <m:t>Q</m:t>
                </m:r>
              </m:e>
              <m:sub>
                <m:r>
                  <m:t>10</m:t>
                </m:r>
              </m:sub>
            </m:sSub>
          </m:sub>
        </m:sSub>
      </m:oMath>
      <w:r>
        <w:t xml:space="preserve"> </w:t>
      </w:r>
      <w:r>
        <w:t xml:space="preserve">(Noble</w:t>
      </w:r>
      <w:r>
        <w:t xml:space="preserve"> </w:t>
      </w:r>
      <w:r>
        <w:rPr>
          <w:iCs/>
          <w:i/>
        </w:rPr>
        <w:t xml:space="preserve">et al.</w:t>
      </w:r>
      <w:r>
        <w:t xml:space="preserve"> </w:t>
      </w:r>
      <w:r>
        <w:t xml:space="preserve">2022)</w:t>
      </w:r>
      <w:r>
        <w:t xml:space="preserve"> </w:t>
      </w:r>
      <w:r>
        <w:t xml:space="preserve">as follows:</w:t>
      </w:r>
    </w:p>
    <w:p>
      <w:pPr>
        <w:pStyle w:val="BodyText"/>
      </w:pPr>
      <m:oMathPara>
        <m:oMathParaPr>
          <m:jc m:val="center"/>
        </m:oMathParaPr>
        <m:oMath>
          <m:r>
            <m:t>l</m:t>
          </m:r>
          <m:r>
            <m:t>n</m:t>
          </m:r>
          <m:r>
            <m:t>R</m:t>
          </m:r>
          <m:sSub>
            <m:e>
              <m:r>
                <m:t>R</m:t>
              </m:r>
            </m:e>
            <m:sub>
              <m:sSub>
                <m:e>
                  <m:r>
                    <m:t>Q</m:t>
                  </m:r>
                </m:e>
                <m:sub>
                  <m:r>
                    <m:t>10</m:t>
                  </m:r>
                </m:sub>
              </m:sSub>
            </m:sub>
          </m:sSub>
          <m:r>
            <m:rPr>
              <m:sty m:val="p"/>
            </m:rPr>
            <m:t>=</m:t>
          </m:r>
          <m:r>
            <m:t>l</m:t>
          </m:r>
          <m:r>
            <m:t>n</m:t>
          </m:r>
          <m:d>
            <m:dPr>
              <m:begChr m:val="("/>
              <m:endChr m:val=")"/>
              <m:sepChr m:val=""/>
              <m:grow/>
            </m:dPr>
            <m:e>
              <m:f>
                <m:fPr>
                  <m:type m:val="bar"/>
                </m:fPr>
                <m:num>
                  <m:sSub>
                    <m:e>
                      <m:r>
                        <m:t>R</m:t>
                      </m:r>
                    </m:e>
                    <m:sub>
                      <m:r>
                        <m:t>2</m:t>
                      </m:r>
                    </m:sub>
                  </m:sSub>
                </m:num>
                <m:den>
                  <m:sSub>
                    <m:e>
                      <m:r>
                        <m:t>R</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e>
          </m:d>
        </m:oMath>
      </m:oMathPara>
    </w:p>
    <w:p>
      <w:pPr>
        <w:pStyle w:val="FirstParagraph"/>
      </w:pPr>
      <w:r>
        <w:t xml:space="preserve">Where,</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mean physiological rates and</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are the temperatures that these rates are measured. Log transformation of this ratio makes the effect size normally distributed. Equation (1) is essentially a temperature corrected equivalent to the log response ratio (lnRR)</w:t>
      </w:r>
      <w:r>
        <w:t xml:space="preserve"> </w:t>
      </w:r>
      <w:r>
        <w:t xml:space="preserve">(Hedges</w:t>
      </w:r>
      <w:r>
        <w:t xml:space="preserve"> </w:t>
      </w:r>
      <w:r>
        <w:rPr>
          <w:iCs/>
          <w:i/>
        </w:rPr>
        <w:t xml:space="preserve">et al.</w:t>
      </w:r>
      <w:r>
        <w:t xml:space="preserve"> </w:t>
      </w:r>
      <w:r>
        <w:t xml:space="preserve">1999; Lajeunesse 2011)</w:t>
      </w:r>
      <w:r>
        <w:t xml:space="preserve"> </w:t>
      </w:r>
      <w:r>
        <w:t xml:space="preserve">when the numerator and denominator are measured at different temperatures. This allows one to compare the mean of two temperature treatments directly regardless of the temperatures that these groups have been measured. The sampling variance for equation (1) can be computed as follows (as described in</w:t>
      </w:r>
      <w:r>
        <w:t xml:space="preserve"> </w:t>
      </w:r>
      <w:r>
        <w:t xml:space="preserve">Noble</w:t>
      </w:r>
      <w:r>
        <w:t xml:space="preserve"> </w:t>
      </w:r>
      <w:r>
        <w:rPr>
          <w:iCs/>
          <w:i/>
        </w:rPr>
        <w:t xml:space="preserve">et al.</w:t>
      </w:r>
      <w:r>
        <w:t xml:space="preserve"> </w:t>
      </w:r>
      <w:r>
        <w:t xml:space="preserve">(2022)</w:t>
      </w:r>
      <w:r>
        <w:t xml:space="preserve">):</w:t>
      </w:r>
    </w:p>
    <w:p>
      <w:pPr>
        <w:pStyle w:val="BodyText"/>
      </w:pPr>
      <m:oMathPara>
        <m:oMathParaPr>
          <m:jc m:val="center"/>
        </m:oMathParaPr>
        <m:oMath>
          <m:sSub>
            <m:e>
              <m:r>
                <m:t>s</m:t>
              </m:r>
            </m:e>
            <m:sub>
              <m:r>
                <m:t>l</m:t>
              </m:r>
              <m:r>
                <m:t>n</m:t>
              </m:r>
              <m:r>
                <m:t>R</m:t>
              </m:r>
              <m:sSub>
                <m:e>
                  <m:r>
                    <m:t>R</m:t>
                  </m:r>
                </m:e>
                <m:sub>
                  <m:sSub>
                    <m:e>
                      <m:r>
                        <m:t>Q</m:t>
                      </m:r>
                    </m:e>
                    <m:sub>
                      <m:r>
                        <m:t>10</m:t>
                      </m:r>
                    </m:sub>
                  </m:sSub>
                </m:sub>
              </m:sSub>
            </m:sub>
          </m:sSub>
          <m:r>
            <m:rPr>
              <m:sty m:val="p"/>
            </m:rPr>
            <m:t>=</m:t>
          </m:r>
          <m:d>
            <m:dPr>
              <m:begChr m:val="("/>
              <m:endChr m:val=")"/>
              <m:sepChr m:val=""/>
              <m:grow/>
            </m:dPr>
            <m:e>
              <m:f>
                <m:fPr>
                  <m:type m:val="bar"/>
                </m:fPr>
                <m:num>
                  <m:r>
                    <m:t>S</m:t>
                  </m:r>
                  <m:sSubSup>
                    <m:e>
                      <m:r>
                        <m:t>D</m:t>
                      </m:r>
                    </m:e>
                    <m:sub>
                      <m:r>
                        <m:t>2</m:t>
                      </m:r>
                    </m:sub>
                    <m:sup>
                      <m:r>
                        <m:t>2</m:t>
                      </m:r>
                    </m:sup>
                  </m:sSubSup>
                </m:num>
                <m:den>
                  <m:sSubSup>
                    <m:e>
                      <m:r>
                        <m:t>R</m:t>
                      </m:r>
                    </m:e>
                    <m:sub>
                      <m:r>
                        <m:t>2</m:t>
                      </m:r>
                    </m:sub>
                    <m:sup>
                      <m:r>
                        <m:t>2</m:t>
                      </m:r>
                    </m:sup>
                  </m:sSubSup>
                  <m:sSub>
                    <m:e>
                      <m:r>
                        <m:t>N</m:t>
                      </m:r>
                    </m:e>
                    <m:sub>
                      <m:r>
                        <m:t>2</m:t>
                      </m:r>
                    </m:sub>
                  </m:sSub>
                </m:den>
              </m:f>
              <m:r>
                <m:rPr>
                  <m:sty m:val="p"/>
                </m:rPr>
                <m:t>+</m:t>
              </m:r>
              <m:f>
                <m:fPr>
                  <m:type m:val="bar"/>
                </m:fPr>
                <m:num>
                  <m:r>
                    <m:t>S</m:t>
                  </m:r>
                  <m:sSubSup>
                    <m:e>
                      <m:r>
                        <m:t>D</m:t>
                      </m:r>
                    </m:e>
                    <m:sub>
                      <m:r>
                        <m:t>1</m:t>
                      </m:r>
                    </m:sub>
                    <m:sup>
                      <m:r>
                        <m:t>2</m:t>
                      </m:r>
                    </m:sup>
                  </m:sSubSup>
                </m:num>
                <m:den>
                  <m:sSubSup>
                    <m:e>
                      <m:r>
                        <m:t>R</m:t>
                      </m:r>
                    </m:e>
                    <m:sub>
                      <m:r>
                        <m:t>1</m:t>
                      </m:r>
                    </m:sub>
                    <m:sup>
                      <m:r>
                        <m:t>2</m:t>
                      </m:r>
                    </m:sup>
                  </m:sSubSup>
                  <m:sSub>
                    <m:e>
                      <m:r>
                        <m:t>N</m:t>
                      </m:r>
                    </m:e>
                    <m:sub>
                      <m:r>
                        <m:t>1</m:t>
                      </m:r>
                    </m:sub>
                  </m:sSub>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V</m:t>
              </m:r>
              <m:r>
                <m:t>l</m:t>
              </m:r>
              <m:r>
                <m:t>n</m:t>
              </m:r>
              <m:r>
                <m:t>q</m:t>
              </m:r>
              <m:r>
                <m:t>10</m:t>
              </m:r>
            </m:e>
          </m:d>
        </m:oMath>
      </m:oMathPara>
    </w:p>
    <w:p>
      <w:pPr>
        <w:pStyle w:val="FirstParagraph"/>
      </w:pPr>
      <w:r>
        <w:t xml:space="preserve">Here,</w:t>
      </w:r>
      <w:r>
        <w:t xml:space="preserve"> </w:t>
      </w:r>
      <m:oMath>
        <m:r>
          <m:t>S</m:t>
        </m:r>
        <m:sSubSup>
          <m:e>
            <m:r>
              <m:t>D</m:t>
            </m:r>
          </m:e>
          <m:sub>
            <m:r>
              <m:t>1</m:t>
            </m:r>
          </m:sub>
          <m:sup>
            <m:r>
              <m:t>2</m:t>
            </m:r>
          </m:sup>
        </m:sSubSup>
      </m:oMath>
      <w:r>
        <w:t xml:space="preserve"> </w:t>
      </w:r>
      <w:r>
        <w:t xml:space="preserve">and</w:t>
      </w:r>
      <w:r>
        <w:t xml:space="preserve"> </w:t>
      </w:r>
      <m:oMath>
        <m:r>
          <m:t>S</m:t>
        </m:r>
        <m:sSubSup>
          <m:e>
            <m:r>
              <m:t>D</m:t>
            </m:r>
          </m:e>
          <m:sub>
            <m:r>
              <m:t>2</m:t>
            </m:r>
          </m:sub>
          <m:sup>
            <m:r>
              <m:t>2</m:t>
            </m:r>
          </m:sup>
        </m:sSubSup>
      </m:oMath>
      <w:r>
        <w:t xml:space="preserve"> </w:t>
      </w:r>
      <w:r>
        <w:t xml:space="preserve">are the standard deviations and</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in group 1 and 2, respectively.</w:t>
      </w:r>
    </w:p>
    <w:bookmarkEnd w:id="25"/>
    <w:bookmarkStart w:id="26" w:name="comparing-variance-physiological-rates"/>
    <w:p>
      <w:pPr>
        <w:pStyle w:val="Heading4"/>
      </w:pPr>
      <w:r>
        <w:rPr>
          <w:iCs/>
          <w:i/>
        </w:rPr>
        <w:t xml:space="preserve">Comparing variance physiological rates</w:t>
      </w:r>
    </w:p>
    <w:p>
      <w:pPr>
        <w:pStyle w:val="FirstParagraph"/>
      </w:pPr>
      <w:r>
        <w:t xml:space="preserve">Nakagawa</w:t>
      </w:r>
      <w:r>
        <w:t xml:space="preserve"> </w:t>
      </w:r>
      <w:r>
        <w:rPr>
          <w:iCs/>
          <w:i/>
        </w:rPr>
        <w:t xml:space="preserve">et al.</w:t>
      </w:r>
      <w:r>
        <w:t xml:space="preserve"> </w:t>
      </w:r>
      <w:r>
        <w:t xml:space="preserve">(2015)</w:t>
      </w:r>
      <w:r>
        <w:t xml:space="preserve"> </w:t>
      </w:r>
      <w:r>
        <w:t xml:space="preserve">recently proposed analogous effect size estimates to</w:t>
      </w:r>
      <w:r>
        <w:t xml:space="preserve"> </w:t>
      </w:r>
      <w:r>
        <w:rPr>
          <w:iCs/>
          <w:i/>
        </w:rPr>
        <w:t xml:space="preserve">lnRR</w:t>
      </w:r>
      <w:r>
        <w:t xml:space="preserve"> </w:t>
      </w:r>
      <w:r>
        <w:t xml:space="preserve">that allow for comparisons of changes in variance between two groups, the log variance ratio (</w:t>
      </w:r>
      <w:r>
        <w:rPr>
          <w:iCs/>
          <w:i/>
        </w:rPr>
        <w:t xml:space="preserve">lnVR</w:t>
      </w:r>
      <w:r>
        <w:t xml:space="preserve">) and the log coefficient of variation (</w:t>
      </w:r>
      <w:r>
        <w:rPr>
          <w:iCs/>
          <w:i/>
        </w:rPr>
        <w:t xml:space="preserve">lnCVR</w:t>
      </w:r>
      <w:r>
        <w:t xml:space="preserve">).</w:t>
      </w:r>
      <w:r>
        <w:t xml:space="preserve"> </w:t>
      </w:r>
      <w:r>
        <w:rPr>
          <w:iCs/>
          <w:i/>
        </w:rPr>
        <w:t xml:space="preserve">lnVR</w:t>
      </w:r>
      <w:r>
        <w:t xml:space="preserve"> </w:t>
      </w:r>
      <w:r>
        <w:t xml:space="preserve">and</w:t>
      </w:r>
      <w:r>
        <w:t xml:space="preserve"> </w:t>
      </w:r>
      <w:r>
        <w:rPr>
          <w:iCs/>
          <w:i/>
        </w:rPr>
        <w:t xml:space="preserve">lnCVR</w:t>
      </w:r>
      <w:r>
        <w:t xml:space="preserve"> </w:t>
      </w:r>
      <w:r>
        <w:t xml:space="preserve">are ratios that describe the relative difference in trait variability between two groups. We refer readers to</w:t>
      </w:r>
      <w:r>
        <w:t xml:space="preserve"> </w:t>
      </w:r>
      <w:r>
        <w:t xml:space="preserve">Nakagawa</w:t>
      </w:r>
      <w:r>
        <w:t xml:space="preserve"> </w:t>
      </w:r>
      <w:r>
        <w:rPr>
          <w:iCs/>
          <w:i/>
        </w:rPr>
        <w:t xml:space="preserve">et al.</w:t>
      </w:r>
      <w:r>
        <w:t xml:space="preserve"> </w:t>
      </w:r>
      <w:r>
        <w:t xml:space="preserve">(2015)</w:t>
      </w:r>
      <w:r>
        <w:t xml:space="preserve"> </w:t>
      </w:r>
      <w:r>
        <w:t xml:space="preserve">for the equations describing</w:t>
      </w:r>
      <w:r>
        <w:t xml:space="preserve"> </w:t>
      </w:r>
      <w:r>
        <w:rPr>
          <w:iCs/>
          <w:i/>
        </w:rPr>
        <w:t xml:space="preserve">lnVR</w:t>
      </w:r>
      <w:r>
        <w:t xml:space="preserve"> </w:t>
      </w:r>
      <w:r>
        <w:t xml:space="preserve">and</w:t>
      </w:r>
      <w:r>
        <w:t xml:space="preserve"> </w:t>
      </w:r>
      <w:r>
        <w:rPr>
          <w:iCs/>
          <w:i/>
        </w:rPr>
        <w:t xml:space="preserve">lnCVR</w:t>
      </w:r>
      <w:r>
        <w:t xml:space="preserve">, but these can easily be extended to their</w:t>
      </w:r>
      <w:r>
        <w:t xml:space="preserve"> </w:t>
      </w:r>
      <m:oMath>
        <m:sSub>
          <m:e>
            <m:r>
              <m:t>Q</m:t>
            </m:r>
          </m:e>
          <m:sub>
            <m:r>
              <m:t>10</m:t>
            </m:r>
          </m:sub>
        </m:sSub>
      </m:oMath>
      <w:r>
        <w:t xml:space="preserve"> </w:t>
      </w:r>
      <w:r>
        <w:t xml:space="preserve">analogues (and associated sampling variance) as follows:</w:t>
      </w:r>
    </w:p>
    <w:p>
      <w:pPr>
        <w:pStyle w:val="BodyText"/>
      </w:pPr>
      <m:oMathPara>
        <m:oMathParaPr>
          <m:jc m:val="center"/>
        </m:oMathParaPr>
        <m:oMath>
          <m:r>
            <m:t>l</m:t>
          </m:r>
          <m:r>
            <m:t>n</m:t>
          </m:r>
          <m:r>
            <m:t>V</m:t>
          </m:r>
          <m:sSub>
            <m:e>
              <m:r>
                <m:t>R</m:t>
              </m:r>
            </m:e>
            <m:sub>
              <m:sSub>
                <m:e>
                  <m:r>
                    <m:t>Q</m:t>
                  </m:r>
                </m:e>
                <m:sub>
                  <m:r>
                    <m:t>10</m:t>
                  </m:r>
                </m:sub>
              </m:sSub>
            </m:sub>
          </m:sSub>
          <m:r>
            <m:rPr>
              <m:sty m:val="p"/>
            </m:rPr>
            <m:t>=</m:t>
          </m:r>
          <m:r>
            <m:t>l</m:t>
          </m:r>
          <m:r>
            <m:t>n</m:t>
          </m:r>
          <m:d>
            <m:dPr>
              <m:begChr m:val="("/>
              <m:endChr m:val=")"/>
              <m:sepChr m:val=""/>
              <m:grow/>
            </m:dPr>
            <m:e>
              <m:f>
                <m:fPr>
                  <m:type m:val="bar"/>
                </m:fPr>
                <m:num>
                  <m:r>
                    <m:t>S</m:t>
                  </m:r>
                  <m:sSub>
                    <m:e>
                      <m:r>
                        <m:t>D</m:t>
                      </m:r>
                    </m:e>
                    <m:sub>
                      <m:r>
                        <m:t>2</m:t>
                      </m:r>
                    </m:sub>
                  </m:sSub>
                </m:num>
                <m:den>
                  <m:r>
                    <m:t>S</m:t>
                  </m:r>
                  <m:sSub>
                    <m:e>
                      <m:r>
                        <m:t>D</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r>
                <m:t>V</m:t>
              </m:r>
              <m:r>
                <m:t>R</m:t>
              </m:r>
            </m:e>
          </m:d>
        </m:oMath>
      </m:oMathPara>
    </w:p>
    <w:p>
      <w:pPr>
        <w:pStyle w:val="FirstParagraph"/>
      </w:pPr>
      <m:oMathPara>
        <m:oMathParaPr>
          <m:jc m:val="center"/>
        </m:oMathParaPr>
        <m:oMath>
          <m:sSub>
            <m:e>
              <m:r>
                <m:t>s</m:t>
              </m:r>
            </m:e>
            <m:sub>
              <m:r>
                <m:t>l</m:t>
              </m:r>
              <m:r>
                <m:t>n</m:t>
              </m:r>
              <m:r>
                <m:t>V</m:t>
              </m:r>
              <m:sSub>
                <m:e>
                  <m:r>
                    <m:t>R</m:t>
                  </m:r>
                </m:e>
                <m:sub>
                  <m:sSub>
                    <m:e>
                      <m:r>
                        <m:t>Q</m:t>
                      </m:r>
                    </m:e>
                    <m:sub>
                      <m:r>
                        <m:t>10</m:t>
                      </m:r>
                    </m:sub>
                  </m:sSub>
                </m:sub>
              </m:sSub>
            </m:sub>
          </m:sSub>
          <m:r>
            <m:rPr>
              <m:sty m:val="p"/>
            </m:rPr>
            <m:t>=</m:t>
          </m:r>
          <m:d>
            <m:dPr>
              <m:begChr m:val="("/>
              <m:endChr m:val=")"/>
              <m:sepChr m:val=""/>
              <m:grow/>
            </m:dPr>
            <m:e>
              <m:f>
                <m:fPr>
                  <m:type m:val="bar"/>
                </m:fPr>
                <m:num>
                  <m:r>
                    <m:t>1</m:t>
                  </m:r>
                </m:num>
                <m:den>
                  <m:r>
                    <m:t>2</m:t>
                  </m:r>
                  <m:d>
                    <m:dPr>
                      <m:begChr m:val="("/>
                      <m:endChr m:val=")"/>
                      <m:sepChr m:val=""/>
                      <m:grow/>
                    </m:dPr>
                    <m:e>
                      <m:sSub>
                        <m:e>
                          <m:r>
                            <m:t>N</m:t>
                          </m:r>
                        </m:e>
                        <m:sub>
                          <m:r>
                            <m:t>2</m:t>
                          </m:r>
                        </m:sub>
                      </m:sSub>
                      <m:r>
                        <m:rPr>
                          <m:sty m:val="p"/>
                        </m:rPr>
                        <m:t>−</m:t>
                      </m:r>
                      <m:r>
                        <m:t>1</m:t>
                      </m:r>
                    </m:e>
                  </m:d>
                </m:den>
              </m:f>
              <m:r>
                <m:rPr>
                  <m:sty m:val="p"/>
                </m:rPr>
                <m:t>+</m:t>
              </m:r>
              <m:f>
                <m:fPr>
                  <m:type m:val="bar"/>
                </m:fPr>
                <m:num>
                  <m:r>
                    <m:t>1</m:t>
                  </m:r>
                </m:num>
                <m:den>
                  <m:r>
                    <m:t>2</m:t>
                  </m:r>
                  <m:d>
                    <m:dPr>
                      <m:begChr m:val="("/>
                      <m:endChr m:val=")"/>
                      <m:sepChr m:val=""/>
                      <m:grow/>
                    </m:dPr>
                    <m:e>
                      <m:sSub>
                        <m:e>
                          <m:r>
                            <m:t>N</m:t>
                          </m:r>
                        </m:e>
                        <m:sub>
                          <m:r>
                            <m:t>1</m:t>
                          </m:r>
                        </m:sub>
                      </m:sSub>
                      <m:r>
                        <m:rPr>
                          <m:sty m:val="p"/>
                        </m:rPr>
                        <m:t>−</m:t>
                      </m:r>
                      <m:r>
                        <m:t>1</m:t>
                      </m:r>
                    </m:e>
                  </m:d>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s</m:t>
              </m:r>
              <m:r>
                <m:t>l</m:t>
              </m:r>
              <m:r>
                <m:t>n</m:t>
              </m:r>
              <m:r>
                <m:t>q</m:t>
              </m:r>
              <m:r>
                <m:t>10</m:t>
              </m:r>
              <m:r>
                <m:t>V</m:t>
              </m:r>
              <m:r>
                <m:t>R</m:t>
              </m:r>
            </m:e>
          </m:d>
        </m:oMath>
      </m:oMathPara>
    </w:p>
    <w:p>
      <w:pPr>
        <w:pStyle w:val="FirstParagraph"/>
      </w:pPr>
      <w:r>
        <w:t xml:space="preserve">Equations (3) and (4) describe the change in physiological rate variance (eqn (3)) across a 10°C temperature change along with its sampling variance (eqn (4)). While this is a useful metric, as discussed by</w:t>
      </w:r>
      <w:r>
        <w:t xml:space="preserve"> </w:t>
      </w:r>
      <w:r>
        <w:t xml:space="preserve">Nakagawa</w:t>
      </w:r>
      <w:r>
        <w:t xml:space="preserve"> </w:t>
      </w:r>
      <w:r>
        <w:rPr>
          <w:iCs/>
          <w:i/>
        </w:rPr>
        <w:t xml:space="preserve">et al.</w:t>
      </w:r>
      <w:r>
        <w:t xml:space="preserve"> </w:t>
      </w:r>
      <w:r>
        <w:t xml:space="preserve">(2015)</w:t>
      </w:r>
      <w:r>
        <w:t xml:space="preserve"> </w:t>
      </w:r>
      <w:r>
        <w:t xml:space="preserve">there is often a strong mean-variance relationship that needs to be accounted for in analysing changes in variance. As such, we calculated the coefficient of variation, which standardizes changes in variance for changes in means as follows:</w:t>
      </w:r>
    </w:p>
    <w:p>
      <w:pPr>
        <w:pStyle w:val="BodyText"/>
      </w:pPr>
      <m:oMathPara>
        <m:oMathParaPr>
          <m:jc m:val="center"/>
        </m:oMathParaPr>
        <m:oMath>
          <m:r>
            <m:t>l</m:t>
          </m:r>
          <m:r>
            <m:t>n</m:t>
          </m:r>
          <m:r>
            <m:t>C</m:t>
          </m:r>
          <m:r>
            <m:t>V</m:t>
          </m:r>
          <m:sSub>
            <m:e>
              <m:r>
                <m:t>R</m:t>
              </m:r>
            </m:e>
            <m:sub>
              <m:sSub>
                <m:e>
                  <m:r>
                    <m:t>Q</m:t>
                  </m:r>
                </m:e>
                <m:sub>
                  <m:r>
                    <m:t>10</m:t>
                  </m:r>
                </m:sub>
              </m:sSub>
            </m:sub>
          </m:sSub>
          <m:r>
            <m:rPr>
              <m:sty m:val="p"/>
            </m:rPr>
            <m:t>=</m:t>
          </m:r>
          <m:r>
            <m:t>l</m:t>
          </m:r>
          <m:r>
            <m:t>n</m:t>
          </m:r>
          <m:d>
            <m:dPr>
              <m:begChr m:val="("/>
              <m:endChr m:val=")"/>
              <m:sepChr m:val=""/>
              <m:grow/>
            </m:dPr>
            <m:e>
              <m:f>
                <m:fPr>
                  <m:type m:val="bar"/>
                </m:fPr>
                <m:num>
                  <m:sSub>
                    <m:e>
                      <m:r>
                        <m:rPr>
                          <m:nor/>
                          <m:sty m:val="p"/>
                        </m:rPr>
                        <m:t>CV</m:t>
                      </m:r>
                    </m:e>
                    <m:sub>
                      <m:r>
                        <m:t>2</m:t>
                      </m:r>
                    </m:sub>
                  </m:sSub>
                </m:num>
                <m:den>
                  <m:sSub>
                    <m:e>
                      <m:r>
                        <m:rPr>
                          <m:nor/>
                          <m:sty m:val="p"/>
                        </m:rPr>
                        <m:t>CV</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r>
                <m:t>C</m:t>
              </m:r>
              <m:r>
                <m:t>V</m:t>
              </m:r>
              <m:r>
                <m:t>R</m:t>
              </m:r>
            </m:e>
          </m:d>
        </m:oMath>
      </m:oMathPara>
    </w:p>
    <w:p>
      <w:pPr>
        <w:pStyle w:val="FirstParagraph"/>
      </w:pPr>
      <m:oMathPara>
        <m:oMathParaPr>
          <m:jc m:val="center"/>
        </m:oMathParaPr>
        <m:oMath>
          <m:sSub>
            <m:e>
              <m:r>
                <m:t>s</m:t>
              </m:r>
            </m:e>
            <m:sub>
              <m:r>
                <m:t>l</m:t>
              </m:r>
              <m:r>
                <m:t>n</m:t>
              </m:r>
              <m:r>
                <m:t>C</m:t>
              </m:r>
              <m:r>
                <m:t>V</m:t>
              </m:r>
              <m:sSub>
                <m:e>
                  <m:r>
                    <m:t>R</m:t>
                  </m:r>
                </m:e>
                <m:sub>
                  <m:sSub>
                    <m:e>
                      <m:r>
                        <m:t>Q</m:t>
                      </m:r>
                    </m:e>
                    <m:sub>
                      <m:r>
                        <m:t>10</m:t>
                      </m:r>
                    </m:sub>
                  </m:sSub>
                </m:sub>
              </m:sSub>
            </m:sub>
          </m:sSub>
          <m:r>
            <m:rPr>
              <m:sty m:val="p"/>
            </m:rPr>
            <m:t>=</m:t>
          </m:r>
          <m:d>
            <m:dPr>
              <m:begChr m:val="["/>
              <m:endChr m:val="]"/>
              <m:sepChr m:val=""/>
              <m:grow/>
            </m:dPr>
            <m:e>
              <m:f>
                <m:fPr>
                  <m:type m:val="bar"/>
                </m:fPr>
                <m:num>
                  <m:sSup>
                    <m:e>
                      <m:d>
                        <m:dPr>
                          <m:begChr m:val="("/>
                          <m:endChr m:val=")"/>
                          <m:sepChr m:val=""/>
                          <m:grow/>
                        </m:dPr>
                        <m:e>
                          <m:sSub>
                            <m:e>
                              <m:r>
                                <m:rPr>
                                  <m:nor/>
                                  <m:sty m:val="p"/>
                                </m:rPr>
                                <m:t>SD</m:t>
                              </m:r>
                            </m:e>
                            <m:sub>
                              <m:r>
                                <m:t>1</m:t>
                              </m:r>
                            </m:sub>
                          </m:sSub>
                        </m:e>
                      </m:d>
                    </m:e>
                    <m:sup>
                      <m:r>
                        <m:t>2</m:t>
                      </m:r>
                    </m:sup>
                  </m:sSup>
                </m:num>
                <m:den>
                  <m:sSub>
                    <m:e>
                      <m:r>
                        <m:t>N</m:t>
                      </m:r>
                    </m:e>
                    <m:sub>
                      <m:r>
                        <m:t>1</m:t>
                      </m:r>
                    </m:sub>
                  </m:sSub>
                  <m:sSup>
                    <m:e>
                      <m:d>
                        <m:dPr>
                          <m:begChr m:val="("/>
                          <m:endChr m:val=")"/>
                          <m:sepChr m:val=""/>
                          <m:grow/>
                        </m:dPr>
                        <m:e>
                          <m:sSub>
                            <m:e>
                              <m:r>
                                <m:t>R</m:t>
                              </m:r>
                            </m:e>
                            <m:sub>
                              <m:r>
                                <m:t>1</m:t>
                              </m:r>
                            </m:sub>
                          </m:sSub>
                        </m:e>
                      </m:d>
                    </m:e>
                    <m:sup>
                      <m:r>
                        <m:t>2</m:t>
                      </m:r>
                    </m:sup>
                  </m:sSup>
                </m:den>
              </m:f>
              <m:r>
                <m:rPr>
                  <m:sty m:val="p"/>
                </m:rPr>
                <m:t>+</m:t>
              </m:r>
              <m:f>
                <m:fPr>
                  <m:type m:val="bar"/>
                </m:fPr>
                <m:num>
                  <m:sSup>
                    <m:e>
                      <m:d>
                        <m:dPr>
                          <m:begChr m:val="("/>
                          <m:endChr m:val=")"/>
                          <m:sepChr m:val=""/>
                          <m:grow/>
                        </m:dPr>
                        <m:e>
                          <m:sSub>
                            <m:e>
                              <m:r>
                                <m:rPr>
                                  <m:nor/>
                                  <m:sty m:val="p"/>
                                </m:rPr>
                                <m:t>SD</m:t>
                              </m:r>
                            </m:e>
                            <m:sub>
                              <m:r>
                                <m:t>2</m:t>
                              </m:r>
                            </m:sub>
                          </m:sSub>
                        </m:e>
                      </m:d>
                    </m:e>
                    <m:sup>
                      <m:r>
                        <m:t>2</m:t>
                      </m:r>
                    </m:sup>
                  </m:sSup>
                </m:num>
                <m:den>
                  <m:sSub>
                    <m:e>
                      <m:r>
                        <m:t>N</m:t>
                      </m:r>
                    </m:e>
                    <m:sub>
                      <m:r>
                        <m:t>2</m:t>
                      </m:r>
                    </m:sub>
                  </m:sSub>
                  <m:sSup>
                    <m:e>
                      <m:d>
                        <m:dPr>
                          <m:begChr m:val="("/>
                          <m:endChr m:val=")"/>
                          <m:sepChr m:val=""/>
                          <m:grow/>
                        </m:dPr>
                        <m:e>
                          <m:sSub>
                            <m:e>
                              <m:r>
                                <m:t>R</m:t>
                              </m:r>
                            </m:e>
                            <m:sub>
                              <m:r>
                                <m:t>2</m:t>
                              </m:r>
                            </m:sub>
                          </m:sSub>
                        </m:e>
                      </m:d>
                    </m:e>
                    <m:sup>
                      <m:r>
                        <m:t>2</m:t>
                      </m:r>
                    </m:sup>
                  </m:sSup>
                </m:den>
              </m:f>
              <m:r>
                <m:rPr>
                  <m:sty m:val="p"/>
                </m:rPr>
                <m:t>+</m:t>
              </m:r>
              <m:f>
                <m:fPr>
                  <m:type m:val="bar"/>
                </m:fPr>
                <m:num>
                  <m:r>
                    <m:t>1</m:t>
                  </m:r>
                </m:num>
                <m:den>
                  <m:r>
                    <m:t>2</m:t>
                  </m:r>
                  <m:d>
                    <m:dPr>
                      <m:begChr m:val="("/>
                      <m:endChr m:val=")"/>
                      <m:sepChr m:val=""/>
                      <m:grow/>
                    </m:dPr>
                    <m:e>
                      <m:sSub>
                        <m:e>
                          <m:r>
                            <m:t>N</m:t>
                          </m:r>
                        </m:e>
                        <m:sub>
                          <m:r>
                            <m:t>1</m:t>
                          </m:r>
                        </m:sub>
                      </m:sSub>
                      <m:r>
                        <m:rPr>
                          <m:sty m:val="p"/>
                        </m:rPr>
                        <m:t>−</m:t>
                      </m:r>
                      <m:r>
                        <m:t>1</m:t>
                      </m:r>
                    </m:e>
                  </m:d>
                </m:den>
              </m:f>
              <m:r>
                <m:rPr>
                  <m:sty m:val="p"/>
                </m:rPr>
                <m:t>+</m:t>
              </m:r>
              <m:f>
                <m:fPr>
                  <m:type m:val="bar"/>
                </m:fPr>
                <m:num>
                  <m:r>
                    <m:t>1</m:t>
                  </m:r>
                </m:num>
                <m:den>
                  <m:r>
                    <m:t>2</m:t>
                  </m:r>
                  <m:d>
                    <m:dPr>
                      <m:begChr m:val="("/>
                      <m:endChr m:val=")"/>
                      <m:sepChr m:val=""/>
                      <m:grow/>
                    </m:dPr>
                    <m:e>
                      <m:sSub>
                        <m:e>
                          <m:r>
                            <m:t>N</m:t>
                          </m:r>
                        </m:e>
                        <m:sub>
                          <m:r>
                            <m:t>2</m:t>
                          </m:r>
                        </m:sub>
                      </m:sSub>
                      <m:r>
                        <m:rPr>
                          <m:sty m:val="p"/>
                        </m:rPr>
                        <m:t>−</m:t>
                      </m:r>
                      <m:r>
                        <m:t>1</m:t>
                      </m:r>
                    </m:e>
                  </m:d>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s</m:t>
              </m:r>
              <m:r>
                <m:t>l</m:t>
              </m:r>
              <m:r>
                <m:t>n</m:t>
              </m:r>
              <m:r>
                <m:t>q</m:t>
              </m:r>
              <m:r>
                <m:t>10</m:t>
              </m:r>
              <m:r>
                <m:t>C</m:t>
              </m:r>
              <m:r>
                <m:t>V</m:t>
              </m:r>
              <m:r>
                <m:t>R</m:t>
              </m:r>
            </m:e>
          </m:d>
        </m:oMath>
      </m:oMathPara>
    </w:p>
    <w:p>
      <w:pPr>
        <w:pStyle w:val="FirstParagraph"/>
      </w:pPr>
      <w:r>
        <w:t xml:space="preserve">where</w:t>
      </w:r>
      <w:r>
        <w:t xml:space="preserve"> </w:t>
      </w:r>
      <m:oMath>
        <m:r>
          <m:t>C</m:t>
        </m:r>
        <m:r>
          <m:t>V</m:t>
        </m:r>
      </m:oMath>
      <w:r>
        <w:t xml:space="preserve"> </w:t>
      </w:r>
      <w:r>
        <w:t xml:space="preserve">is the coefficient of variation defined as</w:t>
      </w:r>
      <w:r>
        <w:t xml:space="preserve"> </w:t>
      </w:r>
      <m:oMath>
        <m:r>
          <m:t>S</m:t>
        </m:r>
        <m:r>
          <m:t>D</m:t>
        </m:r>
        <m:r>
          <m:rPr>
            <m:sty m:val="p"/>
          </m:rPr>
          <m:t>/</m:t>
        </m:r>
        <m:r>
          <m:t>R</m:t>
        </m:r>
      </m:oMath>
      <w:r>
        <w:t xml:space="preserve">.</w:t>
      </w:r>
    </w:p>
    <w:bookmarkEnd w:id="26"/>
    <w:bookmarkStart w:id="27" w:name="X9669279ffbb8faf91cf80ad27852fe842a929bd"/>
    <w:p>
      <w:pPr>
        <w:pStyle w:val="Heading4"/>
      </w:pPr>
      <w:r>
        <w:rPr>
          <w:iCs/>
          <w:i/>
        </w:rPr>
        <w:t xml:space="preserve">Calculating acute and acclimation</w:t>
      </w:r>
      <w:r>
        <w:rPr>
          <w:iCs/>
          <w:i/>
        </w:rPr>
        <w:t xml:space="preserve"> </w:t>
      </w:r>
      <m:oMath>
        <m:r>
          <m:t>l</m:t>
        </m:r>
        <m:r>
          <m:t>n</m:t>
        </m:r>
        <m:r>
          <m:t>R</m:t>
        </m:r>
        <m:sSub>
          <m:e>
            <m:r>
              <m:t>R</m:t>
            </m:r>
          </m:e>
          <m:sub>
            <m:sSub>
              <m:e>
                <m:r>
                  <m:t>Q</m:t>
                </m:r>
              </m:e>
              <m:sub>
                <m:r>
                  <m:t>10</m:t>
                </m:r>
              </m:sub>
            </m:sSub>
          </m:sub>
        </m:sSub>
      </m:oMath>
      <w:r>
        <w:rPr>
          <w:iCs/>
          <w:i/>
        </w:rPr>
        <w:t xml:space="preserve">,</w:t>
      </w:r>
      <w:r>
        <w:rPr>
          <w:iCs/>
          <w:i/>
        </w:rPr>
        <w:t xml:space="preserve"> </w:t>
      </w:r>
      <m:oMath>
        <m:r>
          <m:t>l</m:t>
        </m:r>
        <m:r>
          <m:t>n</m:t>
        </m:r>
        <m:r>
          <m:t>V</m:t>
        </m:r>
        <m:sSub>
          <m:e>
            <m:r>
              <m:t>R</m:t>
            </m:r>
          </m:e>
          <m:sub>
            <m:sSub>
              <m:e>
                <m:r>
                  <m:t>Q</m:t>
                </m:r>
              </m:e>
              <m:sub>
                <m:r>
                  <m:t>10</m:t>
                </m:r>
              </m:sub>
            </m:sSub>
          </m:sub>
        </m:sSub>
      </m:oMath>
      <w:r>
        <w:rPr>
          <w:iCs/>
          <w:i/>
        </w:rPr>
        <w:t xml:space="preserve"> </w:t>
      </w:r>
      <w:r>
        <w:rPr>
          <w:iCs/>
          <w:i/>
        </w:rPr>
        <w:t xml:space="preserve">and</w:t>
      </w:r>
      <w:r>
        <w:rPr>
          <w:iCs/>
          <w:i/>
        </w:rPr>
        <w:t xml:space="preserve"> </w:t>
      </w:r>
      <m:oMath>
        <m:r>
          <m:t>l</m:t>
        </m:r>
        <m:r>
          <m:t>n</m:t>
        </m:r>
        <m:r>
          <m:t>C</m:t>
        </m:r>
        <m:r>
          <m:t>V</m:t>
        </m:r>
        <m:sSub>
          <m:e>
            <m:r>
              <m:t>R</m:t>
            </m:r>
          </m:e>
          <m:sub>
            <m:sSub>
              <m:e>
                <m:r>
                  <m:t>Q</m:t>
                </m:r>
              </m:e>
              <m:sub>
                <m:r>
                  <m:t>10</m:t>
                </m:r>
              </m:sub>
            </m:sSub>
          </m:sub>
        </m:sSub>
      </m:oMath>
      <w:r>
        <w:rPr>
          <w:iCs/>
          <w:i/>
        </w:rPr>
        <w:t xml:space="preserve"> </w:t>
      </w:r>
      <w:r>
        <w:rPr>
          <w:iCs/>
          <w:i/>
        </w:rPr>
        <w:t xml:space="preserve">estimates</w:t>
      </w:r>
    </w:p>
    <w:p>
      <w:pPr>
        <w:pStyle w:val="FirstParagraph"/>
      </w:pPr>
      <w:r>
        <w:t xml:space="preserve">Using the mean, standard deviation, and sample size for all acute and acclimation treatments of studies in our databases we derived acute and acclimation</w:t>
      </w:r>
      <w:r>
        <w:t xml:space="preserve"> </w:t>
      </w:r>
      <m:oMath>
        <m:r>
          <m:t>l</m:t>
        </m:r>
        <m:r>
          <m:t>n</m:t>
        </m:r>
        <m:r>
          <m:t>R</m:t>
        </m:r>
        <m:sSub>
          <m:e>
            <m:r>
              <m:t>R</m:t>
            </m:r>
          </m:e>
          <m:sub>
            <m:sSub>
              <m:e>
                <m:r>
                  <m:t>Q</m:t>
                </m:r>
              </m:e>
              <m:sub>
                <m:r>
                  <m:t>10</m:t>
                </m:r>
              </m:sub>
            </m:sSub>
          </m:sub>
        </m:sSub>
      </m:oMath>
      <w:r>
        <w:t xml:space="preserve">,</w:t>
      </w:r>
      <w:r>
        <w:t xml:space="preserve"> </w:t>
      </w:r>
      <m:oMath>
        <m:r>
          <m:t>l</m:t>
        </m:r>
        <m:r>
          <m:t>n</m:t>
        </m:r>
        <m:r>
          <m:t>V</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w:t>
      </w:r>
      <w:r>
        <w:t xml:space="preserve">estimates. For all effect sizes the higher acute or acclimation temperature was in the numerator and the lower of the two temperatures in the denominator. As such, positive effect sizes suggest that the mean or variance is larger at the higher of the two temperatures, standardized to 10°C.</w:t>
      </w:r>
    </w:p>
    <w:bookmarkEnd w:id="27"/>
    <w:bookmarkEnd w:id="28"/>
    <w:bookmarkStart w:id="29" w:name="moderator-variables"/>
    <w:p>
      <w:pPr>
        <w:pStyle w:val="Heading3"/>
      </w:pPr>
      <w:r>
        <w:rPr>
          <w:iCs/>
          <w:i/>
        </w:rPr>
        <w:t xml:space="preserve">Moderator Variables</w:t>
      </w:r>
    </w:p>
    <w:p>
      <w:pPr>
        <w:pStyle w:val="FirstParagraph"/>
      </w:pPr>
      <w:r>
        <w:t xml:space="preserve">We recorded or derived a series of moderator variables from each study that are expected to have an impact on our effect size estimates. These included the duration of acclimation in days and acclimation type (</w:t>
      </w:r>
      <w:r>
        <w:t xml:space="preserve">“</w:t>
      </w:r>
      <w:r>
        <w:t xml:space="preserve">acclimation</w:t>
      </w:r>
      <w:r>
        <w:t xml:space="preserve">”</w:t>
      </w:r>
      <w:r>
        <w:t xml:space="preserve"> </w:t>
      </w:r>
      <w:r>
        <w:t xml:space="preserve">or</w:t>
      </w:r>
      <w:r>
        <w:t xml:space="preserve"> </w:t>
      </w:r>
      <w:r>
        <w:t xml:space="preserve">“</w:t>
      </w:r>
      <w:r>
        <w:t xml:space="preserve">acclimatization</w:t>
      </w:r>
      <w:r>
        <w:t xml:space="preserve">”</w:t>
      </w:r>
      <w:r>
        <w:t xml:space="preserve">) given that acclimation responses are expected to depend on how long chronic temperature exposure occurs (longer exposure = better acclimation response)</w:t>
      </w:r>
      <w:r>
        <w:t xml:space="preserve"> </w:t>
      </w:r>
      <w:r>
        <w:t xml:space="preserve">(Seebacher</w:t>
      </w:r>
      <w:r>
        <w:t xml:space="preserve"> </w:t>
      </w:r>
      <w:r>
        <w:rPr>
          <w:iCs/>
          <w:i/>
        </w:rPr>
        <w:t xml:space="preserve">et al.</w:t>
      </w:r>
      <w:r>
        <w:t xml:space="preserve"> </w:t>
      </w:r>
      <w:r>
        <w:t xml:space="preserve">2015)</w:t>
      </w:r>
      <w:r>
        <w:t xml:space="preserve">. We also recorded if the sample of animals were derived from captive or wild stocks, the life-history stage of the animals used (</w:t>
      </w:r>
      <w:r>
        <w:t xml:space="preserve">“</w:t>
      </w:r>
      <w:r>
        <w:t xml:space="preserve">adult</w:t>
      </w:r>
      <w:r>
        <w:t xml:space="preserve">”</w:t>
      </w:r>
      <w:r>
        <w:t xml:space="preserve"> </w:t>
      </w:r>
      <w:r>
        <w:t xml:space="preserve">or</w:t>
      </w:r>
      <w:r>
        <w:t xml:space="preserve"> </w:t>
      </w:r>
      <w:r>
        <w:t xml:space="preserve">“</w:t>
      </w:r>
      <w:r>
        <w:t xml:space="preserve">juvenile</w:t>
      </w:r>
      <w:r>
        <w:t xml:space="preserve">”</w:t>
      </w:r>
      <w:r>
        <w:t xml:space="preserve">) and the habitat type (</w:t>
      </w:r>
      <w:r>
        <w:t xml:space="preserve">“</w:t>
      </w:r>
      <w:r>
        <w:t xml:space="preserve">freshwater</w:t>
      </w:r>
      <w:r>
        <w:t xml:space="preserve">”</w:t>
      </w:r>
      <w:r>
        <w:t xml:space="preserve">,</w:t>
      </w:r>
      <w:r>
        <w:t xml:space="preserve"> </w:t>
      </w:r>
      <w:r>
        <w:t xml:space="preserve">“</w:t>
      </w:r>
      <w:r>
        <w:t xml:space="preserve">marine</w:t>
      </w:r>
      <w:r>
        <w:t xml:space="preserve">”</w:t>
      </w:r>
      <w:r>
        <w:t xml:space="preserve"> </w:t>
      </w:r>
      <w:r>
        <w:t xml:space="preserve">or</w:t>
      </w:r>
      <w:r>
        <w:t xml:space="preserve"> </w:t>
      </w:r>
      <w:r>
        <w:t xml:space="preserve">“</w:t>
      </w:r>
      <w:r>
        <w:t xml:space="preserve">terrestrial</w:t>
      </w:r>
      <w:r>
        <w:t xml:space="preserve">”</w:t>
      </w:r>
      <w:r>
        <w:t xml:space="preserve">) given that</w:t>
      </w:r>
      <w:r>
        <w:t xml:space="preserve"> </w:t>
      </w:r>
      <w:r>
        <w:t xml:space="preserve">Seebacher</w:t>
      </w:r>
      <w:r>
        <w:t xml:space="preserve"> </w:t>
      </w:r>
      <w:r>
        <w:rPr>
          <w:iCs/>
          <w:i/>
        </w:rPr>
        <w:t xml:space="preserve">et al.</w:t>
      </w:r>
      <w:r>
        <w:t xml:space="preserve"> </w:t>
      </w:r>
      <w:r>
        <w:t xml:space="preserve">(2015)</w:t>
      </w:r>
      <w:r>
        <w:t xml:space="preserve"> </w:t>
      </w:r>
      <w:r>
        <w:t xml:space="preserve">show that these factors can impact</w:t>
      </w:r>
      <w:r>
        <w:t xml:space="preserve"> </w:t>
      </w:r>
      <m:oMath>
        <m:sSub>
          <m:e>
            <m:r>
              <m:t>Q</m:t>
            </m:r>
          </m:e>
          <m:sub>
            <m:r>
              <m:t>10</m:t>
            </m:r>
          </m:sub>
        </m:sSub>
      </m:oMath>
      <w:r>
        <w:t xml:space="preserve"> </w:t>
      </w:r>
      <w:r>
        <w:t xml:space="preserve">estimates. Physiological rate measures varied widely across the studies but could generally be grouped into discrete trait categories</w:t>
      </w:r>
      <w:r>
        <w:t xml:space="preserve"> </w:t>
      </w:r>
      <w:r>
        <w:t xml:space="preserve">(Seebacher</w:t>
      </w:r>
      <w:r>
        <w:t xml:space="preserve"> </w:t>
      </w:r>
      <w:r>
        <w:rPr>
          <w:iCs/>
          <w:i/>
        </w:rPr>
        <w:t xml:space="preserve">et al.</w:t>
      </w:r>
      <w:r>
        <w:t xml:space="preserve"> </w:t>
      </w:r>
      <w:r>
        <w:t xml:space="preserve">2015)</w:t>
      </w:r>
      <w:r>
        <w:t xml:space="preserve">. As such, using the detailed information on the trait type, and its associated units from a given study, we categorized each effect size into one of 12 trait categories. These categories included measures of whole organism performance measures including cardiac (i.e.,</w:t>
      </w:r>
      <w:r>
        <w:t xml:space="preserve"> </w:t>
      </w:r>
      <w:r>
        <w:t xml:space="preserve">‘</w:t>
      </w:r>
      <w:r>
        <w:t xml:space="preserve">cardiac</w:t>
      </w:r>
      <w:r>
        <w:t xml:space="preserve">’</w:t>
      </w:r>
      <w:r>
        <w:t xml:space="preserve">) and muscle (</w:t>
      </w:r>
      <w:r>
        <w:t xml:space="preserve">‘</w:t>
      </w:r>
      <w:r>
        <w:t xml:space="preserve">muscle</w:t>
      </w:r>
      <w:r>
        <w:t xml:space="preserve">’</w:t>
      </w:r>
      <w:r>
        <w:t xml:space="preserve">) function, sprint speed (</w:t>
      </w:r>
      <w:r>
        <w:t xml:space="preserve">‘</w:t>
      </w:r>
      <w:r>
        <w:t xml:space="preserve">sprint</w:t>
      </w:r>
      <w:r>
        <w:t xml:space="preserve">’</w:t>
      </w:r>
      <w:r>
        <w:t xml:space="preserve">) and endurance (</w:t>
      </w:r>
      <w:r>
        <w:t xml:space="preserve">‘</w:t>
      </w:r>
      <w:r>
        <w:t xml:space="preserve">endurance</w:t>
      </w:r>
      <w:r>
        <w:t xml:space="preserve">’</w:t>
      </w:r>
      <w:r>
        <w:t xml:space="preserve">) and metabolic rates (i.e., maximal and resting metabolic rate; max MR’,</w:t>
      </w:r>
      <w:r>
        <w:t xml:space="preserve"> </w:t>
      </w:r>
      <w:r>
        <w:t xml:space="preserve">‘</w:t>
      </w:r>
      <w:r>
        <w:t xml:space="preserve">rest MR</w:t>
      </w:r>
      <w:r>
        <w:t xml:space="preserve">’</w:t>
      </w:r>
      <w:r>
        <w:t xml:space="preserve">, respectively). Studies also quantified various enzymatic reaction rates, including enzymes involved in general metabolic responses (categorized as</w:t>
      </w:r>
      <w:r>
        <w:t xml:space="preserve"> </w:t>
      </w:r>
      <w:r>
        <w:t xml:space="preserve">‘</w:t>
      </w:r>
      <w:r>
        <w:t xml:space="preserve">metabolic enzyme</w:t>
      </w:r>
      <w:r>
        <w:t xml:space="preserve">’</w:t>
      </w:r>
      <w:r>
        <w:t xml:space="preserve">), various parts of the electron transport chain, including ATPase activity (</w:t>
      </w:r>
      <w:r>
        <w:t xml:space="preserve">‘</w:t>
      </w:r>
      <w:r>
        <w:t xml:space="preserve">ATPase</w:t>
      </w:r>
      <w:r>
        <w:t xml:space="preserve">’</w:t>
      </w:r>
      <w:r>
        <w:t xml:space="preserve">), mitochondrial leak (</w:t>
      </w:r>
      <w:r>
        <w:t xml:space="preserve">‘</w:t>
      </w:r>
      <w:r>
        <w:t xml:space="preserve">mito_leak</w:t>
      </w:r>
      <w:r>
        <w:t xml:space="preserve">’</w:t>
      </w:r>
      <w:r>
        <w:t xml:space="preserve">) and oxidation (</w:t>
      </w:r>
      <w:r>
        <w:t xml:space="preserve">‘</w:t>
      </w:r>
      <w:r>
        <w:t xml:space="preserve">mito_oxidation</w:t>
      </w:r>
      <w:r>
        <w:t xml:space="preserve">’</w:t>
      </w:r>
      <w:r>
        <w:t xml:space="preserve">) as well as antioxidant enzymes (</w:t>
      </w:r>
      <w:r>
        <w:t xml:space="preserve">‘</w:t>
      </w:r>
      <w:r>
        <w:t xml:space="preserve">antiox</w:t>
      </w:r>
      <w:r>
        <w:t xml:space="preserve">’</w:t>
      </w:r>
      <w:r>
        <w:t xml:space="preserve">). All other traits not falling within these categories were placed into</w:t>
      </w:r>
      <w:r>
        <w:t xml:space="preserve"> </w:t>
      </w:r>
      <w:r>
        <w:t xml:space="preserve">‘</w:t>
      </w:r>
      <w:r>
        <w:t xml:space="preserve">other</w:t>
      </w:r>
      <w:r>
        <w:t xml:space="preserve">’</w:t>
      </w:r>
      <w:r>
        <w:t xml:space="preserve">.</w:t>
      </w:r>
    </w:p>
    <w:bookmarkEnd w:id="29"/>
    <w:bookmarkStart w:id="30" w:name="climate-data"/>
    <w:p>
      <w:pPr>
        <w:pStyle w:val="Heading3"/>
      </w:pPr>
      <w:r>
        <w:rPr>
          <w:iCs/>
          <w:i/>
        </w:rPr>
        <w:t xml:space="preserve">Climate Data</w:t>
      </w:r>
    </w:p>
    <w:p>
      <w:pPr>
        <w:pStyle w:val="FirstParagraph"/>
      </w:pPr>
      <w:r>
        <w:t xml:space="preserve">To understand how climate has impacted species’ physiological acclimation abilities we used the coordinates reported by each study to extract temperature data from terrestrial and aquatic environments. It was unclear whether climate at the locations of captive reared organisms would be representative of a populations climate history - particularly for species reared under captive condition for many generations. Given that we were interested in understanding climate driven effects on acclimation capacity we only used studies on wild populations were used for climate analyses.</w:t>
      </w:r>
    </w:p>
    <w:p>
      <w:pPr>
        <w:pStyle w:val="BodyText"/>
      </w:pPr>
      <w:r>
        <w:t xml:space="preserve">Temperature data was extracted using the monthly averages provided by the ERA5 climate model, available from the Copernicus climate data store</w:t>
      </w:r>
      <w:r>
        <w:t xml:space="preserve"> </w:t>
      </w:r>
      <w:r>
        <w:t xml:space="preserve">(Hersbach</w:t>
      </w:r>
      <w:r>
        <w:t xml:space="preserve"> </w:t>
      </w:r>
      <w:r>
        <w:rPr>
          <w:iCs/>
          <w:i/>
        </w:rPr>
        <w:t xml:space="preserve">et al.</w:t>
      </w:r>
      <w:r>
        <w:t xml:space="preserve"> </w:t>
      </w:r>
      <w:r>
        <w:t xml:space="preserve">2020)</w:t>
      </w:r>
      <w:r>
        <w:t xml:space="preserve">. For each population and species in the dataset we extracted a 30-year period (1958-2022) of either surface temperature at 2 meters for both terrestrial and freshwater taxa, or sea surface temperature for the marine taxa. We chose a 2-meter resolution because we believed that it more likely to reflects the micro-thermal environment experienced by terrestrial and freshwater ectotherms at those locations.</w:t>
      </w:r>
    </w:p>
    <w:p>
      <w:pPr>
        <w:pStyle w:val="BodyText"/>
      </w:pPr>
      <w:r>
        <w:t xml:space="preserve">Using the thermal time-series data for each location we summarised various metrics of thermal variability across months and years as well as estimates of thermal predictability (i.e., autocorrelation). To estimate thermal variability, we calculated the coefficient of variation (</w:t>
      </w:r>
      <m:oMath>
        <m:f>
          <m:fPr>
            <m:type m:val="bar"/>
          </m:fPr>
          <m:num>
            <m:r>
              <m:t>S</m:t>
            </m:r>
            <m:r>
              <m:t>D</m:t>
            </m:r>
          </m:num>
          <m:den>
            <m:r>
              <m:t>M</m:t>
            </m:r>
          </m:den>
        </m:f>
      </m:oMath>
      <w:r>
        <w:t xml:space="preserve">, where SD = standard deviation in temperature and M = the mean temperature for each year). To estimate thermal predictability, we calculated the auto-regressive time lag across the entire dataset. Theoretical and empirical studies of plasticity evolution have emphasised the importance of both climate variability and predictability in plasticity evolution.</w:t>
      </w:r>
    </w:p>
    <w:bookmarkEnd w:id="30"/>
    <w:bookmarkStart w:id="33" w:name="meta-analysis"/>
    <w:p>
      <w:pPr>
        <w:pStyle w:val="Heading3"/>
      </w:pPr>
      <w:r>
        <w:rPr>
          <w:iCs/>
          <w:i/>
        </w:rPr>
        <w:t xml:space="preserve">Meta-Analysis</w:t>
      </w:r>
    </w:p>
    <w:p>
      <w:pPr>
        <w:pStyle w:val="FirstParagraph"/>
      </w:pPr>
      <w:r>
        <w:t xml:space="preserve">We analysed our data using multilevel meta-analytic (MLMA) and meta-regression (MLMR) models in R (vers. 4.2.0) using</w:t>
      </w:r>
      <w:r>
        <w:t xml:space="preserve"> </w:t>
      </w:r>
      <w:r>
        <w:rPr>
          <w:iCs/>
          <w:i/>
        </w:rPr>
        <w:t xml:space="preserve">brms</w:t>
      </w:r>
      <w:r>
        <w:t xml:space="preserve"> </w:t>
      </w:r>
      <w:r>
        <w:t xml:space="preserve">(Bürkner 2017; vers. 2.17.0 Bürkner 2018;</w:t>
      </w:r>
      <w:r>
        <w:t xml:space="preserve"> </w:t>
      </w:r>
      <w:r>
        <w:t xml:space="preserve">“Stan development team. RStan”</w:t>
      </w:r>
      <w:r>
        <w:t xml:space="preserve"> </w:t>
      </w:r>
      <w:r>
        <w:t xml:space="preserve">2021)</w:t>
      </w:r>
      <w:r>
        <w:t xml:space="preserve"> </w:t>
      </w:r>
      <w:r>
        <w:t xml:space="preserve">and</w:t>
      </w:r>
      <w:r>
        <w:t xml:space="preserve"> </w:t>
      </w:r>
      <w:r>
        <w:rPr>
          <w:iCs/>
          <w:i/>
        </w:rPr>
        <w:t xml:space="preserve">metafor</w:t>
      </w:r>
      <w:r>
        <w:t xml:space="preserve"> </w:t>
      </w:r>
      <w:r>
        <w:t xml:space="preserve">(vers. 3.8.1 Viechtbauer 2010)</w:t>
      </w:r>
      <w:r>
        <w:t xml:space="preserve">. We fit both Bayesian and frequentist approaches to ensure that our results were consistent, and to create orchard plots more easily</w:t>
      </w:r>
      <w:r>
        <w:t xml:space="preserve"> </w:t>
      </w:r>
      <w:r>
        <w:t xml:space="preserve">(vers. 2.0, Nakagawa</w:t>
      </w:r>
      <w:r>
        <w:t xml:space="preserve"> </w:t>
      </w:r>
      <w:r>
        <w:rPr>
          <w:iCs/>
          <w:i/>
        </w:rPr>
        <w:t xml:space="preserve">et al.</w:t>
      </w:r>
      <w:r>
        <w:t xml:space="preserve"> </w:t>
      </w:r>
      <w:r>
        <w:t xml:space="preserve">2021)</w:t>
      </w:r>
      <w:r>
        <w:t xml:space="preserve">. For our Bayesian models, we ran 4 MCMC chains, each with a warm-up of 1000 followed by 4000 sampling iterations keeping every 5 iterations for a total of 3200 samples from the posterior distribution. We used flat Gaussian priors for</w:t>
      </w:r>
      <w:r>
        <w:t xml:space="preserve"> </w:t>
      </w:r>
      <w:r>
        <w:t xml:space="preserve">‘</w:t>
      </w:r>
      <w:r>
        <w:t xml:space="preserve">fixed</w:t>
      </w:r>
      <w:r>
        <w:t xml:space="preserve">’</w:t>
      </w:r>
      <w:r>
        <w:t xml:space="preserve"> </w:t>
      </w:r>
      <w:r>
        <w:t xml:space="preserve">effects (i.e.,</w:t>
      </w:r>
      <w:r>
        <w:t xml:space="preserve"> </w:t>
      </w:r>
      <m:oMath>
        <m:r>
          <m:t>N</m:t>
        </m:r>
        <m:d>
          <m:dPr>
            <m:begChr m:val="("/>
            <m:endChr m:val=")"/>
            <m:sepChr m:val=""/>
            <m:grow/>
          </m:dPr>
          <m:e>
            <m:r>
              <m:t>0</m:t>
            </m:r>
            <m:r>
              <m:rPr>
                <m:sty m:val="p"/>
              </m:rPr>
              <m:t>,</m:t>
            </m:r>
            <m:r>
              <m:t>10</m:t>
            </m:r>
          </m:e>
        </m:d>
      </m:oMath>
      <w:r>
        <w:t xml:space="preserve">) and a student t-distribution for</w:t>
      </w:r>
      <w:r>
        <w:t xml:space="preserve"> </w:t>
      </w:r>
      <w:r>
        <w:t xml:space="preserve">‘</w:t>
      </w:r>
      <w:r>
        <w:t xml:space="preserve">random</w:t>
      </w:r>
      <w:r>
        <w:t xml:space="preserve">’</w:t>
      </w:r>
      <w:r>
        <w:t xml:space="preserve"> </w:t>
      </w:r>
      <w:r>
        <w:t xml:space="preserve">effects (i.e.,</w:t>
      </w:r>
      <w:r>
        <w:t xml:space="preserve"> </w:t>
      </w:r>
      <m:oMath>
        <m:r>
          <m:t>s</m:t>
        </m:r>
        <m:r>
          <m:t>t</m:t>
        </m:r>
        <m:r>
          <m:t>u</m:t>
        </m:r>
        <m:r>
          <m:t>d</m:t>
        </m:r>
        <m:r>
          <m:t>e</m:t>
        </m:r>
        <m:r>
          <m:t>n</m:t>
        </m:r>
        <m:sSub>
          <m:e>
            <m:r>
              <m:t>t</m:t>
            </m:r>
          </m:e>
          <m:sub>
            <m:r>
              <m:t>t</m:t>
            </m:r>
          </m:sub>
        </m:sSub>
        <m:d>
          <m:dPr>
            <m:begChr m:val="("/>
            <m:endChr m:val=")"/>
            <m:sepChr m:val=""/>
            <m:grow/>
          </m:dPr>
          <m:e>
            <m:r>
              <m:t>3</m:t>
            </m:r>
            <m:r>
              <m:rPr>
                <m:sty m:val="p"/>
              </m:rPr>
              <m:t>,</m:t>
            </m:r>
            <m:r>
              <m:t>0</m:t>
            </m:r>
            <m:r>
              <m:rPr>
                <m:sty m:val="p"/>
              </m:rPr>
              <m:t>,</m:t>
            </m:r>
            <m:r>
              <m:t>10</m:t>
            </m:r>
          </m:e>
        </m:d>
      </m:oMath>
      <w:r>
        <w:t xml:space="preserve">). We checked that all MCMC chains were mixing and had converged (i.e.,</w:t>
      </w:r>
      <w:r>
        <w:t xml:space="preserve"> </w:t>
      </w:r>
      <m:oMath>
        <m:sSub>
          <m:e>
            <m:r>
              <m:t>R</m:t>
            </m:r>
          </m:e>
          <m:sub>
            <m:r>
              <m:t>h</m:t>
            </m:r>
            <m:r>
              <m:t>a</m:t>
            </m:r>
            <m:r>
              <m:t>t</m:t>
            </m:r>
          </m:sub>
        </m:sSub>
        <m:r>
          <m:rPr>
            <m:sty m:val="p"/>
          </m:rPr>
          <m:t>=</m:t>
        </m:r>
        <m:r>
          <m:t>1</m:t>
        </m:r>
      </m:oMath>
      <w:r>
        <w:t xml:space="preserve">).</w:t>
      </w:r>
    </w:p>
    <w:bookmarkStart w:id="31" w:name="multi-level-meta-analysis-mlma-models"/>
    <w:p>
      <w:pPr>
        <w:pStyle w:val="Heading4"/>
      </w:pPr>
      <w:r>
        <w:rPr>
          <w:iCs/>
          <w:i/>
        </w:rPr>
        <w:t xml:space="preserve">Multi-level Meta-analysis (MLMA) Models</w:t>
      </w:r>
    </w:p>
    <w:p>
      <w:pPr>
        <w:pStyle w:val="FirstParagraph"/>
      </w:pPr>
      <w:r>
        <w:t xml:space="preserve">We first fit multi-level meta-analysis (MLMA) models (i.e., intercept only models) for both</w:t>
      </w:r>
      <w:r>
        <w:t xml:space="preserve"> </w:t>
      </w:r>
      <m:oMath>
        <m:r>
          <m:t>l</m:t>
        </m:r>
        <m:r>
          <m:t>n</m:t>
        </m:r>
        <m:r>
          <m:t>R</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that included study, species, and phylogeny as random effects to account for non-independence. We also included trait as a random effect to account for trait variation within the data. Our MLMA models allowed us to partition the variation in</w:t>
      </w:r>
      <w:r>
        <w:t xml:space="preserve"> </w:t>
      </w:r>
      <m:oMath>
        <m:r>
          <m:t>l</m:t>
        </m:r>
        <m:r>
          <m:t>n</m:t>
        </m:r>
        <m:r>
          <m:t>R</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w:t>
      </w:r>
      <w:r>
        <w:t xml:space="preserve">among these key sources while accounting for total sampling variance in each. This allowed us to calculate total heterogeneity [i.e.,</w:t>
      </w:r>
      <w:r>
        <w:t xml:space="preserve"> </w:t>
      </w:r>
      <m:oMath>
        <m:sSubSup>
          <m:e>
            <m:r>
              <m:t>I</m:t>
            </m:r>
          </m:e>
          <m:sub>
            <m:r>
              <m:t>t</m:t>
            </m:r>
            <m:r>
              <m:t>o</m:t>
            </m:r>
            <m:r>
              <m:t>t</m:t>
            </m:r>
            <m:r>
              <m:t>a</m:t>
            </m:r>
            <m:r>
              <m:t>l</m:t>
            </m:r>
          </m:sub>
          <m:sup>
            <m:r>
              <m:t>2</m:t>
            </m:r>
          </m:sup>
        </m:sSubSup>
      </m:oMath>
      <w:r>
        <w:t xml:space="preserve">;</w:t>
      </w:r>
      <w:r>
        <w:t xml:space="preserve"> </w:t>
      </w:r>
      <w:r>
        <w:rPr>
          <w:iCs/>
          <w:i/>
        </w:rPr>
        <w:t xml:space="preserve">sensu</w:t>
      </w:r>
      <w:r>
        <w:t xml:space="preserve"> </w:t>
      </w:r>
      <w:r>
        <w:t xml:space="preserve">Nakagawa &amp; Santos (2012)</w:t>
      </w:r>
      <w:r>
        <w:t xml:space="preserve">;</w:t>
      </w:r>
      <w:r>
        <w:t xml:space="preserve"> </w:t>
      </w:r>
      <w:r>
        <w:t xml:space="preserve">Noble</w:t>
      </w:r>
      <w:r>
        <w:t xml:space="preserve"> </w:t>
      </w:r>
      <w:r>
        <w:rPr>
          <w:iCs/>
          <w:i/>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w:t>
      </w:r>
    </w:p>
    <w:p>
      <w:pPr>
        <w:pStyle w:val="BodyText"/>
      </w:pPr>
      <w:r>
        <w:t xml:space="preserve">A phylogeny was derived using the Open Tree of Life (OTL) with the</w:t>
      </w:r>
      <w:r>
        <w:t xml:space="preserve"> </w:t>
      </w:r>
      <w:r>
        <w:rPr>
          <w:iCs/>
          <w:i/>
        </w:rPr>
        <w:t xml:space="preserve">rotl</w:t>
      </w:r>
      <w:r>
        <w:t xml:space="preserve"> </w:t>
      </w:r>
      <w:r>
        <w:t xml:space="preserve">package in R</w:t>
      </w:r>
      <w:r>
        <w:t xml:space="preserve"> </w:t>
      </w:r>
      <w:r>
        <w:t xml:space="preserve">(vers. 3.0.12, Michonneau</w:t>
      </w:r>
      <w:r>
        <w:t xml:space="preserve"> </w:t>
      </w:r>
      <w:r>
        <w:rPr>
          <w:iCs/>
          <w:i/>
        </w:rPr>
        <w:t xml:space="preserve">et al.</w:t>
      </w:r>
      <w:r>
        <w:t xml:space="preserve"> </w:t>
      </w:r>
      <w:r>
        <w:t xml:space="preserve">2016)</w:t>
      </w:r>
      <w:r>
        <w:t xml:space="preserve">, and plotted using</w:t>
      </w:r>
      <w:r>
        <w:t xml:space="preserve"> </w:t>
      </w:r>
      <w:r>
        <w:rPr>
          <w:iCs/>
          <w:i/>
        </w:rPr>
        <w:t xml:space="preserve">ggtree</w:t>
      </w:r>
      <w:r>
        <w:t xml:space="preserve"> </w:t>
      </w:r>
      <w:r>
        <w:t xml:space="preserve">(vers. 3.4.1, Yu</w:t>
      </w:r>
      <w:r>
        <w:t xml:space="preserve"> </w:t>
      </w:r>
      <w:r>
        <w:rPr>
          <w:iCs/>
          <w:i/>
        </w:rPr>
        <w:t xml:space="preserve">et al.</w:t>
      </w:r>
      <w:r>
        <w:t xml:space="preserve"> </w:t>
      </w:r>
      <w:r>
        <w:t xml:space="preserve">2017)</w:t>
      </w:r>
      <w:r>
        <w:t xml:space="preserve">. We resolved all polytomies in the tree. Any missing taxa were replaced with closely related species and branch lengths were computed using Grafen’s method</w:t>
      </w:r>
      <w:r>
        <w:t xml:space="preserve"> </w:t>
      </w:r>
      <w:r>
        <w:t xml:space="preserve">(using power = 0.7, Grafen 1989)</w:t>
      </w:r>
      <w:r>
        <w:t xml:space="preserve">. We used the R packages</w:t>
      </w:r>
      <w:r>
        <w:t xml:space="preserve"> </w:t>
      </w:r>
      <w:r>
        <w:rPr>
          <w:iCs/>
          <w:i/>
        </w:rPr>
        <w:t xml:space="preserve">ape</w:t>
      </w:r>
      <w:r>
        <w:t xml:space="preserve"> </w:t>
      </w:r>
      <w:r>
        <w:t xml:space="preserve">(vers. 5.6.2, Paradis &amp; Schliep 2019)</w:t>
      </w:r>
      <w:r>
        <w:t xml:space="preserve"> </w:t>
      </w:r>
      <w:r>
        <w:t xml:space="preserve">and</w:t>
      </w:r>
      <w:r>
        <w:t xml:space="preserve"> </w:t>
      </w:r>
      <w:r>
        <w:rPr>
          <w:iCs/>
          <w:i/>
        </w:rPr>
        <w:t xml:space="preserve">phytools</w:t>
      </w:r>
      <w:r>
        <w:t xml:space="preserve"> </w:t>
      </w:r>
      <w:r>
        <w:t xml:space="preserve">(vers. 1.0.3, Revell 2012)</w:t>
      </w:r>
      <w:r>
        <w:t xml:space="preserve"> </w:t>
      </w:r>
      <w:r>
        <w:t xml:space="preserve">to prune the tree for individual analyses and calculate phylogenetic covariance (or correlation) matrices used in meta-analytic models.</w:t>
      </w:r>
    </w:p>
    <w:bookmarkEnd w:id="31"/>
    <w:bookmarkStart w:id="32" w:name="multi-level-meta-regression-mlmr-models"/>
    <w:p>
      <w:pPr>
        <w:pStyle w:val="Heading4"/>
      </w:pPr>
      <w:r>
        <w:rPr>
          <w:iCs/>
          <w:i/>
        </w:rPr>
        <w:t xml:space="preserve">Multi-level Meta-regression (MLMR) Models</w:t>
      </w:r>
    </w:p>
    <w:bookmarkEnd w:id="32"/>
    <w:bookmarkEnd w:id="33"/>
    <w:bookmarkStart w:id="34" w:name="sensitivity-analyses"/>
    <w:p>
      <w:pPr>
        <w:pStyle w:val="Heading3"/>
      </w:pPr>
      <w:r>
        <w:rPr>
          <w:iCs/>
          <w:i/>
        </w:rPr>
        <w:t xml:space="preserve">Sensitivity Analyses</w:t>
      </w:r>
    </w:p>
    <w:bookmarkEnd w:id="34"/>
    <w:bookmarkStart w:id="35" w:name="publication-bias"/>
    <w:p>
      <w:pPr>
        <w:pStyle w:val="Heading3"/>
      </w:pPr>
      <w:r>
        <w:rPr>
          <w:iCs/>
          <w:i/>
        </w:rPr>
        <w:t xml:space="preserve">Publication Bias</w:t>
      </w:r>
    </w:p>
    <w:bookmarkEnd w:id="35"/>
    <w:bookmarkEnd w:id="36"/>
    <w:bookmarkStart w:id="52" w:name="results"/>
    <w:p>
      <w:pPr>
        <w:pStyle w:val="Heading2"/>
      </w:pPr>
      <w:r>
        <w:rPr>
          <w:bCs/>
          <w:b/>
        </w:rPr>
        <w:t xml:space="preserve">Results</w:t>
      </w:r>
    </w:p>
    <w:bookmarkStart w:id="46" w:name="Xf7a896a2824436cd0fe89306caf457d9a436d93"/>
    <w:p>
      <w:pPr>
        <w:pStyle w:val="Heading3"/>
      </w:pPr>
      <w:r>
        <w:rPr>
          <w:iCs/>
          <w:i/>
        </w:rPr>
        <w:t xml:space="preserve">Do terrestrial and aquatic ectotherms differ in their capacity to acclimate?</w:t>
      </w:r>
    </w:p>
    <w:p>
      <w:pPr>
        <w:pStyle w:val="CaptionedFigure"/>
      </w:pPr>
      <w:r>
        <w:drawing>
          <wp:inline>
            <wp:extent cx="6680200" cy="2672080"/>
            <wp:effectExtent b="0" l="0" r="0" t="0"/>
            <wp:docPr descr="Figure. 1. Acute and Acclimation lnRR Q10 across marine, freshwater and terrestrial environments" title="" id="38" name="Picture"/>
            <a:graphic>
              <a:graphicData uri="http://schemas.openxmlformats.org/drawingml/2006/picture">
                <pic:pic>
                  <pic:nvPicPr>
                    <pic:cNvPr descr="ms_files/figure-docx/fig1-1.png" id="39" name="Picture"/>
                    <pic:cNvPicPr>
                      <a:picLocks noChangeArrowheads="1" noChangeAspect="1"/>
                    </pic:cNvPicPr>
                  </pic:nvPicPr>
                  <pic:blipFill>
                    <a:blip r:embed="rId37"/>
                    <a:stretch>
                      <a:fillRect/>
                    </a:stretch>
                  </pic:blipFill>
                  <pic:spPr bwMode="auto">
                    <a:xfrm>
                      <a:off x="0" y="0"/>
                      <a:ext cx="6680200" cy="267208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Acute and Acclimation lnRR Q10 across marine, freshwater and terrestrial environments</w:t>
      </w:r>
    </w:p>
    <w:p>
      <w:pPr>
        <w:pStyle w:val="CaptionedFigure"/>
      </w:pPr>
      <w:r>
        <w:drawing>
          <wp:inline>
            <wp:extent cx="6680200" cy="2672080"/>
            <wp:effectExtent b="0" l="0" r="0" t="0"/>
            <wp:docPr descr="Figure. 2. I2 estimates" title="" id="41" name="Picture"/>
            <a:graphic>
              <a:graphicData uri="http://schemas.openxmlformats.org/drawingml/2006/picture">
                <pic:pic>
                  <pic:nvPicPr>
                    <pic:cNvPr descr="ms_files/figure-docx/fig4-1.png" id="42" name="Picture"/>
                    <pic:cNvPicPr>
                      <a:picLocks noChangeArrowheads="1" noChangeAspect="1"/>
                    </pic:cNvPicPr>
                  </pic:nvPicPr>
                  <pic:blipFill>
                    <a:blip r:embed="rId40"/>
                    <a:stretch>
                      <a:fillRect/>
                    </a:stretch>
                  </pic:blipFill>
                  <pic:spPr bwMode="auto">
                    <a:xfrm>
                      <a:off x="0" y="0"/>
                      <a:ext cx="6680200" cy="267208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I2 estimates</w:t>
      </w:r>
    </w:p>
    <w:p>
      <w:pPr>
        <w:pStyle w:val="CaptionedFigure"/>
      </w:pPr>
      <w:r>
        <w:drawing>
          <wp:inline>
            <wp:extent cx="6680200" cy="2672080"/>
            <wp:effectExtent b="0" l="0" r="0" t="0"/>
            <wp:docPr descr="Figure. 3. I2 estimates lnCVR" title="" id="44" name="Picture"/>
            <a:graphic>
              <a:graphicData uri="http://schemas.openxmlformats.org/drawingml/2006/picture">
                <pic:pic>
                  <pic:nvPicPr>
                    <pic:cNvPr descr="ms_files/figure-docx/fig5-1.png" id="45" name="Picture"/>
                    <pic:cNvPicPr>
                      <a:picLocks noChangeArrowheads="1" noChangeAspect="1"/>
                    </pic:cNvPicPr>
                  </pic:nvPicPr>
                  <pic:blipFill>
                    <a:blip r:embed="rId43"/>
                    <a:stretch>
                      <a:fillRect/>
                    </a:stretch>
                  </pic:blipFill>
                  <pic:spPr bwMode="auto">
                    <a:xfrm>
                      <a:off x="0" y="0"/>
                      <a:ext cx="6680200" cy="267208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I2 estimates lnCVR</w:t>
      </w:r>
    </w:p>
    <w:bookmarkEnd w:id="46"/>
    <w:bookmarkStart w:id="47" w:name="X3393869c47f435e9cf00f18ea1403d82e4fa8de"/>
    <w:p>
      <w:pPr>
        <w:pStyle w:val="Heading3"/>
      </w:pPr>
      <w:r>
        <w:rPr>
          <w:iCs/>
          <w:i/>
        </w:rPr>
        <w:t xml:space="preserve">Does the opportunity for selection differ across terrestrial and aquatic ectotherms?</w:t>
      </w:r>
    </w:p>
    <w:bookmarkEnd w:id="47"/>
    <w:bookmarkStart w:id="51" w:name="Xc10ebb43a1744a2445867384f67c174e2ec2054"/>
    <w:p>
      <w:pPr>
        <w:pStyle w:val="Heading3"/>
      </w:pPr>
      <w:r>
        <w:rPr>
          <w:iCs/>
          <w:i/>
        </w:rPr>
        <w:t xml:space="preserve">Does climate variability predict acclimation capacity among aquatic and terrestrial ectotherms?</w:t>
      </w:r>
    </w:p>
    <w:p>
      <w:pPr>
        <w:pStyle w:val="CaptionedFigure"/>
      </w:pPr>
      <w:r>
        <w:drawing>
          <wp:inline>
            <wp:extent cx="6680200" cy="6012180"/>
            <wp:effectExtent b="0" l="0" r="0" t="0"/>
            <wp:docPr descr="Figure. 4. Phylogenetic tree" title="" id="49" name="Picture"/>
            <a:graphic>
              <a:graphicData uri="http://schemas.openxmlformats.org/drawingml/2006/picture">
                <pic:pic>
                  <pic:nvPicPr>
                    <pic:cNvPr descr="ms_files/figure-docx/figphylogeny-1.png" id="50" name="Picture"/>
                    <pic:cNvPicPr>
                      <a:picLocks noChangeArrowheads="1" noChangeAspect="1"/>
                    </pic:cNvPicPr>
                  </pic:nvPicPr>
                  <pic:blipFill>
                    <a:blip r:embed="rId48"/>
                    <a:stretch>
                      <a:fillRect/>
                    </a:stretch>
                  </pic:blipFill>
                  <pic:spPr bwMode="auto">
                    <a:xfrm>
                      <a:off x="0" y="0"/>
                      <a:ext cx="6680200" cy="601218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Phylogenetic tree</w:t>
      </w:r>
    </w:p>
    <w:bookmarkEnd w:id="51"/>
    <w:bookmarkEnd w:id="52"/>
    <w:bookmarkStart w:id="53" w:name="discussion"/>
    <w:p>
      <w:pPr>
        <w:pStyle w:val="Heading2"/>
      </w:pPr>
      <w:r>
        <w:rPr>
          <w:bCs/>
          <w:b/>
        </w:rPr>
        <w:t xml:space="preserve">Discussion</w:t>
      </w:r>
    </w:p>
    <w:bookmarkEnd w:id="53"/>
    <w:bookmarkStart w:id="76" w:name="references"/>
    <w:p>
      <w:pPr>
        <w:pStyle w:val="Heading2"/>
      </w:pPr>
      <w:r>
        <w:t xml:space="preserve">References</w:t>
      </w:r>
    </w:p>
    <w:bookmarkStart w:id="75" w:name="refs"/>
    <w:bookmarkStart w:id="54" w:name="ref-Bulgarella2015"/>
    <w:p>
      <w:pPr>
        <w:pStyle w:val="Bibliography"/>
      </w:pPr>
      <w:r>
        <w:t xml:space="preserve">Bulgarella, M., Trewick, S.A., Godfrey, A.J.R., Sinclair, B.J. &amp; Morgan-Richards, M. (2015). Elevational variation in adult body size and growth rate but not in metabolic rate in the tree weta hemideina crassidens.</w:t>
      </w:r>
      <w:r>
        <w:t xml:space="preserve"> </w:t>
      </w:r>
      <w:r>
        <w:rPr>
          <w:iCs/>
          <w:i/>
        </w:rPr>
        <w:t xml:space="preserve">Journal of Insect physiology</w:t>
      </w:r>
      <w:r>
        <w:t xml:space="preserve">, 75, 30–38.</w:t>
      </w:r>
    </w:p>
    <w:bookmarkEnd w:id="54"/>
    <w:bookmarkStart w:id="55" w:name="ref-Burkner2017"/>
    <w:p>
      <w:pPr>
        <w:pStyle w:val="Bibliography"/>
      </w:pPr>
      <w:r>
        <w:t xml:space="preserve">Bürkner, P.-C. (2017). Brms: An r package for bayesian multilevel models using stan.</w:t>
      </w:r>
      <w:r>
        <w:t xml:space="preserve"> </w:t>
      </w:r>
      <w:r>
        <w:rPr>
          <w:iCs/>
          <w:i/>
        </w:rPr>
        <w:t xml:space="preserve">Journal of Statistical Software</w:t>
      </w:r>
      <w:r>
        <w:t xml:space="preserve">, 80, 1–28., doi:10.18637/jss.v080.i01.</w:t>
      </w:r>
    </w:p>
    <w:bookmarkEnd w:id="55"/>
    <w:bookmarkStart w:id="56" w:name="ref-Burkner2018"/>
    <w:p>
      <w:pPr>
        <w:pStyle w:val="Bibliography"/>
      </w:pPr>
      <w:r>
        <w:t xml:space="preserve">Bürkner, P.-C. (2018). Advanced bayesian multilevel modeling with the r package brms.</w:t>
      </w:r>
      <w:r>
        <w:t xml:space="preserve"> </w:t>
      </w:r>
      <w:r>
        <w:rPr>
          <w:iCs/>
          <w:i/>
        </w:rPr>
        <w:t xml:space="preserve">The R Journal</w:t>
      </w:r>
      <w:r>
        <w:t xml:space="preserve">, 10, 395–411.</w:t>
      </w:r>
    </w:p>
    <w:bookmarkEnd w:id="56"/>
    <w:bookmarkStart w:id="57" w:name="ref-Grafen1989"/>
    <w:p>
      <w:pPr>
        <w:pStyle w:val="Bibliography"/>
      </w:pPr>
      <w:r>
        <w:t xml:space="preserve">Grafen, A. (1989). The phylogenetic regression.</w:t>
      </w:r>
      <w:r>
        <w:t xml:space="preserve"> </w:t>
      </w:r>
      <w:r>
        <w:rPr>
          <w:iCs/>
          <w:i/>
        </w:rPr>
        <w:t xml:space="preserve">Philosophical Transactions of the Royal Society of London. Series B, Biological Sciences</w:t>
      </w:r>
      <w:r>
        <w:t xml:space="preserve">, 326, 119–157.</w:t>
      </w:r>
    </w:p>
    <w:bookmarkEnd w:id="57"/>
    <w:bookmarkStart w:id="58" w:name="ref-Havird2020"/>
    <w:p>
      <w:pPr>
        <w:pStyle w:val="Bibliography"/>
      </w:pPr>
      <w:r>
        <w:t xml:space="preserve">Havird, J.C., Neuwald, J.L., Shah, A.A., Mauro, A., Marshall, C.A. &amp; Ghalambor, C.K. (2020). Distinguishing between active plasticity due to thermal acclimation and passive plasticity due to Q10 effects: Why methodology matters.</w:t>
      </w:r>
      <w:r>
        <w:t xml:space="preserve"> </w:t>
      </w:r>
      <w:r>
        <w:rPr>
          <w:iCs/>
          <w:i/>
        </w:rPr>
        <w:t xml:space="preserve">Functional Ecology</w:t>
      </w:r>
      <w:r>
        <w:t xml:space="preserve">, 0, 1–14.</w:t>
      </w:r>
    </w:p>
    <w:bookmarkEnd w:id="58"/>
    <w:bookmarkStart w:id="59" w:name="ref-hedges1999meta"/>
    <w:p>
      <w:pPr>
        <w:pStyle w:val="Bibliography"/>
      </w:pPr>
      <w:r>
        <w:t xml:space="preserve">Hedges, L.V., Gurevitch, J. &amp; Curtis, P.S. (1999). The meta-analysis of response ratios in experimental ecology.</w:t>
      </w:r>
      <w:r>
        <w:t xml:space="preserve"> </w:t>
      </w:r>
      <w:r>
        <w:rPr>
          <w:iCs/>
          <w:i/>
        </w:rPr>
        <w:t xml:space="preserve">Ecology</w:t>
      </w:r>
      <w:r>
        <w:t xml:space="preserve">, 80, 1150–1156.</w:t>
      </w:r>
    </w:p>
    <w:bookmarkEnd w:id="59"/>
    <w:bookmarkStart w:id="60" w:name="ref-Hersbach2020"/>
    <w:p>
      <w:pPr>
        <w:pStyle w:val="Bibliography"/>
      </w:pPr>
      <w:r>
        <w:t xml:space="preserve">Hersbach, H., Bell, B., Berrisford, P., Hirahara, S., Horányi, A., Muñoz-Sabater, J.,</w:t>
      </w:r>
      <w:r>
        <w:t xml:space="preserve"> </w:t>
      </w:r>
      <w:r>
        <w:rPr>
          <w:iCs/>
          <w:i/>
        </w:rPr>
        <w:t xml:space="preserve">et al.</w:t>
      </w:r>
      <w:r>
        <w:t xml:space="preserve"> (2020). The ERA5 global reanalysis.</w:t>
      </w:r>
      <w:r>
        <w:t xml:space="preserve"> </w:t>
      </w:r>
      <w:r>
        <w:rPr>
          <w:iCs/>
          <w:i/>
        </w:rPr>
        <w:t xml:space="preserve">Quarterly Journal of the Royal Meteorological Society</w:t>
      </w:r>
      <w:r>
        <w:t xml:space="preserve">, 146, 1999–2049.</w:t>
      </w:r>
    </w:p>
    <w:bookmarkEnd w:id="60"/>
    <w:bookmarkStart w:id="61" w:name="ref-laj2011"/>
    <w:p>
      <w:pPr>
        <w:pStyle w:val="Bibliography"/>
      </w:pPr>
      <w:r>
        <w:t xml:space="preserve">Lajeunesse, M.J. (2011). On the meta-analysis of response ratios for studies with correlated and multi-group designs.</w:t>
      </w:r>
      <w:r>
        <w:t xml:space="preserve"> </w:t>
      </w:r>
      <w:r>
        <w:rPr>
          <w:iCs/>
          <w:i/>
        </w:rPr>
        <w:t xml:space="preserve">Ecology</w:t>
      </w:r>
      <w:r>
        <w:t xml:space="preserve">, 92, 2049–2055.</w:t>
      </w:r>
    </w:p>
    <w:bookmarkEnd w:id="61"/>
    <w:bookmarkStart w:id="62" w:name="ref-rotl2016"/>
    <w:p>
      <w:pPr>
        <w:pStyle w:val="Bibliography"/>
      </w:pPr>
      <w:r>
        <w:t xml:space="preserve">Michonneau, F., Brown, J.W. &amp; Winter, D.J. (2016). Rotl: An r package to interact with the open tree of life data.</w:t>
      </w:r>
      <w:r>
        <w:t xml:space="preserve"> </w:t>
      </w:r>
      <w:r>
        <w:rPr>
          <w:iCs/>
          <w:i/>
        </w:rPr>
        <w:t xml:space="preserve">Methods in Ecology and Evolution</w:t>
      </w:r>
      <w:r>
        <w:t xml:space="preserve">, 7, 1476-1481. doi:10.1111/2041-210X.12593.</w:t>
      </w:r>
    </w:p>
    <w:bookmarkEnd w:id="62"/>
    <w:bookmarkStart w:id="63" w:name="ref-Nakagawa2021c"/>
    <w:p>
      <w:pPr>
        <w:pStyle w:val="Bibliography"/>
      </w:pPr>
      <w:r>
        <w:t xml:space="preserve">Nakagawa, S., Lagisz, M., O’Dea, R.E., Rutkowska, J., Yang, Y., Noble, D.W.A.,</w:t>
      </w:r>
      <w:r>
        <w:t xml:space="preserve"> </w:t>
      </w:r>
      <w:r>
        <w:rPr>
          <w:iCs/>
          <w:i/>
        </w:rPr>
        <w:t xml:space="preserve">et al.</w:t>
      </w:r>
      <w:r>
        <w:t xml:space="preserve"> (2021). The orchard plot: Cultivating forest plots for use in ecology, evolution and beyond.</w:t>
      </w:r>
      <w:r>
        <w:t xml:space="preserve"> </w:t>
      </w:r>
      <w:r>
        <w:rPr>
          <w:iCs/>
          <w:i/>
        </w:rPr>
        <w:t xml:space="preserve">Research Synthesis Methods</w:t>
      </w:r>
      <w:r>
        <w:t xml:space="preserve">, 12, 4–12.</w:t>
      </w:r>
    </w:p>
    <w:bookmarkEnd w:id="63"/>
    <w:bookmarkStart w:id="64" w:name="ref-nakagawa2015meta"/>
    <w:p>
      <w:pPr>
        <w:pStyle w:val="Bibliography"/>
      </w:pPr>
      <w:r>
        <w:t xml:space="preserve">Nakagawa, S., Poulin, R., Mengersen, K., Reinhold, K., Engqvist, L., Lagisz, M.,</w:t>
      </w:r>
      <w:r>
        <w:t xml:space="preserve"> </w:t>
      </w:r>
      <w:r>
        <w:rPr>
          <w:iCs/>
          <w:i/>
        </w:rPr>
        <w:t xml:space="preserve">et al.</w:t>
      </w:r>
      <w:r>
        <w:t xml:space="preserve"> (2015). Meta-analysis of variation: Ecological and evolutionary applications and beyond.</w:t>
      </w:r>
      <w:r>
        <w:t xml:space="preserve"> </w:t>
      </w:r>
      <w:r>
        <w:rPr>
          <w:iCs/>
          <w:i/>
        </w:rPr>
        <w:t xml:space="preserve">Methods in Ecology and Evolution</w:t>
      </w:r>
      <w:r>
        <w:t xml:space="preserve">, 6, 143–152.</w:t>
      </w:r>
    </w:p>
    <w:bookmarkEnd w:id="64"/>
    <w:bookmarkStart w:id="65" w:name="ref-NakagawaSantos2012"/>
    <w:p>
      <w:pPr>
        <w:pStyle w:val="Bibliography"/>
      </w:pPr>
      <w:r>
        <w:t xml:space="preserve">Nakagawa, S. &amp; Santos, E.S. (2012). Methodological issues and advances in biological meta-analysis.</w:t>
      </w:r>
      <w:r>
        <w:t xml:space="preserve"> </w:t>
      </w:r>
      <w:r>
        <w:rPr>
          <w:iCs/>
          <w:i/>
        </w:rPr>
        <w:t xml:space="preserve">Evolutionary Ecology</w:t>
      </w:r>
      <w:r>
        <w:t xml:space="preserve">, 26, 1253–1274.</w:t>
      </w:r>
    </w:p>
    <w:bookmarkEnd w:id="65"/>
    <w:bookmarkStart w:id="66" w:name="ref-Noble2022"/>
    <w:p>
      <w:pPr>
        <w:pStyle w:val="Bibliography"/>
      </w:pPr>
      <w:r>
        <w:t xml:space="preserve">Noble, D.W.A., Pottier, P., Lagisz, M., Burke, S., Drobniak, S.M., O’Dea, R.E.,</w:t>
      </w:r>
      <w:r>
        <w:t xml:space="preserve"> </w:t>
      </w:r>
      <w:r>
        <w:rPr>
          <w:iCs/>
          <w:i/>
        </w:rPr>
        <w:t xml:space="preserve">et al.</w:t>
      </w:r>
      <w:r>
        <w:t xml:space="preserve"> (2022). Meta-analytic approaches and effect sizes to account for</w:t>
      </w:r>
      <w:r>
        <w:t xml:space="preserve"> </w:t>
      </w:r>
      <w:r>
        <w:t xml:space="preserve">“nuisance heterogeneity”</w:t>
      </w:r>
      <w:r>
        <w:t xml:space="preserve"> </w:t>
      </w:r>
      <w:r>
        <w:t xml:space="preserve">in comparative physiology.</w:t>
      </w:r>
      <w:r>
        <w:t xml:space="preserve"> </w:t>
      </w:r>
      <w:r>
        <w:rPr>
          <w:iCs/>
          <w:i/>
        </w:rPr>
        <w:t xml:space="preserve">Journal of Experimental Biology</w:t>
      </w:r>
      <w:r>
        <w:t xml:space="preserve">, 225, jeb243225.</w:t>
      </w:r>
    </w:p>
    <w:bookmarkEnd w:id="66"/>
    <w:bookmarkStart w:id="67" w:name="ref-ouzzani2016"/>
    <w:p>
      <w:pPr>
        <w:pStyle w:val="Bibliography"/>
      </w:pPr>
      <w:r>
        <w:t xml:space="preserve">Ouzzani, M., Hammady, H., Fedorowicz, Z. &amp; Elmagarmid, A. (2016). Rayyan—a web and mobile app for systematic reviews.</w:t>
      </w:r>
      <w:r>
        <w:t xml:space="preserve"> </w:t>
      </w:r>
      <w:r>
        <w:rPr>
          <w:iCs/>
          <w:i/>
        </w:rPr>
        <w:t xml:space="preserve">Systematic Reviews</w:t>
      </w:r>
      <w:r>
        <w:t xml:space="preserve">, 5, 210–220.</w:t>
      </w:r>
    </w:p>
    <w:bookmarkEnd w:id="67"/>
    <w:bookmarkStart w:id="68" w:name="ref-ape"/>
    <w:p>
      <w:pPr>
        <w:pStyle w:val="Bibliography"/>
      </w:pPr>
      <w:r>
        <w:t xml:space="preserve">Paradis, E. &amp; Schliep, K. (2019). Ape 5.0: An environment for modern phylogenetics and evolutionary analyses in</w:t>
      </w:r>
      <w:r>
        <w:t xml:space="preserve"> </w:t>
      </w:r>
      <w:r>
        <w:t xml:space="preserve">R</w:t>
      </w:r>
      <w:r>
        <w:t xml:space="preserve">.</w:t>
      </w:r>
      <w:r>
        <w:t xml:space="preserve"> </w:t>
      </w:r>
      <w:r>
        <w:rPr>
          <w:iCs/>
          <w:i/>
        </w:rPr>
        <w:t xml:space="preserve">Bioinformatics</w:t>
      </w:r>
      <w:r>
        <w:t xml:space="preserve">, 35, 526–528.</w:t>
      </w:r>
    </w:p>
    <w:bookmarkEnd w:id="68"/>
    <w:bookmarkStart w:id="69" w:name="ref-Pick2019"/>
    <w:p>
      <w:pPr>
        <w:pStyle w:val="Bibliography"/>
      </w:pPr>
      <w:r>
        <w:t xml:space="preserve">Pick, J.L., Nakagawa, S. &amp; Noble, D.W.A. (2019). Reproducible, flexible and high throughput data extraction from primary literature: The metaDigitise r package.</w:t>
      </w:r>
      <w:r>
        <w:t xml:space="preserve"> </w:t>
      </w:r>
      <w:r>
        <w:rPr>
          <w:iCs/>
          <w:i/>
        </w:rPr>
        <w:t xml:space="preserve">Methods in Ecology and Evolution</w:t>
      </w:r>
      <w:r>
        <w:t xml:space="preserve">, 10, 426–431.</w:t>
      </w:r>
    </w:p>
    <w:bookmarkEnd w:id="69"/>
    <w:bookmarkStart w:id="70" w:name="ref-Revell2012"/>
    <w:p>
      <w:pPr>
        <w:pStyle w:val="Bibliography"/>
      </w:pPr>
      <w:r>
        <w:t xml:space="preserve">Revell, L.J. (2012). Phytools: An r package for phylogenetic comparative biology (and other things).</w:t>
      </w:r>
      <w:r>
        <w:t xml:space="preserve"> </w:t>
      </w:r>
      <w:r>
        <w:rPr>
          <w:iCs/>
          <w:i/>
        </w:rPr>
        <w:t xml:space="preserve">Methods in Ecology and Evolution</w:t>
      </w:r>
      <w:r>
        <w:t xml:space="preserve">, 3, 217–223.</w:t>
      </w:r>
    </w:p>
    <w:bookmarkEnd w:id="70"/>
    <w:bookmarkStart w:id="71" w:name="ref-Seebacher2015"/>
    <w:p>
      <w:pPr>
        <w:pStyle w:val="Bibliography"/>
      </w:pPr>
      <w:r>
        <w:t xml:space="preserve">Seebacher, F., White, C.R. &amp; Franklin, C.E. (2015). Physiological plasticity increases resilience of ectothermic animals to climate change.</w:t>
      </w:r>
      <w:r>
        <w:t xml:space="preserve"> </w:t>
      </w:r>
      <w:r>
        <w:rPr>
          <w:iCs/>
          <w:i/>
        </w:rPr>
        <w:t xml:space="preserve">Nature Climate Change</w:t>
      </w:r>
      <w:r>
        <w:t xml:space="preserve">, 5, 61–66.</w:t>
      </w:r>
    </w:p>
    <w:bookmarkEnd w:id="71"/>
    <w:bookmarkStart w:id="72" w:name="ref-stan"/>
    <w:p>
      <w:pPr>
        <w:pStyle w:val="Bibliography"/>
      </w:pPr>
      <w:r>
        <w:t xml:space="preserve">Stan development team. RStan: The r interface to stan. (2021).</w:t>
      </w:r>
      <w:r>
        <w:t xml:space="preserve"> </w:t>
      </w:r>
      <w:r>
        <w:rPr>
          <w:iCs/>
          <w:i/>
        </w:rPr>
        <w:t xml:space="preserve">R package version 2.21.3. https://mc-stan.org/.</w:t>
      </w:r>
    </w:p>
    <w:bookmarkEnd w:id="72"/>
    <w:bookmarkStart w:id="73" w:name="ref-Viechtbauer2010"/>
    <w:p>
      <w:pPr>
        <w:pStyle w:val="Bibliography"/>
      </w:pPr>
      <w:r>
        <w:t xml:space="preserve">Viechtbauer, W. (2010). Conducting meta-analyses in r with the metafor package.</w:t>
      </w:r>
      <w:r>
        <w:t xml:space="preserve"> </w:t>
      </w:r>
      <w:r>
        <w:rPr>
          <w:iCs/>
          <w:i/>
        </w:rPr>
        <w:t xml:space="preserve">Journal of Statistical Software</w:t>
      </w:r>
      <w:r>
        <w:t xml:space="preserve">, 36, 1–48. URL: https://www.jstatsoft.org/v36/i03/.</w:t>
      </w:r>
    </w:p>
    <w:bookmarkEnd w:id="73"/>
    <w:bookmarkStart w:id="74" w:name="ref-Guangchuang2017"/>
    <w:p>
      <w:pPr>
        <w:pStyle w:val="Bibliography"/>
      </w:pPr>
      <w:r>
        <w:t xml:space="preserve">Yu, G., Smith, D., Zhu, H., Guan, Y. &amp; Lam, T.T.-Y. (2017). Ggtree: An r package for visualization and annotation of phylogenetic trees with their covariates and other associated data.</w:t>
      </w:r>
      <w:r>
        <w:t xml:space="preserve"> </w:t>
      </w:r>
      <w:r>
        <w:rPr>
          <w:iCs/>
          <w:i/>
        </w:rPr>
        <w:t xml:space="preserve">Methods in Ecology and Evolution</w:t>
      </w:r>
      <w:r>
        <w:t xml:space="preserve">, 8, 28–36, doi:10.1111/2041–210X.12628.</w:t>
      </w:r>
    </w:p>
    <w:bookmarkEnd w:id="74"/>
    <w:bookmarkEnd w:id="75"/>
    <w:bookmarkEnd w:id="76"/>
    <w:sectPr w:rsidR="00FD5239"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E18E84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654B81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6B6212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D8C694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952DD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F34AD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3CC0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C68DE7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4E1E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C25B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1"/>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themeColor="text1" w:val="00000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Opportunity for selection and plasticity in phyiological rates are reduced in terrestrial ectotherm populations</dc:title>
  <dc:creator>r Daniel W.A. Noble^1, Fonti Kar^2, Frank Seebacher^3, Alex Bush^4, &amp; Shinichi Nakagawa^2</dc:creator>
  <cp:keywords/>
  <dcterms:created xsi:type="dcterms:W3CDTF">2023-01-06T02:06:23Z</dcterms:created>
  <dcterms:modified xsi:type="dcterms:W3CDTF">2023-01-06T02:06:23Z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./bib/ecology-letters.csl</vt:lpwstr>
  </property>
  <property fmtid="{D5CDD505-2E9C-101B-9397-08002B2CF9AE}" pid="5" name="editor_options">
    <vt:lpwstr/>
  </property>
  <property fmtid="{D5CDD505-2E9C-101B-9397-08002B2CF9AE}" pid="6" name="output">
    <vt:lpwstr/>
  </property>
</Properties>
</file>