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1.png" ContentType="image/png"/>
  <Override PartName="/word/media/rId77.png" ContentType="image/png"/>
  <Override PartName="/word/media/rId80.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34.0314136%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@ref(eq:lnq10)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@ref(eq:lnq10)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@ref(eq:lnq10VR) and @ref(eq:slnq10VR) describe the change in physiological rate variance (eqn @ref(eq:lnq10VR)) across a 10°C temperature change along with its sampling variance (eqn @ref(eq:slnq10VR)).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4.2.1) using</w:t>
      </w:r>
      <w:r>
        <w:t xml:space="preserve"> </w:t>
      </w:r>
      <w:r>
        <w:rPr>
          <w:iCs/>
          <w:i/>
        </w:rPr>
        <w:t xml:space="preserve">brms</w:t>
      </w:r>
      <w:r>
        <w:t xml:space="preserve"> </w:t>
      </w:r>
      <w:r>
        <w:t xml:space="preserve">(Bürkner 2017; vers. 2.18.0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3.0.14,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3.6.2,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1.2.0,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w:t>
      </w:r>
      <w:r>
        <w:t xml:space="preserve"> </w:t>
      </w:r>
      <m:oMath>
        <m:r>
          <m:rPr>
            <m:sty m:val="p"/>
          </m:rPr>
          <m:t>±</m:t>
        </m:r>
      </m:oMath>
      <w:r>
        <w:t xml:space="preserve"> </w:t>
      </w:r>
      <w:r>
        <w:t xml:space="preserve">45.1903321 days), and terrestrial ectotherms were acclimated for a much shorter duration (mean (SD) = 23.5284553</w:t>
      </w:r>
      <w:r>
        <w:t xml:space="preserve"> </w:t>
      </w:r>
      <m:oMath>
        <m:r>
          <m:rPr>
            <m:sty m:val="p"/>
          </m:rPr>
          <m:t>±</m:t>
        </m:r>
      </m:oMath>
      <w:r>
        <w:t xml:space="preserve"> </w:t>
      </w:r>
      <w:r>
        <w:t xml:space="preserve">15.5570474, n = 125) than both freshwater (mean (SD) = 36.8087167</w:t>
      </w:r>
      <w:r>
        <w:t xml:space="preserve"> </w:t>
      </w:r>
      <m:oMath>
        <m:r>
          <m:rPr>
            <m:sty m:val="p"/>
          </m:rPr>
          <m:t>±</m:t>
        </m:r>
      </m:oMath>
      <w:r>
        <w:t xml:space="preserve"> </w:t>
      </w:r>
      <w:r>
        <w:t xml:space="preserve">28.7077629, n = 430) and marine species (mean (SD) = 46.1775362</w:t>
      </w:r>
      <w:r>
        <w:t xml:space="preserve"> </w:t>
      </w:r>
      <m:oMath>
        <m:r>
          <m:rPr>
            <m:sty m:val="p"/>
          </m:rPr>
          <m:t>±</m:t>
        </m:r>
      </m:oMath>
      <w:r>
        <w:t xml:space="preserve"> </w:t>
      </w:r>
      <w:r>
        <w:t xml:space="preserve">67.2126693,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37.9815271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7"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 xml:space="preserve">Figure 1</w:t>
        </w:r>
      </w:hyperlink>
      <w:r>
        <w:t xml:space="preserve"> </w:t>
      </w:r>
      <w:r>
        <w:t xml:space="preserve">A). We had more data on acute thermal responses (n = 1115) compared to thermal responses after an acclimation period (n = 798) because both acclimation temperatures had separate acute responses (</w:t>
      </w:r>
      <w:hyperlink w:anchor="fig-1">
        <w:r>
          <w:rPr>
            <w:rStyle w:val="Hyperlink"/>
          </w:rPr>
          <w:t xml:space="preserve">Figure 1</w:t>
        </w:r>
      </w:hyperlink>
      <w:r>
        <w:t xml:space="preserve">).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0.0692282, 95% CI: 0.0352333 to 0.1032231,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4"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7.942601% across all habitats (95%CI: 4.7858502 to 11.2428758%). Ectotherms in marine and freshwater environments showed partial compensation of physiological rates (</w:t>
      </w:r>
      <w:hyperlink w:anchor="fig-1">
        <w:r>
          <w:rPr>
            <w:rStyle w:val="Hyperlink"/>
          </w:rPr>
          <w:t xml:space="preserve">Figure 1</w:t>
        </w:r>
      </w:hyperlink>
      <w:r>
        <w:t xml:space="preserve"> </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10.1151427% (95% CI: 6.0391131 to 14.1246045) in freshwater and 9.2635907% (95% CI: 2.6165698 to 15.7998426) in marine environments. In contrast, terrestrial ectotherms showed no acclimation (possibly even inverse acclimation) – showing a 4.4490697%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0.1937765 to 11.4392369,</w:t>
      </w:r>
      <w:r>
        <w:t xml:space="preserve"> </w:t>
      </w:r>
      <w:hyperlink w:anchor="fig-1">
        <w:r>
          <w:rPr>
            <w:rStyle w:val="Hyperlink"/>
          </w:rPr>
          <w:t xml:space="preserve">Figure 1</w:t>
        </w:r>
      </w:hyperlink>
      <w:r>
        <w:t xml:space="preserve"> </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0.0692282, 95% CI: 0.0352333 to 0.1032231, p &lt; 0.001), acclimatization is not likely going to provide adaptive benefits under climate change.</w:t>
      </w:r>
    </w:p>
    <w:tbl>
      <w:tblPr>
        <w:tblStyle w:val="Table"/>
        <w:tblW w:type="pct" w:w="5000"/>
        <w:tblLook w:firstRow="0" w:lastRow="0" w:firstColumn="0" w:lastColumn="0" w:noHBand="0" w:noVBand="0" w:val="0000"/>
      </w:tblPr>
      <w:tblGrid>
        <w:gridCol w:w="7920"/>
      </w:tblGrid>
      <w:tr>
        <w:tc>
          <w:tcPr/>
          <w:bookmarkStart w:id="40" w:name="fig-1"/>
          <w:p>
            <w:pPr>
              <w:pStyle w:val="Figure"/>
              <w:jc w:val="center"/>
            </w:pPr>
            <w:r>
              <w:drawing>
                <wp:inline>
                  <wp:extent cx="6680200" cy="4925214"/>
                  <wp:effectExtent b="0" l="0" r="0" t="0"/>
                  <wp:docPr descr=""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1</w:t>
            </w:r>
            <w:r>
              <w:rPr>
                <w:bCs/>
                <w:b/>
              </w:rPr>
              <w:t xml:space="preserve">.</w:t>
            </w:r>
            <w:r>
              <w:t xml:space="preserve"> </w:t>
            </w: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0"/>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680200" cy="1668575"/>
                  <wp:effectExtent b="0" l="0" r="0" t="0"/>
                  <wp:docPr descr="" title="" id="42" name="Picture"/>
                  <a:graphic>
                    <a:graphicData uri="http://schemas.openxmlformats.org/drawingml/2006/picture">
                      <pic:pic>
                        <pic:nvPicPr>
                          <pic:cNvPr descr="ms_files/figure-docx/fig2-1.png" id="43" name="Picture"/>
                          <pic:cNvPicPr>
                            <a:picLocks noChangeArrowheads="1" noChangeAspect="1"/>
                          </pic:cNvPicPr>
                        </pic:nvPicPr>
                        <pic:blipFill>
                          <a:blip r:embed="rId41"/>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t xml:space="preserve">Acute and Acclimation lnRR q10 across traits for A) marine, B) freshwater and C) terrestrial systems</w:t>
            </w:r>
          </w:p>
        </w:tc>
      </w:tr>
    </w:tbl>
    <w:bookmarkEnd w:id="44"/>
    <w:bookmarkStart w:id="45" w:name="X3393869c47f435e9cf00f18ea1403d82e4fa8de"/>
    <w:p>
      <w:pPr>
        <w:pStyle w:val="Heading3"/>
      </w:pPr>
      <w:r>
        <w:rPr>
          <w:iCs/>
          <w:i/>
        </w:rPr>
        <w:t xml:space="preserve">Does the opportunity for selection differ across terrestrial and aquatic ectotherms?</w:t>
      </w:r>
    </w:p>
    <w:bookmarkEnd w:id="45"/>
    <w:bookmarkStart w:id="46" w:name="Xc10ebb43a1744a2445867384f67c174e2ec2054"/>
    <w:p>
      <w:pPr>
        <w:pStyle w:val="Heading3"/>
      </w:pPr>
      <w:r>
        <w:rPr>
          <w:iCs/>
          <w:i/>
        </w:rPr>
        <w:t xml:space="preserve">Does climate variability predict acclimation capacity among aquatic and terrestrial ectotherms?</w:t>
      </w:r>
    </w:p>
    <w:bookmarkEnd w:id="46"/>
    <w:bookmarkEnd w:id="47"/>
    <w:bookmarkStart w:id="48"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8"/>
    <w:bookmarkStart w:id="76" w:name="references"/>
    <w:p>
      <w:pPr>
        <w:pStyle w:val="Heading2"/>
      </w:pPr>
      <w:r>
        <w:t xml:space="preserve">References</w:t>
      </w:r>
    </w:p>
    <w:p>
      <w:pPr>
        <w:pStyle w:val="FirstParagraph"/>
      </w:pPr>
    </w:p>
    <w:bookmarkStart w:id="75" w:name="refs"/>
    <w:bookmarkStart w:id="49"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9"/>
    <w:bookmarkStart w:id="50"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50"/>
    <w:bookmarkStart w:id="51"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1"/>
    <w:bookmarkStart w:id="52"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2"/>
    <w:bookmarkStart w:id="53"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3"/>
    <w:bookmarkStart w:id="54"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4"/>
    <w:bookmarkStart w:id="55"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5"/>
    <w:bookmarkStart w:id="56"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6"/>
    <w:bookmarkStart w:id="57"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7"/>
    <w:bookmarkStart w:id="58"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8"/>
    <w:bookmarkStart w:id="59"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9"/>
    <w:bookmarkStart w:id="60"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60"/>
    <w:bookmarkStart w:id="61"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1"/>
    <w:bookmarkStart w:id="62"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2"/>
    <w:bookmarkStart w:id="63"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3"/>
    <w:bookmarkStart w:id="64"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4"/>
    <w:bookmarkStart w:id="65"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5"/>
    <w:bookmarkStart w:id="66"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6"/>
    <w:bookmarkStart w:id="67"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7"/>
    <w:bookmarkStart w:id="68"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8"/>
    <w:bookmarkStart w:id="69"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9"/>
    <w:bookmarkStart w:id="70"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70"/>
    <w:bookmarkStart w:id="71"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1"/>
    <w:bookmarkStart w:id="72" w:name="ref-stan"/>
    <w:p>
      <w:pPr>
        <w:pStyle w:val="Bibliography"/>
      </w:pPr>
      <w:r>
        <w:t xml:space="preserve">Stan development team. RStan: The r interface to stan. (2021).</w:t>
      </w:r>
      <w:r>
        <w:t xml:space="preserve"> </w:t>
      </w:r>
      <w:r>
        <w:rPr>
          <w:iCs/>
          <w:i/>
        </w:rPr>
        <w:t xml:space="preserve">R package version 2.21.3. https://mc-stan.org/.</w:t>
      </w:r>
    </w:p>
    <w:bookmarkEnd w:id="72"/>
    <w:bookmarkStart w:id="73"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3"/>
    <w:bookmarkStart w:id="74"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4"/>
    <w:bookmarkEnd w:id="75"/>
    <w:p>
      <w:pPr>
        <w:pStyle w:val="BodyText"/>
      </w:pPr>
    </w:p>
    <w:bookmarkEnd w:id="76"/>
    <w:bookmarkStart w:id="83" w:name="supplemental-results-and-figures"/>
    <w:p>
      <w:pPr>
        <w:pStyle w:val="Heading2"/>
      </w:pPr>
      <w:r>
        <w:t xml:space="preserve">Supplemental Results and 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78" name="Picture"/>
                  <a:graphic>
                    <a:graphicData uri="http://schemas.openxmlformats.org/drawingml/2006/picture">
                      <pic:pic>
                        <pic:nvPicPr>
                          <pic:cNvPr descr="ms_files/figure-docx/fig4-1.png" id="79" name="Picture"/>
                          <pic:cNvPicPr>
                            <a:picLocks noChangeArrowheads="1" noChangeAspect="1"/>
                          </pic:cNvPicPr>
                        </pic:nvPicPr>
                        <pic:blipFill>
                          <a:blip r:embed="rId77"/>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81" name="Picture"/>
                  <a:graphic>
                    <a:graphicData uri="http://schemas.openxmlformats.org/drawingml/2006/picture">
                      <pic:pic>
                        <pic:nvPicPr>
                          <pic:cNvPr descr="ms_files/figure-docx/fig5-1.png" id="82" name="Picture"/>
                          <pic:cNvPicPr>
                            <a:picLocks noChangeArrowheads="1" noChangeAspect="1"/>
                          </pic:cNvPicPr>
                        </pic:nvPicPr>
                        <pic:blipFill>
                          <a:blip r:embed="rId80"/>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 lnCVR</w:t>
            </w:r>
          </w:p>
        </w:tc>
      </w:tr>
    </w:tbl>
    <w:bookmarkEnd w:id="83"/>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77" Target="media/rId77.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2023-02-11T21:10:34Z</dcterms:created>
  <dcterms:modified xsi:type="dcterms:W3CDTF">2023-02-11T21:10:34Z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