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86.png" ContentType="image/png"/>
  <Override PartName="/word/media/rId8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Seebacher</w:t>
      </w:r>
      <w:r>
        <w:t xml:space="preserve"> </w:t>
      </w:r>
      <w:r>
        <w:rPr>
          <w:iCs/>
          <w:i/>
        </w:rPr>
        <w:t xml:space="preserve">et al.</w:t>
      </w:r>
      <w:r>
        <w:t xml:space="preserve"> </w:t>
      </w:r>
      <w:r>
        <w:t xml:space="preserve">(2015)</w:t>
      </w:r>
      <w:r>
        <w:t xml:space="preserve">;</w:t>
      </w:r>
      <w:r>
        <w:t xml:space="preserve"> </w:t>
      </w:r>
      <w:r>
        <w:t xml:space="preserve">Gunderson &amp; Stillman (2015)</w:t>
      </w:r>
      <w:r>
        <w:t xml:space="preserve">;</w:t>
      </w:r>
      <w:r>
        <w:t xml:space="preserve"> </w:t>
      </w:r>
      <w:r>
        <w:t xml:space="preserve">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42"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34.031%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34"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7"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w:bookmarkStart w:id="25" w:name="eq-lnq10"/>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1</m:t>
              </m:r>
            </m:e>
          </m:d>
        </m:oMath>
      </m:oMathPara>
      <w:bookmarkEnd w:id="25"/>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w:t>
      </w:r>
      <w:r>
        <w:t xml:space="preserve"> </w:t>
      </w:r>
      <w:hyperlink w:anchor="eq-lnq10">
        <w:r>
          <w:rPr>
            <w:rStyle w:val="Hyperlink"/>
          </w:rPr>
          <w:t xml:space="preserve">Equation 1</w:t>
        </w:r>
      </w:hyperlink>
      <w:r>
        <w:t xml:space="preserve"> </w:t>
      </w:r>
      <w:r>
        <w:t xml:space="preserve">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w:t>
      </w:r>
      <w:r>
        <w:t xml:space="preserve"> </w:t>
      </w:r>
      <w:hyperlink w:anchor="eq-lnq10">
        <w:r>
          <w:rPr>
            <w:rStyle w:val="Hyperlink"/>
          </w:rPr>
          <w:t xml:space="preserve">Equation 1</w:t>
        </w:r>
      </w:hyperlink>
      <w:r>
        <w:t xml:space="preserve"> </w:t>
      </w:r>
      <w:r>
        <w:t xml:space="preserve">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w:bookmarkStart w:id="26" w:name="eq-Vlnq10"/>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2</m:t>
              </m:r>
            </m:e>
          </m:d>
        </m:oMath>
      </m:oMathPara>
      <w:bookmarkEnd w:id="26"/>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7"/>
    <w:bookmarkStart w:id="32"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w:bookmarkStart w:id="28" w:name="eq-lnq10V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3</m:t>
              </m:r>
            </m:e>
          </m:d>
        </m:oMath>
      </m:oMathPara>
      <w:bookmarkEnd w:id="28"/>
    </w:p>
    <w:p>
      <w:pPr>
        <w:pStyle w:val="FirstParagraph"/>
      </w:pPr>
      <w:bookmarkStart w:id="29" w:name="eq-slnq10V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4</m:t>
              </m:r>
            </m:e>
          </m:d>
        </m:oMath>
      </m:oMathPara>
      <w:bookmarkEnd w:id="29"/>
    </w:p>
    <w:p>
      <w:pPr>
        <w:pStyle w:val="FirstParagraph"/>
      </w:pPr>
      <w:hyperlink w:anchor="eq-lnq10VR">
        <w:r>
          <w:rPr>
            <w:rStyle w:val="Hyperlink"/>
          </w:rPr>
          <w:t xml:space="preserve">Equation 3</w:t>
        </w:r>
      </w:hyperlink>
      <w:r>
        <w:t xml:space="preserve"> </w:t>
      </w:r>
      <w:r>
        <w:t xml:space="preserve">and</w:t>
      </w:r>
      <w:r>
        <w:t xml:space="preserve"> </w:t>
      </w:r>
      <w:hyperlink w:anchor="eq-slnq10VR">
        <w:r>
          <w:rPr>
            <w:rStyle w:val="Hyperlink"/>
          </w:rPr>
          <w:t xml:space="preserve">Equation 4</w:t>
        </w:r>
      </w:hyperlink>
      <w:r>
        <w:t xml:space="preserve"> </w:t>
      </w:r>
      <w:r>
        <w:t xml:space="preserve">describe the change in physiological rate variance (</w:t>
      </w:r>
      <w:hyperlink w:anchor="eq-lnq10VR">
        <w:r>
          <w:rPr>
            <w:rStyle w:val="Hyperlink"/>
          </w:rPr>
          <w:t xml:space="preserve">Equation 3</w:t>
        </w:r>
      </w:hyperlink>
      <w:r>
        <w:t xml:space="preserve">) across a 10°C temperature change along with its sampling variance (</w:t>
      </w:r>
      <w:hyperlink w:anchor="eq-slnq10VR">
        <w:r>
          <w:rPr>
            <w:rStyle w:val="Hyperlink"/>
          </w:rPr>
          <w:t xml:space="preserve">Equation 4</w:t>
        </w:r>
      </w:hyperlink>
      <w:r>
        <w:t xml:space="preserve">).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w:bookmarkStart w:id="30" w:name="eq-lnq10CV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5</m:t>
              </m:r>
            </m:e>
          </m:d>
        </m:oMath>
      </m:oMathPara>
      <w:bookmarkEnd w:id="30"/>
    </w:p>
    <w:p>
      <w:pPr>
        <w:pStyle w:val="FirstParagraph"/>
      </w:pPr>
      <w:bookmarkStart w:id="31" w:name="eq-slncv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6</m:t>
              </m:r>
            </m:e>
          </m:d>
        </m:oMath>
      </m:oMathPara>
      <w:bookmarkEnd w:id="31"/>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32"/>
    <w:bookmarkStart w:id="33"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33"/>
    <w:bookmarkEnd w:id="34"/>
    <w:bookmarkStart w:id="35"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35"/>
    <w:bookmarkStart w:id="36"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w:t>
      </w:r>
      <w:r>
        <w:t xml:space="preserve"> </w:t>
      </w:r>
      <w:r>
        <w:t xml:space="preserve">(vers. 1.19, Pierce 2021)</w:t>
      </w:r>
      <w:r>
        <w:t xml:space="preserve">.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6"/>
    <w:bookmarkStart w:id="39"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(vers. 2.17.0 Bürkner 2017, 2018;</w:t>
      </w:r>
      <w:r>
        <w:t xml:space="preserve"> </w:t>
      </w:r>
      <w:r>
        <w:t xml:space="preserve">“Stan development team.</w:t>
      </w:r>
      <w:r>
        <w:t xml:space="preserve"> </w:t>
      </w:r>
      <w:r>
        <w:t xml:space="preserve">RStan</w:t>
      </w:r>
      <w:r>
        <w:t xml:space="preserve">”</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7"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7"/>
    <w:bookmarkStart w:id="38"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37.982</w:t>
      </w:r>
      <w:r>
        <w:t xml:space="preserve"> </w:t>
      </w:r>
      <m:oMath>
        <m:r>
          <m:rPr>
            <m:sty m:val="p"/>
          </m:rPr>
          <m:t>±</m:t>
        </m:r>
      </m:oMath>
      <w:r>
        <w:t xml:space="preserve"> </w:t>
      </w:r>
      <w:r>
        <w:t xml:space="preserve">45.19 days), and terrestrial ectotherms were acclimated for a much shorter duration (mean (SD) = 23.528</w:t>
      </w:r>
      <w:r>
        <w:t xml:space="preserve"> </w:t>
      </w:r>
      <m:oMath>
        <m:r>
          <m:rPr>
            <m:sty m:val="p"/>
          </m:rPr>
          <m:t>±</m:t>
        </m:r>
      </m:oMath>
      <w:r>
        <w:t xml:space="preserve"> </w:t>
      </w:r>
      <w:r>
        <w:t xml:space="preserve">15.557, n = 125) than both freshwater (mean (SD) = 36.809</w:t>
      </w:r>
      <w:r>
        <w:t xml:space="preserve"> </w:t>
      </w:r>
      <m:oMath>
        <m:r>
          <m:rPr>
            <m:sty m:val="p"/>
          </m:rPr>
          <m:t>±</m:t>
        </m:r>
      </m:oMath>
      <w:r>
        <w:t xml:space="preserve"> </w:t>
      </w:r>
      <w:r>
        <w:t xml:space="preserve">28.708, n = 430) and marine species (mean (SD) = 46.178</w:t>
      </w:r>
      <w:r>
        <w:t xml:space="preserve"> </w:t>
      </w:r>
      <m:oMath>
        <m:r>
          <m:rPr>
            <m:sty m:val="p"/>
          </m:rPr>
          <m:t>±</m:t>
        </m:r>
      </m:oMath>
      <w:r>
        <w:t xml:space="preserve"> </w:t>
      </w:r>
      <w:r>
        <w:t xml:space="preserve">67.213,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37.982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8"/>
    <w:bookmarkEnd w:id="39"/>
    <w:bookmarkStart w:id="40" w:name="sensitivity-analyses"/>
    <w:p>
      <w:pPr>
        <w:pStyle w:val="Heading3"/>
      </w:pPr>
      <w:r>
        <w:rPr>
          <w:iCs/>
          <w:i/>
        </w:rPr>
        <w:t xml:space="preserve">Sensitivity Analyses</w:t>
      </w:r>
    </w:p>
    <w:bookmarkEnd w:id="40"/>
    <w:bookmarkStart w:id="41" w:name="publication-bias"/>
    <w:p>
      <w:pPr>
        <w:pStyle w:val="Heading3"/>
      </w:pPr>
      <w:r>
        <w:rPr>
          <w:iCs/>
          <w:i/>
        </w:rPr>
        <w:t xml:space="preserve">Publication Bias</w:t>
      </w:r>
    </w:p>
    <w:bookmarkEnd w:id="41"/>
    <w:bookmarkEnd w:id="42"/>
    <w:bookmarkStart w:id="54"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 xml:space="preserve">Figure 1</w:t>
        </w:r>
      </w:hyperlink>
      <w:r>
        <w:t xml:space="preserve"> </w:t>
      </w:r>
      <w:r>
        <w:t xml:space="preserve">A). We had more data on acute thermal responses (n = 1115) compared to thermal responses after an acclimation period (n = 798) because both acclimation temperatures had separate acute responses (</w:t>
      </w:r>
      <w:hyperlink w:anchor="fig-1">
        <w:r>
          <w:rPr>
            <w:rStyle w:val="Hyperlink"/>
          </w:rPr>
          <w:t xml:space="preserve">Figure 1</w:t>
        </w:r>
      </w:hyperlink>
      <w:r>
        <w:t xml:space="preserve">).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0.069, 95% CI: 0.035 to 0.103,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51"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7.943% across all habitats (95%CI: 4.786 to 11.243%). Ectotherms in marine and freshwater environments showed partial compensation of physiological rates (</w:t>
      </w:r>
      <w:hyperlink w:anchor="fig-1">
        <w:r>
          <w:rPr>
            <w:rStyle w:val="Hyperlink"/>
          </w:rPr>
          <w:t xml:space="preserve">Figure 1</w:t>
        </w:r>
      </w:hyperlink>
      <w:r>
        <w:t xml:space="preserve"> </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10.115% (95% CI: 6.039 to 14.125) in freshwater and 9.264% (95% CI: 2.617 to 15.8) in marine environments. In contrast, terrestrial ectotherms showed no acclimation (possibly even inverse acclimation) – showing a 4.449%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0.194 to 11.439,</w:t>
      </w:r>
      <w:r>
        <w:t xml:space="preserve"> </w:t>
      </w:r>
      <w:hyperlink w:anchor="fig-1">
        <w:r>
          <w:rPr>
            <w:rStyle w:val="Hyperlink"/>
          </w:rPr>
          <w:t xml:space="preserve">Figure 1</w:t>
        </w:r>
      </w:hyperlink>
      <w:r>
        <w:t xml:space="preserve"> </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0.069, 95% CI: 0.035 to 0.103, p &lt; 0.001), acclimatization is not likely going to provide adaptive benefits under climate change.</w:t>
      </w:r>
    </w:p>
    <w:tbl>
      <w:tblPr>
        <w:tblStyle w:val="Table"/>
        <w:tblW w:type="pct" w:w="5000"/>
        <w:tblLook w:firstRow="0" w:lastRow="0" w:firstColumn="0" w:lastColumn="0" w:noHBand="0" w:noVBand="0" w:val="0000"/>
      </w:tblPr>
      <w:tblGrid>
        <w:gridCol w:w="7920"/>
      </w:tblGrid>
      <w:tr>
        <w:tc>
          <w:tcPr/>
          <w:bookmarkStart w:id="46" w:name="fig-1"/>
          <w:p>
            <w:pPr>
              <w:pStyle w:val="Figure"/>
              <w:jc w:val="center"/>
            </w:pPr>
            <w:r>
              <w:drawing>
                <wp:inline>
                  <wp:extent cx="6680200" cy="4925214"/>
                  <wp:effectExtent b="0" l="0" r="0" t="0"/>
                  <wp:docPr descr="" title="" id="44" name="Picture"/>
                  <a:graphic>
                    <a:graphicData uri="http://schemas.openxmlformats.org/drawingml/2006/picture">
                      <pic:pic>
                        <pic:nvPicPr>
                          <pic:cNvPr descr="ms_files/figure-docx/fig-1-1.png" id="45" name="Picture"/>
                          <pic:cNvPicPr>
                            <a:picLocks noChangeArrowheads="1" noChangeAspect="1"/>
                          </pic:cNvPicPr>
                        </pic:nvPicPr>
                        <pic:blipFill>
                          <a:blip r:embed="rId43"/>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1</w:t>
            </w:r>
            <w:r>
              <w:rPr>
                <w:bCs/>
                <w:b/>
              </w:rPr>
              <w:t xml:space="preserve">-</w:t>
            </w:r>
            <w:r>
              <w:t xml:space="preserve"> </w:t>
            </w: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2"/>
          <w:p>
            <w:pPr>
              <w:pStyle w:val="Figure"/>
              <w:jc w:val="center"/>
            </w:pPr>
            <w:r>
              <w:drawing>
                <wp:inline>
                  <wp:extent cx="6680200" cy="1668575"/>
                  <wp:effectExtent b="0" l="0" r="0" t="0"/>
                  <wp:docPr descr="" title="" id="48" name="Picture"/>
                  <a:graphic>
                    <a:graphicData uri="http://schemas.openxmlformats.org/drawingml/2006/picture">
                      <pic:pic>
                        <pic:nvPicPr>
                          <pic:cNvPr descr="ms_files/figure-docx/fig-2-1.png" id="49" name="Picture"/>
                          <pic:cNvPicPr>
                            <a:picLocks noChangeArrowheads="1" noChangeAspect="1"/>
                          </pic:cNvPicPr>
                        </pic:nvPicPr>
                        <pic:blipFill>
                          <a:blip r:embed="rId47"/>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2</w:t>
            </w:r>
            <w:r>
              <w:rPr>
                <w:bCs/>
                <w:b/>
              </w:rPr>
              <w:t xml:space="preserve">-</w:t>
            </w:r>
            <w:r>
              <w:t xml:space="preserve"> </w:t>
            </w:r>
            <w:r>
              <w:t xml:space="preserve">Acute and Acclimation lnRR q10 across traits for A) marine, B) freshwater and C) terrestrial systems</w:t>
            </w:r>
          </w:p>
          <w:bookmarkEnd w:id="50"/>
        </w:tc>
      </w:tr>
    </w:tbl>
    <w:bookmarkEnd w:id="51"/>
    <w:bookmarkStart w:id="52" w:name="X3393869c47f435e9cf00f18ea1403d82e4fa8de"/>
    <w:p>
      <w:pPr>
        <w:pStyle w:val="Heading3"/>
      </w:pPr>
      <w:r>
        <w:rPr>
          <w:iCs/>
          <w:i/>
        </w:rPr>
        <w:t xml:space="preserve">Does the opportunity for selection differ across terrestrial and aquatic ectotherms?</w:t>
      </w:r>
    </w:p>
    <w:bookmarkEnd w:id="52"/>
    <w:bookmarkStart w:id="53" w:name="Xc10ebb43a1744a2445867384f67c174e2ec2054"/>
    <w:p>
      <w:pPr>
        <w:pStyle w:val="Heading3"/>
      </w:pPr>
      <w:r>
        <w:rPr>
          <w:iCs/>
          <w:i/>
        </w:rPr>
        <w:t xml:space="preserve">Does climate variability predict acclimation capacity among aquatic and terrestrial ectotherms?</w:t>
      </w:r>
    </w:p>
    <w:bookmarkEnd w:id="53"/>
    <w:bookmarkEnd w:id="54"/>
    <w:bookmarkStart w:id="55"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55"/>
    <w:bookmarkStart w:id="85" w:name="references"/>
    <w:p>
      <w:pPr>
        <w:pStyle w:val="Heading2"/>
      </w:pPr>
      <w:r>
        <w:t xml:space="preserve">References</w:t>
      </w:r>
    </w:p>
    <w:p>
      <w:pPr>
        <w:pStyle w:val="FirstParagraph"/>
      </w:pPr>
    </w:p>
    <w:bookmarkStart w:id="84" w:name="refs"/>
    <w:bookmarkStart w:id="56" w:name="ref-Bulgarella2015-yl"/>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 Insect Physiol.</w:t>
      </w:r>
      <w:r>
        <w:t xml:space="preserve">, 75, 30–38.</w:t>
      </w:r>
    </w:p>
    <w:bookmarkEnd w:id="56"/>
    <w:bookmarkStart w:id="57" w:name="ref-Burkner2017-wg"/>
    <w:p>
      <w:pPr>
        <w:pStyle w:val="Bibliography"/>
      </w:pPr>
      <w:r>
        <w:t xml:space="preserve">Bürkner, P.-C. (2017). 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80, 1–28., doi:10.18637/jss.v080.i01.</w:t>
      </w:r>
    </w:p>
    <w:bookmarkEnd w:id="57"/>
    <w:bookmarkStart w:id="58" w:name="ref-Burkner2018-ur"/>
    <w:p>
      <w:pPr>
        <w:pStyle w:val="Bibliography"/>
      </w:pPr>
      <w:r>
        <w:t xml:space="preserve">Bürkner, P.-C. (2018). Advanced bayesian multilevel modeling with the</w:t>
      </w:r>
      <w:r>
        <w:t xml:space="preserve"> </w:t>
      </w:r>
      <w:r>
        <w:t xml:space="preserve">R</w:t>
      </w:r>
      <w:r>
        <w:t xml:space="preserve"> </w:t>
      </w:r>
      <w:r>
        <w:t xml:space="preserve">package brms.</w:t>
      </w:r>
      <w:r>
        <w:t xml:space="preserve"> </w:t>
      </w:r>
      <w:r>
        <w:rPr>
          <w:iCs/>
          <w:i/>
        </w:rPr>
        <w:t xml:space="preserve">R J.</w:t>
      </w:r>
      <w:r>
        <w:t xml:space="preserve">, 10, 395–411.</w:t>
      </w:r>
    </w:p>
    <w:bookmarkEnd w:id="58"/>
    <w:bookmarkStart w:id="59" w:name="ref-Einum2023-lz"/>
    <w:p>
      <w:pPr>
        <w:pStyle w:val="Bibliography"/>
      </w:pPr>
      <w:r>
        <w:t xml:space="preserve">Einum, S. &amp; Burton, T. (2023). Divergence in rates of phenotypic plasticty among ectotherms.</w:t>
      </w:r>
      <w:r>
        <w:t xml:space="preserve"> </w:t>
      </w:r>
      <w:r>
        <w:rPr>
          <w:iCs/>
          <w:i/>
        </w:rPr>
        <w:t xml:space="preserve">Ecol. Lett.</w:t>
      </w:r>
      <w:r>
        <w:t xml:space="preserve">, 26, 147–156.</w:t>
      </w:r>
    </w:p>
    <w:bookmarkEnd w:id="59"/>
    <w:bookmarkStart w:id="60" w:name="ref-Grafen1989-pr"/>
    <w:p>
      <w:pPr>
        <w:pStyle w:val="Bibliography"/>
      </w:pPr>
      <w:r>
        <w:t xml:space="preserve">Grafen, A. (1989). The phylogenetic regression.</w:t>
      </w:r>
      <w:r>
        <w:t xml:space="preserve"> </w:t>
      </w:r>
      <w:r>
        <w:rPr>
          <w:iCs/>
          <w:i/>
        </w:rPr>
        <w:t xml:space="preserve">Philos. Trans. R. Soc. Lond. B Biol. Sci.</w:t>
      </w:r>
      <w:r>
        <w:t xml:space="preserve">, 326, 119–157.</w:t>
      </w:r>
    </w:p>
    <w:bookmarkEnd w:id="60"/>
    <w:bookmarkStart w:id="61" w:name="ref-Gunderson2015-hz"/>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61"/>
    <w:bookmarkStart w:id="62" w:name="ref-Havird2020-mj"/>
    <w:p>
      <w:pPr>
        <w:pStyle w:val="Bibliography"/>
      </w:pPr>
      <w:r>
        <w:t xml:space="preserve">Havird, J.C., Neuwald, J.L., Shah, A.A., Mauro, A., Marshall, C.A. &amp; Ghalambor, C.K. (2020). Distinguishing between active plasticity due to thermal acclimation and passive plasticity due to</w:t>
      </w:r>
      <w:r>
        <w:t xml:space="preserve"> </w:t>
      </w:r>
      <w:r>
        <w:t xml:space="preserve">Q10</w:t>
      </w:r>
      <w:r>
        <w:t xml:space="preserve"> </w:t>
      </w:r>
      <w:r>
        <w:t xml:space="preserve">effects: Why methodology matters.</w:t>
      </w:r>
      <w:r>
        <w:t xml:space="preserve"> </w:t>
      </w:r>
      <w:r>
        <w:rPr>
          <w:iCs/>
          <w:i/>
        </w:rPr>
        <w:t xml:space="preserve">Funct. Ecol.</w:t>
      </w:r>
      <w:r>
        <w:t xml:space="preserve">, 0, 1–14.</w:t>
      </w:r>
    </w:p>
    <w:bookmarkEnd w:id="62"/>
    <w:bookmarkStart w:id="63" w:name="ref-Hedges1999-de"/>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63"/>
    <w:bookmarkStart w:id="64" w:name="ref-Hersbach2020-hx"/>
    <w:p>
      <w:pPr>
        <w:pStyle w:val="Bibliography"/>
      </w:pPr>
      <w:r>
        <w:t xml:space="preserve">Hersbach, H., Bell, B., Berrisford, P., Hirahara, S., Horányi, A., Muñoz-Sabater, J.,</w:t>
      </w:r>
      <w:r>
        <w:t xml:space="preserve"> </w:t>
      </w:r>
      <w:r>
        <w:rPr>
          <w:iCs/>
          <w:i/>
        </w:rPr>
        <w:t xml:space="preserve">et al.</w:t>
      </w:r>
      <w:r>
        <w:t xml:space="preserve"> (2020). The</w:t>
      </w:r>
      <w:r>
        <w:t xml:space="preserve"> </w:t>
      </w:r>
      <w:r>
        <w:t xml:space="preserve">ERA5</w:t>
      </w:r>
      <w:r>
        <w:t xml:space="preserve"> </w:t>
      </w:r>
      <w:r>
        <w:t xml:space="preserve">global reanalysis.</w:t>
      </w:r>
      <w:r>
        <w:t xml:space="preserve"> </w:t>
      </w:r>
      <w:r>
        <w:rPr>
          <w:iCs/>
          <w:i/>
        </w:rPr>
        <w:t xml:space="preserve">Quart. J. Roy. Meteor. Soc.</w:t>
      </w:r>
      <w:r>
        <w:t xml:space="preserve">, 146, 1999–2049.</w:t>
      </w:r>
    </w:p>
    <w:bookmarkEnd w:id="64"/>
    <w:bookmarkStart w:id="65" w:name="ref-Lajeunesse2011-fq"/>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65"/>
    <w:bookmarkStart w:id="66" w:name="ref-Michonneau2016-if"/>
    <w:p>
      <w:pPr>
        <w:pStyle w:val="Bibliography"/>
      </w:pPr>
      <w:r>
        <w:t xml:space="preserve">Michonneau, F., Brown, J.W. &amp; Winter, D.J. (2016). Rotl: An</w:t>
      </w:r>
      <w:r>
        <w:t xml:space="preserve"> </w:t>
      </w:r>
      <w:r>
        <w:t xml:space="preserve">R</w:t>
      </w:r>
      <w:r>
        <w:t xml:space="preserve"> </w:t>
      </w:r>
      <w:r>
        <w:t xml:space="preserve">package to interact with the open tree of life data.</w:t>
      </w:r>
      <w:r>
        <w:t xml:space="preserve"> </w:t>
      </w:r>
      <w:r>
        <w:rPr>
          <w:iCs/>
          <w:i/>
        </w:rPr>
        <w:t xml:space="preserve">Methods Ecol. Evol.</w:t>
      </w:r>
      <w:r>
        <w:t xml:space="preserve">, 7, 1476-1481. doi:10.1111/2041-210X.12593.</w:t>
      </w:r>
    </w:p>
    <w:bookmarkEnd w:id="66"/>
    <w:bookmarkStart w:id="67" w:name="ref-Nakagawa2021-ls"/>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67"/>
    <w:bookmarkStart w:id="68" w:name="ref-Nakagawa2015-fo"/>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Ecol. Evol.</w:t>
      </w:r>
      <w:r>
        <w:t xml:space="preserve">, 6, 143–152.</w:t>
      </w:r>
    </w:p>
    <w:bookmarkEnd w:id="68"/>
    <w:bookmarkStart w:id="69" w:name="ref-Nakagawa2012-oc"/>
    <w:p>
      <w:pPr>
        <w:pStyle w:val="Bibliography"/>
      </w:pPr>
      <w:r>
        <w:t xml:space="preserve">Nakagawa, S. &amp; Santos, E.S.A. (2012). Methodological issues and advances in biological meta-analysis.</w:t>
      </w:r>
      <w:r>
        <w:t xml:space="preserve"> </w:t>
      </w:r>
      <w:r>
        <w:rPr>
          <w:iCs/>
          <w:i/>
        </w:rPr>
        <w:t xml:space="preserve">Evol. Ecol.</w:t>
      </w:r>
      <w:r>
        <w:t xml:space="preserve">, 26, 1253–1274.</w:t>
      </w:r>
    </w:p>
    <w:bookmarkEnd w:id="69"/>
    <w:bookmarkStart w:id="70" w:name="ref-Nakagawa2021-uf"/>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70"/>
    <w:bookmarkStart w:id="71" w:name="ref-Noble2022-ty"/>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 Exp. Biol.</w:t>
      </w:r>
      <w:r>
        <w:t xml:space="preserve">, 225, jeb243225.</w:t>
      </w:r>
    </w:p>
    <w:bookmarkEnd w:id="71"/>
    <w:bookmarkStart w:id="72" w:name="ref-Ouzzani2016-ge"/>
    <w:p>
      <w:pPr>
        <w:pStyle w:val="Bibliography"/>
      </w:pPr>
      <w:r>
        <w:t xml:space="preserve">Ouzzani, M., Hammady, H., Fedorowicz, Z. &amp; Elmagarmid, A. (2016). Rayyan—a web and mobile app for systematic reviews.</w:t>
      </w:r>
      <w:r>
        <w:t xml:space="preserve"> </w:t>
      </w:r>
      <w:r>
        <w:rPr>
          <w:iCs/>
          <w:i/>
        </w:rPr>
        <w:t xml:space="preserve">Syst. Rev.</w:t>
      </w:r>
      <w:r>
        <w:t xml:space="preserve">, 5, 210–220.</w:t>
      </w:r>
    </w:p>
    <w:bookmarkEnd w:id="72"/>
    <w:bookmarkStart w:id="73" w:name="ref-Paradis2019-gx"/>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73"/>
    <w:bookmarkStart w:id="74" w:name="ref-Pick2019-mg"/>
    <w:p>
      <w:pPr>
        <w:pStyle w:val="Bibliography"/>
      </w:pPr>
      <w:r>
        <w:t xml:space="preserve">Pick, J.L., Nakagawa, S. &amp; Noble, D.W.A. (2019). Reproducible, flexible and high throughput data extraction from primary literature: The metaDigitise</w:t>
      </w:r>
      <w:r>
        <w:t xml:space="preserve"> </w:t>
      </w:r>
      <w:r>
        <w:t xml:space="preserve">R</w:t>
      </w:r>
      <w:r>
        <w:t xml:space="preserve"> </w:t>
      </w:r>
      <w:r>
        <w:t xml:space="preserve">package.</w:t>
      </w:r>
      <w:r>
        <w:t xml:space="preserve"> </w:t>
      </w:r>
      <w:r>
        <w:rPr>
          <w:iCs/>
          <w:i/>
        </w:rPr>
        <w:t xml:space="preserve">Methods Ecol. Evol.</w:t>
      </w:r>
      <w:r>
        <w:t xml:space="preserve">, 10, 426–431.</w:t>
      </w:r>
    </w:p>
    <w:bookmarkEnd w:id="74"/>
    <w:bookmarkStart w:id="76" w:name="ref-Pierce2021"/>
    <w:p>
      <w:pPr>
        <w:pStyle w:val="Bibliography"/>
      </w:pPr>
      <w:r>
        <w:t xml:space="preserve">Pierce, D. (2021).</w:t>
      </w:r>
      <w:r>
        <w:t xml:space="preserve"> </w:t>
      </w:r>
      <w:hyperlink r:id="rId75">
        <w:r>
          <w:rPr>
            <w:rStyle w:val="Hyperlink"/>
          </w:rPr>
          <w:t xml:space="preserve">ncdf4: Interface to unidata netCDF (version 4 or earlier) format data files</w:t>
        </w:r>
      </w:hyperlink>
      <w:r>
        <w:t xml:space="preserve">.</w:t>
      </w:r>
    </w:p>
    <w:bookmarkEnd w:id="76"/>
    <w:bookmarkStart w:id="77" w:name="ref-Pinsky2019-fn"/>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77"/>
    <w:bookmarkStart w:id="78" w:name="ref-Revell2012-vq"/>
    <w:p>
      <w:pPr>
        <w:pStyle w:val="Bibliography"/>
      </w:pPr>
      <w:r>
        <w:t xml:space="preserve">Revell, L.J. (2012).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3, 217–223.</w:t>
      </w:r>
    </w:p>
    <w:bookmarkEnd w:id="78"/>
    <w:bookmarkStart w:id="79" w:name="ref-Seebacher2015-wi"/>
    <w:p>
      <w:pPr>
        <w:pStyle w:val="Bibliography"/>
      </w:pPr>
      <w:r>
        <w:t xml:space="preserve">Seebacher, F., White, C.R. &amp; Franklin, C.E. (2015). Physiological plasticity increases resilience of ectothermic animals to climate change.</w:t>
      </w:r>
      <w:r>
        <w:t xml:space="preserve"> </w:t>
      </w:r>
      <w:r>
        <w:rPr>
          <w:iCs/>
          <w:i/>
        </w:rPr>
        <w:t xml:space="preserve">Nat. Clim. Chang.</w:t>
      </w:r>
      <w:r>
        <w:t xml:space="preserve">, 5, 61.</w:t>
      </w:r>
    </w:p>
    <w:bookmarkEnd w:id="79"/>
    <w:bookmarkStart w:id="80" w:name="ref-Song2021-ba"/>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80"/>
    <w:bookmarkStart w:id="81" w:name="ref-noauthor_2021-az"/>
    <w:p>
      <w:pPr>
        <w:pStyle w:val="Bibliography"/>
      </w:pPr>
      <w:r>
        <w:t xml:space="preserve">Stan development team.</w:t>
      </w:r>
      <w:r>
        <w:t xml:space="preserve"> </w:t>
      </w:r>
      <w:r>
        <w:t xml:space="preserve">RStan</w:t>
      </w:r>
      <w:r>
        <w:t xml:space="preserve">: The</w:t>
      </w:r>
      <w:r>
        <w:t xml:space="preserve"> </w:t>
      </w:r>
      <w:r>
        <w:t xml:space="preserve">R</w:t>
      </w:r>
      <w:r>
        <w:t xml:space="preserve"> </w:t>
      </w:r>
      <w:r>
        <w:t xml:space="preserve">interface to stan. (2021).</w:t>
      </w:r>
      <w:r>
        <w:t xml:space="preserve"> </w:t>
      </w:r>
      <w:r>
        <w:rPr>
          <w:iCs/>
          <w:i/>
        </w:rPr>
        <w:t xml:space="preserve">R package version 2. 21. 3. https://mc-stan. org/.</w:t>
      </w:r>
    </w:p>
    <w:bookmarkEnd w:id="81"/>
    <w:bookmarkStart w:id="82" w:name="ref-Viechtbauer2010-fn"/>
    <w:p>
      <w:pPr>
        <w:pStyle w:val="Bibliography"/>
      </w:pPr>
      <w:r>
        <w:t xml:space="preserve">Viechtbauer, W. (2010). Conducting meta-analyses in</w:t>
      </w:r>
      <w:r>
        <w:t xml:space="preserve"> </w:t>
      </w:r>
      <w:r>
        <w:t xml:space="preserve">R</w:t>
      </w:r>
      <w:r>
        <w:t xml:space="preserve"> </w:t>
      </w:r>
      <w:r>
        <w:t xml:space="preserve">with the metafor package.</w:t>
      </w:r>
      <w:r>
        <w:t xml:space="preserve"> </w:t>
      </w:r>
      <w:r>
        <w:rPr>
          <w:iCs/>
          <w:i/>
        </w:rPr>
        <w:t xml:space="preserve">J. Stat. Softw.</w:t>
      </w:r>
      <w:r>
        <w:t xml:space="preserve">, 36, 1–48. URL: https://www.jstatsoft.org/v36/i03/.</w:t>
      </w:r>
    </w:p>
    <w:bookmarkEnd w:id="82"/>
    <w:bookmarkStart w:id="83" w:name="ref-Yu2017-wj"/>
    <w:p>
      <w:pPr>
        <w:pStyle w:val="Bibliography"/>
      </w:pPr>
      <w:r>
        <w:t xml:space="preserve">Yu, G., Smith, D., Zhu, H., Guan, Y. &amp; Lam, T.T.-Y. (2017).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Cs/>
          <w:i/>
        </w:rPr>
        <w:t xml:space="preserve">Methods Ecol. Evol.</w:t>
      </w:r>
      <w:r>
        <w:t xml:space="preserve">, 8, 28–36, doi:10.1111/2041–210X.12628.</w:t>
      </w:r>
    </w:p>
    <w:bookmarkEnd w:id="83"/>
    <w:bookmarkEnd w:id="84"/>
    <w:p>
      <w:pPr>
        <w:pStyle w:val="BodyText"/>
      </w:pPr>
    </w:p>
    <w:bookmarkEnd w:id="85"/>
    <w:bookmarkStart w:id="92" w:name="supplemental-results-and-figures"/>
    <w:p>
      <w:pPr>
        <w:pStyle w:val="Heading2"/>
      </w:pPr>
      <w:r>
        <w:t xml:space="preserve">Supplemental Results and 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87" name="Picture"/>
                  <a:graphic>
                    <a:graphicData uri="http://schemas.openxmlformats.org/drawingml/2006/picture">
                      <pic:pic>
                        <pic:nvPicPr>
                          <pic:cNvPr descr="ms_files/figure-docx/fig4-1.png" id="88" name="Picture"/>
                          <pic:cNvPicPr>
                            <a:picLocks noChangeArrowheads="1" noChangeAspect="1"/>
                          </pic:cNvPicPr>
                        </pic:nvPicPr>
                        <pic:blipFill>
                          <a:blip r:embed="rId8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90" name="Picture"/>
                  <a:graphic>
                    <a:graphicData uri="http://schemas.openxmlformats.org/drawingml/2006/picture">
                      <pic:pic>
                        <pic:nvPicPr>
                          <pic:cNvPr descr="ms_files/figure-docx/fig5-1.png" id="91" name="Picture"/>
                          <pic:cNvPicPr>
                            <a:picLocks noChangeArrowheads="1" noChangeAspect="1"/>
                          </pic:cNvPicPr>
                        </pic:nvPicPr>
                        <pic:blipFill>
                          <a:blip r:embed="rId89"/>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 lnCVR</w:t>
            </w:r>
          </w:p>
        </w:tc>
      </w:tr>
    </w:tbl>
    <w:bookmarkEnd w:id="9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hyperlink" Id="rId75" Target="https://CRAN.R-project.org/package=ncdf4" TargetMode="External" /></Relationships>
</file>

<file path=word/_rels/footnotes.xml.rels><?xml version="1.0" encoding="UTF-8"?><Relationships xmlns="http://schemas.openxmlformats.org/package/2006/relationships"><Relationship Type="http://schemas.openxmlformats.org/officeDocument/2006/relationships/hyperlink" Id="rId75" Target="https://CRAN.R-project.org/package=ncdf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2023-03-01T04:00:51Z</dcterms:created>
  <dcterms:modified xsi:type="dcterms:W3CDTF">2023-03-01T04:00:51Z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