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Double</w:t>
      </w:r>
      <w:r>
        <w:t xml:space="preserve"> </w:t>
      </w:r>
      <w:r>
        <w:t xml:space="preserve">trouble:</w:t>
      </w:r>
      <w:r>
        <w:t xml:space="preserve"> </w:t>
      </w:r>
      <w:r>
        <w:t xml:space="preserve">Terrestrial</w:t>
      </w:r>
      <w:r>
        <w:t xml:space="preserve"> </w:t>
      </w:r>
      <w:r>
        <w:t xml:space="preserve">ectortherm</w:t>
      </w:r>
      <w:r>
        <w:t xml:space="preserve"> </w:t>
      </w:r>
      <w:r>
        <w:t xml:space="preserve">populations</w:t>
      </w:r>
      <w:r>
        <w:t xml:space="preserve"> </w:t>
      </w:r>
      <w:r>
        <w:t xml:space="preserve">have</w:t>
      </w:r>
      <w:r>
        <w:t xml:space="preserve"> </w:t>
      </w:r>
      <w:r>
        <w:t xml:space="preserve">both</w:t>
      </w:r>
      <w:r>
        <w:t xml:space="preserve"> </w:t>
      </w:r>
      <w:r>
        <w:t xml:space="preserve">reduced</w:t>
      </w:r>
      <w:r>
        <w:t xml:space="preserve"> </w:t>
      </w:r>
      <w:r>
        <w:t xml:space="preserve">opportunity</w:t>
      </w:r>
      <w:r>
        <w:t xml:space="preserve"> </w:t>
      </w:r>
      <w:r>
        <w:t xml:space="preserve">for</w:t>
      </w:r>
      <w:r>
        <w:t xml:space="preserve"> </w:t>
      </w:r>
      <w:r>
        <w:t xml:space="preserve">selection</w:t>
      </w:r>
      <w:r>
        <w:t xml:space="preserve"> </w:t>
      </w:r>
      <w:r>
        <w:t xml:space="preserve">and</w:t>
      </w:r>
      <w:r>
        <w:t xml:space="preserve"> </w:t>
      </w:r>
      <w:r>
        <w:t xml:space="preserve">physiological</w:t>
      </w:r>
      <w:r>
        <w:t xml:space="preserve"> </w:t>
      </w:r>
      <w:r>
        <w:t xml:space="preserve">plasticity</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comparing-variance-physiological-rates"/>
    <w:p>
      <w:pPr>
        <w:pStyle w:val="Heading4"/>
      </w:pPr>
      <w:r>
        <w:rPr>
          <w:iCs/>
          <w:i/>
        </w:rPr>
        <w:t xml:space="preserve">Comparing variance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We controlled for the duration of time organisms were given to acclimate by included scaled acclimation time (mean = 0, SD = 1) in all models.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3"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species of Crustacean, Cnidarian),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(Fig.</w:t>
      </w:r>
      <w:r>
        <w:t xml:space="preserve"> </w:t>
      </w:r>
      <w:r>
        <w:t xml:space="preserve">1</w:t>
      </w:r>
      <w:r>
        <w:t xml:space="preserve">A).</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0"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Phylogeny and Q10 estimate for acute and acclimation type effects. A) Phylogenetic distribution of taxa contained within the data. Total number of acute and acclimation type Q10 effect sizes are highlighted as well as if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Phylogeny and Q10 estimate for acute and acclimation type effects</w:t>
      </w:r>
      <w:r>
        <w:t xml:space="preserve">. A) Phylogenetic distribution of taxa contained within the data. Total number of acute and acclimation type Q10 effect sizes are highlighted as well as if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numbers in brackets indicate the number of species.</w:t>
      </w:r>
    </w:p>
    <w:bookmarkEnd w:id="40"/>
    <w:bookmarkStart w:id="41" w:name="X3393869c47f435e9cf00f18ea1403d82e4fa8de"/>
    <w:p>
      <w:pPr>
        <w:pStyle w:val="Heading3"/>
      </w:pPr>
      <w:r>
        <w:rPr>
          <w:iCs/>
          <w:i/>
        </w:rPr>
        <w:t xml:space="preserve">Does the opportunity for selection differ across terrestrial and aquatic ectotherms?</w:t>
      </w:r>
    </w:p>
    <w:bookmarkEnd w:id="41"/>
    <w:bookmarkStart w:id="42" w:name="Xc10ebb43a1744a2445867384f67c174e2ec2054"/>
    <w:p>
      <w:pPr>
        <w:pStyle w:val="Heading3"/>
      </w:pPr>
      <w:r>
        <w:rPr>
          <w:iCs/>
          <w:i/>
        </w:rPr>
        <w:t xml:space="preserve">Does climate variability predict acclimation capacity among aquatic and terrestrial ectotherms?</w:t>
      </w:r>
    </w:p>
    <w:bookmarkEnd w:id="42"/>
    <w:bookmarkEnd w:id="43"/>
    <w:bookmarkStart w:id="44" w:name="discussion"/>
    <w:p>
      <w:pPr>
        <w:pStyle w:val="Heading2"/>
      </w:pPr>
      <w:r>
        <w:rPr>
          <w:bCs/>
          <w:b/>
        </w:rPr>
        <w:t xml:space="preserve">Discussion</w:t>
      </w:r>
    </w:p>
    <w:bookmarkEnd w:id="44"/>
    <w:bookmarkStart w:id="45" w:name="references"/>
    <w:p>
      <w:pPr>
        <w:pStyle w:val="Heading2"/>
      </w:pPr>
      <w:r>
        <w:t xml:space="preserve">References</w:t>
      </w:r>
    </w:p>
    <w:bookmarkEnd w:id="45"/>
    <w:bookmarkStart w:id="78" w:name="extra-figures"/>
    <w:p>
      <w:pPr>
        <w:pStyle w:val="Heading2"/>
      </w:pPr>
      <w:r>
        <w:t xml:space="preserve">Extra Figures</w:t>
      </w:r>
    </w:p>
    <w:p>
      <w:pPr>
        <w:pStyle w:val="CaptionedFigure"/>
      </w:pPr>
      <w:r>
        <w:drawing>
          <wp:inline>
            <wp:extent cx="6680200" cy="2672080"/>
            <wp:effectExtent b="0" l="0" r="0" t="0"/>
            <wp:docPr descr="Figure. 2. I2 estimates" title="" id="47" name="Picture"/>
            <a:graphic>
              <a:graphicData uri="http://schemas.openxmlformats.org/drawingml/2006/picture">
                <pic:pic>
                  <pic:nvPicPr>
                    <pic:cNvPr descr="ms_files/figure-docx/fig4-1.png" id="48" name="Picture"/>
                    <pic:cNvPicPr>
                      <a:picLocks noChangeArrowheads="1" noChangeAspect="1"/>
                    </pic:cNvPicPr>
                  </pic:nvPicPr>
                  <pic:blipFill>
                    <a:blip r:embed="rId4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I2 estimates</w:t>
      </w:r>
    </w:p>
    <w:p>
      <w:pPr>
        <w:pStyle w:val="CaptionedFigure"/>
      </w:pPr>
      <w:r>
        <w:drawing>
          <wp:inline>
            <wp:extent cx="6680200" cy="2672080"/>
            <wp:effectExtent b="0" l="0" r="0" t="0"/>
            <wp:docPr descr="Figure. 3. I2 estimates lnCVR" title="" id="50" name="Picture"/>
            <a:graphic>
              <a:graphicData uri="http://schemas.openxmlformats.org/drawingml/2006/picture">
                <pic:pic>
                  <pic:nvPicPr>
                    <pic:cNvPr descr="ms_files/figure-docx/fig5-1.png" id="51" name="Picture"/>
                    <pic:cNvPicPr>
                      <a:picLocks noChangeArrowheads="1" noChangeAspect="1"/>
                    </pic:cNvPicPr>
                  </pic:nvPicPr>
                  <pic:blipFill>
                    <a:blip r:embed="rId4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 lnCVR</w:t>
      </w:r>
    </w:p>
    <w:bookmarkStart w:id="77" w:name="refs"/>
    <w:bookmarkStart w:id="52"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52"/>
    <w:bookmarkStart w:id="53"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53"/>
    <w:bookmarkStart w:id="54"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4"/>
    <w:bookmarkStart w:id="55"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5"/>
    <w:bookmarkStart w:id="56"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6"/>
    <w:bookmarkStart w:id="57"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7"/>
    <w:bookmarkStart w:id="58"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8"/>
    <w:bookmarkStart w:id="59"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9"/>
    <w:bookmarkStart w:id="60"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60"/>
    <w:bookmarkStart w:id="61"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61"/>
    <w:bookmarkStart w:id="62"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2"/>
    <w:bookmarkStart w:id="63"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3"/>
    <w:bookmarkStart w:id="64"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4"/>
    <w:bookmarkStart w:id="65"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5"/>
    <w:bookmarkStart w:id="66"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6"/>
    <w:bookmarkStart w:id="67"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7"/>
    <w:bookmarkStart w:id="68"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8"/>
    <w:bookmarkStart w:id="69"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9"/>
    <w:bookmarkStart w:id="70"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70"/>
    <w:bookmarkStart w:id="71"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71"/>
    <w:bookmarkStart w:id="72"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72"/>
    <w:bookmarkStart w:id="73"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3"/>
    <w:bookmarkStart w:id="74" w:name="ref-stan"/>
    <w:p>
      <w:pPr>
        <w:pStyle w:val="Bibliography"/>
      </w:pPr>
      <w:r>
        <w:t xml:space="preserve">Stan development team. RStan: The r interface to stan. (2021).</w:t>
      </w:r>
      <w:r>
        <w:t xml:space="preserve"> </w:t>
      </w:r>
      <w:r>
        <w:rPr>
          <w:iCs/>
          <w:i/>
        </w:rPr>
        <w:t xml:space="preserve">R package version 2.21.3. https://mc-stan.org/.</w:t>
      </w:r>
    </w:p>
    <w:bookmarkEnd w:id="74"/>
    <w:bookmarkStart w:id="75"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5"/>
    <w:bookmarkStart w:id="76"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6"/>
    <w:bookmarkEnd w:id="77"/>
    <w:bookmarkEnd w:id="78"/>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 trouble: Terrestrial ectortherm populations have both reduced opportunity for selection and physiological plasticity</dc:title>
  <dc:creator/>
  <cp:keywords/>
  <dcterms:created xsi:type="dcterms:W3CDTF">2023-01-12T23:14:40Z</dcterms:created>
  <dcterms:modified xsi:type="dcterms:W3CDTF">2023-01-12T23:14:40Z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