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31.png" ContentType="image/png"/>
  <Override PartName="/word/media/rId52.png" ContentType="image/png"/>
  <Override PartName="/word/media/rId2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A flexible modelling framework for estimating thermal sensitivity across life</w:t>
      </w:r>
    </w:p>
    <w:p>
      <w:pPr>
        <w:pStyle w:val="Author"/>
      </w:pPr>
      <w:r>
        <w:t xml:space="preserve">Daniel W.A. Noble</w:t>
      </w:r>
    </w:p>
    <w:p>
      <w:pPr>
        <w:pStyle w:val="Author"/>
      </w:pPr>
      <w:r>
        <w:t xml:space="preserve">Pieter A. Arnold</w:t>
      </w:r>
    </w:p>
    <w:p>
      <w:pPr>
        <w:pStyle w:val="Author"/>
      </w:pPr>
      <w:r>
        <w:t xml:space="preserve">Patrice Pottier</w:t>
      </w:r>
    </w:p>
    <w:p>
      <w:pPr>
        <w:pStyle w:val="Date"/>
      </w:pPr>
      <w:r>
        <w:t xml:space="preserve">2026-05-05</w:t>
      </w:r>
    </w:p>
    <w:bookmarkStart w:id="62" w:name="a-tutorial-with-simulations"/>
    <w:p>
      <w:pPr>
        <w:pStyle w:val="Heading1"/>
      </w:pPr>
      <w:r>
        <w:t xml:space="preserve">1. 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28" w:name="simulating-data"/>
    <w:p>
      <w:pPr>
        <w:pStyle w:val="Heading3"/>
      </w:pPr>
      <w:r>
        <w:t xml:space="preserve">1.0.1 Simulating Data</w:t>
      </w:r>
    </w:p>
    <w:bookmarkStart w:id="20" w:name="sec-sim-step1"/>
    <w:p>
      <w:pPr>
        <w:pStyle w:val="Heading4"/>
      </w:pPr>
      <w:r>
        <w:t xml:space="preserve">1.0.1.1 Step 1 — Pick realistic, biologically meaningful parameters</w:t>
      </w:r>
    </w:p>
    <w:p>
      <w:pPr>
        <w:pStyle w:val="FirstParagraph"/>
      </w:pPr>
      <w:r>
        <w:t xml:space="preserve">We choose values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reading.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pipelines below will be checked against these known values.</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20"/>
    <w:bookmarkStart w:id="21" w:name="sec-sim-step2"/>
    <w:p>
      <w:pPr>
        <w:pStyle w:val="Heading4"/>
      </w:pPr>
      <w:r>
        <w:t xml:space="preserve">1.0.1.2 Step 2 — Lay out a factorial assay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posterior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1"/>
    <w:bookmarkStart w:id="26" w:name="sec-sim-step3"/>
    <w:p>
      <w:pPr>
        <w:pStyle w:val="Heading4"/>
      </w:pPr>
      <w:r>
        <w:t xml:space="preserve">1.0.1.3 Step 3 — Look at the truth before we fit anything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 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5" w:name="fig-true-surface"/>
          <w:p>
            <w:pPr>
              <w:pStyle w:val="Compact"/>
              <w:jc w:val="center"/>
            </w:pPr>
            <w:r>
              <w:drawing>
                <wp:inline>
                  <wp:extent cx="5943600" cy="3396342"/>
                  <wp:effectExtent b="0" l="0" r="0" t="0"/>
                  <wp:docPr descr="" title="" id="23" name="Picture"/>
                  <a:graphic>
                    <a:graphicData uri="http://schemas.openxmlformats.org/drawingml/2006/picture">
                      <pic:pic>
                        <pic:nvPicPr>
                          <pic:cNvPr descr="supplement_files/figure-docx/fig-true-surface-1.png" id="24" name="Picture"/>
                          <pic:cNvPicPr>
                            <a:picLocks noChangeArrowheads="1" noChangeAspect="1"/>
                          </pic:cNvPicPr>
                        </pic:nvPicPr>
                        <pic:blipFill>
                          <a:blip r:embed="rId2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known 4PL dose-response surface used to generate the simulated data, evaluated on a dense time grid at each of the five assay temperatures. The horizontal line marks 50% survival; where each curve crosses it gives the true LT50 at that temperature.</w:t>
            </w:r>
          </w:p>
          <w:bookmarkEnd w:id="25"/>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 This is the structure the model has to recover from noisy survival counts.</w:t>
      </w:r>
    </w:p>
    <w:bookmarkEnd w:id="26"/>
    <w:bookmarkStart w:id="27" w:name="sec-sim-step4"/>
    <w:p>
      <w:pPr>
        <w:pStyle w:val="Heading4"/>
      </w:pPr>
      <w:r>
        <w:t xml:space="preserve">1.0.1.4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27"/>
    <w:bookmarkEnd w:id="28"/>
    <w:bookmarkStart w:id="36" w:name="sec-twostage"/>
    <w:p>
      <w:pPr>
        <w:pStyle w:val="Heading3"/>
      </w:pPr>
      <w:r>
        <w:t xml:space="preserve">1.0.2 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1"/>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1"/>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0" w:name="sec-twostage-step1"/>
    <w:p>
      <w:pPr>
        <w:pStyle w:val="Heading4"/>
      </w:pPr>
      <w:r>
        <w:t xml:space="preserve">1.0.2.1 Stage 1 — per-temperature dose-response curves</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29" w:name="tbl-stage1-lt50"/>
          <w:p>
            <w:pPr>
              <w:jc w:val="center"/>
            </w:pPr>
            <w:pPr>
              <w:jc w:val="start"/>
              <w:spacing w:before="200"/>
              <w:pStyle w:val="ImageCaption"/>
            </w:pPr>
            <w:r>
              <w:t xml:space="preserve">Table 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4"/>
              <w:gridCol w:w="1989"/>
              <w:gridCol w:w="1842"/>
              <w:gridCol w:w="179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bb_log10_lt50</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2.082</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1.528</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1.195</w:t>
                  </w:r>
                </w:p>
              </w:tc>
            </w:tr>
            <w:tr>
              <w:trPr>
                <w:trHeight w:val="569"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0.954</w:t>
                  </w:r>
                </w:p>
              </w:tc>
            </w:tr>
          </w:tbl>
          <w:bookmarkEnd w:id="29"/>
        </w:tc>
      </w:tr>
    </w:tbl>
    <w:p>
      <w:pPr>
        <w:pStyle w:val="BodyText"/>
      </w:pPr>
      <w:r>
        <w:t xml:space="preserve">With the simulation’s true asymptotes near 0 and 1, the 2PL’s forced-asymptote constraint introduces negligible bias here, so each Stage-1 estimate sits close to the simulation truth.</w:t>
      </w:r>
    </w:p>
    <w:bookmarkEnd w:id="30"/>
    <w:bookmarkStart w:id="35" w:name="sec-twostage-step2"/>
    <w:p>
      <w:pPr>
        <w:pStyle w:val="Heading4"/>
      </w:pPr>
      <w:r>
        <w:t xml:space="preserve">1.0.2.2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 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 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step that changes</w:t>
      </w:r>
      <w:r>
        <w:t xml:space="preserve"> </w:t>
      </w:r>
      <m:oMath>
        <m:sSub>
          <m:e>
            <m:r>
              <m:rPr>
                <m:sty m:val="p"/>
              </m:rPr>
              <m:t>log</m:t>
            </m:r>
          </m:e>
          <m:sub>
            <m:r>
              <m:t>10</m:t>
            </m:r>
          </m:sub>
        </m:sSub>
        <m:r>
          <m:rPr>
            <m:nor/>
            <m:sty m:val="p"/>
          </m:rPr>
          <m:t>LT50</m:t>
        </m:r>
      </m:oMath>
      <w:r>
        <w:t xml:space="preserve"> </w:t>
      </w:r>
      <w:r>
        <w:t xml:space="preserve">by one decade.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4" w:name="fig-stage2-regression"/>
          <w:p>
            <w:pPr>
              <w:pStyle w:val="Compact"/>
              <w:jc w:val="center"/>
            </w:pPr>
            <w:r>
              <w:drawing>
                <wp:inline>
                  <wp:extent cx="5943600" cy="3820885"/>
                  <wp:effectExtent b="0" l="0" r="0" t="0"/>
                  <wp:docPr descr="" title="" id="32" name="Picture"/>
                  <a:graphic>
                    <a:graphicData uri="http://schemas.openxmlformats.org/drawingml/2006/picture">
                      <pic:pic>
                        <pic:nvPicPr>
                          <pic:cNvPr descr="supplement_files/figure-docx/fig-stage2-regression-1.png" id="33" name="Picture"/>
                          <pic:cNvPicPr>
                            <a:picLocks noChangeArrowheads="1" noChangeAspect="1"/>
                          </pic:cNvPicPr>
                        </pic:nvPicPr>
                        <pic:blipFill>
                          <a:blip r:embed="rId31"/>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4"/>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bookmarkEnd w:id="35"/>
    <w:bookmarkEnd w:id="36"/>
    <w:bookmarkStart w:id="50" w:name="sec-joint"/>
    <w:p>
      <w:pPr>
        <w:pStyle w:val="Heading3"/>
      </w:pPr>
      <w:r>
        <w:t xml:space="preserve">1.0.3 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2" w:name="sec-joint-spec"/>
    <w:p>
      <w:pPr>
        <w:pStyle w:val="Heading4"/>
      </w:pPr>
      <w:r>
        <w:t xml:space="preserve">1.0.3.1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37"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37"/>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38" w:name="eq-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38"/>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4pl">
        <w:r>
          <w:rPr>
            <w:rStyle w:val="Hyperlink"/>
          </w:rPr>
          <w:t xml:space="preserve">Equation S 1</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mid-temp">
        <w:r>
          <w:rPr>
            <w:rStyle w:val="Hyperlink"/>
          </w:rPr>
          <w:t xml:space="preserve">Equation S 2</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The assumption that midpoints shift</w:t>
            </w:r>
            <w:r>
              <w:t xml:space="preserve"> </w:t>
            </w:r>
            <w:r>
              <w:rPr>
                <w:i/>
                <w:iCs/>
              </w:rPr>
              <w:t xml:space="preserve">linearly</w:t>
            </w:r>
            <w:r>
              <w:t xml:space="preserve"> </w:t>
            </w:r>
            <w:r>
              <w:t xml:space="preserve">with temperature can be relaxed by fitting a polynomial (</w:t>
            </w:r>
            <w:r>
              <w:rPr>
                <w:rStyle w:val="VerbatimChar"/>
              </w:rPr>
              <w:t xml:space="preserve">mid ~ T_c + I(T_c^2)</w:t>
            </w:r>
            <w:r>
              <w:t xml:space="preserve">) or a smoother (</w:t>
            </w:r>
            <w:r>
              <w:rPr>
                <w:rStyle w:val="VerbatimChar"/>
              </w:rPr>
              <w:t xml:space="preserve">mid ~ s(T_c)</w:t>
            </w:r>
            <w:r>
              <w:t xml:space="preserv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w:t>
            </w:r>
          </w:p>
        </w:tc>
      </w:tr>
    </w:tbl>
    <w:bookmarkEnd w:id="42"/>
    <w:bookmarkStart w:id="43" w:name="sec-joint-fit"/>
    <w:p>
      <w:pPr>
        <w:pStyle w:val="Heading4"/>
      </w:pPr>
      <w:r>
        <w:t xml:space="preserve">1.0.3.2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bookmarkEnd w:id="43"/>
    <w:bookmarkStart w:id="49" w:name="sec-joint-recovery"/>
    <w:p>
      <w:pPr>
        <w:pStyle w:val="Heading4"/>
      </w:pPr>
      <w:r>
        <w:t xml:space="preserve">1.0.3.3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 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44" w:name="tbl-recovery"/>
          <w:p>
            <w:pPr>
              <w:jc w:val="center"/>
            </w:pPr>
            <w:pPr>
              <w:jc w:val="start"/>
              <w:spacing w:before="200"/>
              <w:pStyle w:val="ImageCaption"/>
            </w:pPr>
            <w:r>
              <w:t xml:space="preserve">Table 2: Posterior medians and 95% credible intervals for the four 4PL parameters and the temperature slope, compared to the known truth used to generate the simulated data. Recovery is judged successful when the credible interval covers the truth.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8"/>
              <w:gridCol w:w="1034"/>
              <w:gridCol w:w="1548"/>
              <w:gridCol w:w="1352"/>
              <w:gridCol w:w="1389"/>
              <w:gridCol w:w="1499"/>
              <w:gridCol w:w="1303"/>
              <w:gridCol w:w="1340"/>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0.038</w:t>
                  </w:r>
                </w:p>
              </w:tc>
            </w:tr>
            <w:tr>
              <w:trPr>
                <w:trHeight w:val="57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0.974</w:t>
                  </w:r>
                </w:p>
              </w:tc>
            </w:tr>
            <w:tr>
              <w:trPr>
                <w:trHeight w:val="57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8.328</w:t>
                  </w:r>
                </w:p>
              </w:tc>
            </w:tr>
            <w:tr>
              <w:trPr>
                <w:trHeight w:val="59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1.537</w:t>
                  </w:r>
                </w:p>
              </w:tc>
            </w:tr>
            <w:tr>
              <w:trPr>
                <w:trHeight w:val="59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-0.140</w:t>
                  </w:r>
                </w:p>
              </w:tc>
            </w:tr>
          </w:tbl>
          <w:bookmarkEnd w:id="44"/>
        </w:tc>
      </w:tr>
    </w:tbl>
    <w:p>
      <w:pPr>
        <w:pStyle w:val="BodyText"/>
      </w:pPr>
      <w:r>
        <w:t xml:space="preserve">We can also overlay the posterior fitted curves on the simulated data (</w:t>
      </w:r>
      <w:hyperlink w:anchor="fig-recovery-fit">
        <w:r>
          <w:rPr>
            <w:rStyle w:val="Hyperlink"/>
          </w:rPr>
          <w:t xml:space="preserve">Figure S 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48" w:name="fig-recovery-fit"/>
          <w:p>
            <w:pPr>
              <w:pStyle w:val="Compact"/>
              <w:jc w:val="center"/>
            </w:pPr>
            <w:r>
              <w:drawing>
                <wp:inline>
                  <wp:extent cx="5943600" cy="3714750"/>
                  <wp:effectExtent b="0" l="0" r="0" t="0"/>
                  <wp:docPr descr="" title="" id="46" name="Picture"/>
                  <a:graphic>
                    <a:graphicData uri="http://schemas.openxmlformats.org/drawingml/2006/picture">
                      <pic:pic>
                        <pic:nvPicPr>
                          <pic:cNvPr descr="supplement_files/figure-docx/fig-recovery-fit-1.png" id="47" name="Picture"/>
                          <pic:cNvPicPr>
                            <a:picLocks noChangeArrowheads="1" noChangeAspect="1"/>
                          </pic:cNvPicPr>
                        </pic:nvPicPr>
                        <pic:blipFill>
                          <a:blip r:embed="rId4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48"/>
        </w:tc>
      </w:tr>
    </w:tbl>
    <w:bookmarkEnd w:id="49"/>
    <w:bookmarkEnd w:id="50"/>
    <w:bookmarkStart w:id="57" w:name="sec-joint-derive"/>
    <w:p>
      <w:pPr>
        <w:pStyle w:val="Heading3"/>
      </w:pPr>
      <w:r>
        <w:t xml:space="preserve">1.0.4 Deriving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rPr>
          <w:rStyle w:val="NormalTok"/>
        </w:rPr>
        <w:t xml:space="preserve">      </w:t>
      </w:r>
      <w:r>
        <w:rPr>
          <w:rStyle w:val="CommentTok"/>
        </w:rPr>
        <w:t xml:space="preserve"># Pulls out posterior distribution for each parameter from the model as a data frame</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    </w:t>
      </w:r>
      <w:r>
        <w:rPr>
          <w:rStyle w:val="CommentTok"/>
        </w:rPr>
        <w:t xml:space="preserve"># Take each draw from the model and calculate a value of z, giving us a poetrior distribution of sensitivity values, z</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Take upper, lower and slope of temp (along with overall mean) to caluclate the intercept.</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 </w:t>
      </w:r>
      <w:r>
        <w:rPr>
          <w:rStyle w:val="CommentTok"/>
        </w:rPr>
        <w:t xml:space="preserve"># Now, use alpha and temperature slope on midpoints, referencing at 1hour, to calculate CTmax</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 </w:t>
      </w:r>
      <w:r>
        <w:rPr>
          <w:rStyle w:val="CommentTok"/>
        </w:rPr>
        <w:t xml:space="preserve"># Select out the whole posterior distribution for our new derived variables</w:t>
      </w:r>
      <w:r>
        <w:br/>
      </w:r>
      <w:r>
        <w:rPr>
          <w:rStyle w:val="NormalTok"/>
        </w:rPr>
        <w:t xml:space="preserve">}</w:t>
      </w:r>
      <w:r>
        <w:br/>
      </w:r>
      <w:r>
        <w:br/>
      </w:r>
      <w:r>
        <w:rPr>
          <w:rStyle w:val="CommentTok"/>
        </w:rPr>
        <w:t xml:space="preserve"># Now, lets use our function to extract the estimates from these two fitted models.</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tbl>
      <w:tblPr>
        <w:tblStyle w:val="Table"/>
        <w:tblW w:type="pct" w:w="5000"/>
        <w:tblLayout w:type="fixed"/>
        <w:tblLook w:firstRow="0" w:lastRow="0" w:firstColumn="0" w:lastColumn="0" w:noHBand="0" w:noVBand="0" w:val="0000"/>
      </w:tblPr>
      <w:tblGrid>
        <w:gridCol w:w="7920"/>
      </w:tblGrid>
      <w:tr>
        <w:tc>
          <w:tcPr/>
          <w:bookmarkStart w:id="51" w:name="tbl-tls-recovery"/>
          <w:p>
            <w:pPr>
              <w:jc w:val="center"/>
            </w:pPr>
            <w:pPr>
              <w:jc w:val="start"/>
              <w:spacing w:before="200"/>
              <w:pStyle w:val="ImageCaption"/>
            </w:pPr>
            <w:r>
              <w:t xml:space="preserve">Table 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1548"/>
              <w:gridCol w:w="1352"/>
              <w:gridCol w:w="1389"/>
              <w:gridCol w:w="1499"/>
              <w:gridCol w:w="1303"/>
              <w:gridCol w:w="1340"/>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51"/>
        </w:tc>
      </w:tr>
    </w:tbl>
    <w:tbl>
      <w:tblPr>
        <w:tblStyle w:val="Table"/>
        <w:tblW w:type="pct" w:w="5000"/>
        <w:tblLayout w:type="fixed"/>
        <w:tblLook w:firstRow="0" w:lastRow="0" w:firstColumn="0" w:lastColumn="0" w:noHBand="0" w:noVBand="0" w:val="0000"/>
      </w:tblPr>
      <w:tblGrid>
        <w:gridCol w:w="7920"/>
      </w:tblGrid>
      <w:tr>
        <w:tc>
          <w:tcPr/>
          <w:bookmarkStart w:id="55" w:name="fig-tls-recovery"/>
          <w:p>
            <w:pPr>
              <w:pStyle w:val="Compact"/>
              <w:jc w:val="center"/>
            </w:pPr>
            <w:r>
              <w:drawing>
                <wp:inline>
                  <wp:extent cx="5943600" cy="2971800"/>
                  <wp:effectExtent b="0" l="0" r="0" t="0"/>
                  <wp:docPr descr="" title="" id="53" name="Picture"/>
                  <a:graphic>
                    <a:graphicData uri="http://schemas.openxmlformats.org/drawingml/2006/picture">
                      <pic:pic>
                        <pic:nvPicPr>
                          <pic:cNvPr descr="supplement_files/figure-docx/fig-tls-recovery-1.png" id="54" name="Picture"/>
                          <pic:cNvPicPr>
                            <a:picLocks noChangeArrowheads="1" noChangeAspect="1"/>
                          </pic:cNvPicPr>
                        </pic:nvPicPr>
                        <pic:blipFill>
                          <a:blip r:embed="rId5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55"/>
        </w:tc>
      </w:tr>
    </w:tbl>
    <w:p>
      <w:pPr>
        <w:pStyle w:val="BodyText"/>
      </w:pPr>
      <w:r>
        <w:t xml:space="preserve">The two derived quantities recover their simulation truth in both fits (</w:t>
      </w:r>
      <w:hyperlink w:anchor="tbl-tls-recovery">
        <w:r>
          <w:rPr>
            <w:rStyle w:val="Hyperlink"/>
          </w:rPr>
          <w:t xml:space="preserve">Table S 3</w:t>
        </w:r>
      </w:hyperlink>
      <w:r>
        <w:t xml:space="preserve">,</w:t>
      </w:r>
      <w:r>
        <w:t xml:space="preserve"> </w:t>
      </w:r>
      <w:hyperlink w:anchor="fig-tls-recovery">
        <w:r>
          <w:rPr>
            <w:rStyle w:val="Hyperlink"/>
          </w:rPr>
          <w:t xml:space="preserve">Figure S 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(uncert_summary) </w:t>
      </w:r>
      <w:r>
        <w:rPr>
          <w:rStyle w:val="SpecialCharTok"/>
        </w:rPr>
        <w:t xml:space="preserve">|&gt;</w:t>
      </w:r>
      <w:r>
        <w:br/>
      </w:r>
      <w:r>
        <w:rPr>
          <w:rStyle w:val="NormalTok"/>
        </w:rPr>
        <w:t xml:space="preserve">  flextable</w:t>
      </w:r>
      <w:r>
        <w:rPr>
          <w:rStyle w:val="SpecialCharTok"/>
        </w:rPr>
        <w:t xml:space="preserve">::</w:t>
      </w:r>
      <w:r>
        <w:rPr>
          <w:rStyle w:val="FunctionTok"/>
        </w:rPr>
        <w:t xml:space="preserve">set_header_labels</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"Quantity"</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StringTok"/>
        </w:rPr>
        <w:t xml:space="preserve">"Likelihood"</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tringTok"/>
        </w:rPr>
        <w:t xml:space="preserve">"SD"</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StringTok"/>
        </w:rPr>
        <w:t xml:space="preserve">"Median"</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StringTok"/>
        </w:rPr>
        <w:t xml:space="preserve">"2.5%"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StringTok"/>
        </w:rPr>
        <w:t xml:space="preserve">"97.5%"</w:t>
      </w:r>
      <w:r>
        <w:br/>
      </w:r>
      <w:r>
        <w:rPr>
          <w:rStyle w:val="NormalTok"/>
        </w:rPr>
        <w:t xml:space="preserve">  )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colformat_double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tbl-uncert-z-ct"/>
          <w:p>
            <w:pPr>
              <w:jc w:val="center"/>
            </w:pPr>
            <w:pPr>
              <w:jc w:val="start"/>
              <w:spacing w:before="200"/>
              <w:pStyle w:val="ImageCaption"/>
            </w:pPr>
            <w:r>
              <w:t xml:space="preserve">Table 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756"/>
              <w:gridCol w:w="1084"/>
              <w:gridCol w:w="961"/>
              <w:gridCol w:w="1132"/>
              <w:gridCol w:w="1084"/>
              <w:gridCol w:w="1084"/>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Likelihood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97.5%</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56"/>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 no second-stage regression, no delta-method, no bootstrap. Under the binomial likelihood, the posterior SD of</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CrI width of 0.12 °C. 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bookmarkEnd w:id="57"/>
    <w:bookmarkStart w:id="61" w:name="sec-compare"/>
    <w:p>
      <w:pPr>
        <w:pStyle w:val="Heading3"/>
      </w:pPr>
      <w:r>
        <w:t xml:space="preserve">1.0.5 Comparing the two pipelines</w:t>
      </w:r>
    </w:p>
    <w:bookmarkStart w:id="59" w:name="sec-compare-table"/>
    <w:p>
      <w:pPr>
        <w:pStyle w:val="Heading4"/>
      </w:pPr>
      <w:r>
        <w:t xml:space="preserve">1.0.5.1 Point-estimate agreement on the same data</w:t>
      </w:r>
    </w:p>
    <w:p>
      <w:pPr>
        <w:pStyle w:val="FirstParagraph"/>
      </w:pPr>
      <w:hyperlink w:anchor="tbl-twostage-compare">
        <w:r>
          <w:rPr>
            <w:rStyle w:val="Hyperlink"/>
          </w:rPr>
          <w:t xml:space="preserve">Table S 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58" w:name="tbl-twostage-compare"/>
          <w:p>
            <w:pPr>
              <w:jc w:val="center"/>
            </w:pPr>
            <w:pPr>
              <w:jc w:val="start"/>
              <w:spacing w:before="200"/>
              <w:pStyle w:val="ImageCaption"/>
            </w:pPr>
            <w:r>
              <w:t xml:space="preserve">Table 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2465"/>
              <w:gridCol w:w="2868"/>
              <w:gridCol w:w="2966"/>
              <w:gridCol w:w="3370"/>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(beta-binomial)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(beta-binomial)</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r>
          </w:tbl>
          <w:bookmarkEnd w:id="58"/>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59"/>
    <w:bookmarkStart w:id="60" w:name="sec-compare-why"/>
    <w:p>
      <w:pPr>
        <w:pStyle w:val="Heading4"/>
      </w:pPr>
      <w:r>
        <w:t xml:space="preserve">1.0.5.2 Why the joint fit recovers the truth more closely</w:t>
      </w:r>
    </w:p>
    <w:p>
      <w:pPr>
        <w:pStyle w:val="FirstParagraph"/>
      </w:pPr>
      <w:r>
        <w:t xml:space="preserve">Read</w:t>
      </w:r>
      <w:r>
        <w:t xml:space="preserve"> </w:t>
      </w:r>
      <w:hyperlink w:anchor="tbl-twostage-compare">
        <w:r>
          <w:rPr>
            <w:rStyle w:val="Hyperlink"/>
          </w:rPr>
          <w:t xml:space="preserve">Table S 5</w:t>
        </w:r>
      </w:hyperlink>
      <w:r>
        <w:t xml:space="preserve"> </w:t>
      </w:r>
      <w:r>
        <w:t xml:space="preserve">carefully and you might notice that the joint Bayesian point estimates sit a little closer to the simulation truth than the two-stage estimates. While the gap is minimal here given the large sample sizes we have, in real datasets it’s likely to be larger. There are three advantages of the joint fit that are likely important in explaining these differences.</w:t>
      </w:r>
    </w:p>
    <w:p>
      <w:pPr>
        <w:pStyle w:val="BodyText"/>
      </w:pPr>
      <w:r>
        <w:rPr>
          <w:b/>
          <w:bCs/>
        </w:rPr>
        <w:t xml:space="preserve">Information pooling across temperatures.</w:t>
      </w:r>
      <w:r>
        <w:t xml:space="preserve"> </w:t>
      </w:r>
      <w:r>
        <w:t xml:space="preserve">The joint 4PL fits a</w:t>
      </w:r>
      <w:r>
        <w:t xml:space="preserve"> </w:t>
      </w:r>
      <w:r>
        <w:rPr>
          <w:i/>
          <w:iCs/>
        </w:rPr>
        <w:t xml:space="preserve">single</w:t>
      </w:r>
      <w:r>
        <w:t xml:space="preserve"> </w:t>
      </w:r>
      <w:r>
        <w:t xml:space="preserve">set of asymptotes (</w:t>
      </w:r>
      <m:oMath>
        <m:r>
          <m:rPr>
            <m:sty m:val="p"/>
          </m:rPr>
          <m:t>ℓ</m:t>
        </m:r>
        <m:r>
          <m:rPr>
            <m:sty m:val="p"/>
          </m:rPr>
          <m:t>,</m:t>
        </m:r>
        <m:r>
          <m:t>u</m:t>
        </m:r>
      </m:oMath>
      <w:r>
        <w:t xml:space="preserve">) and a single slope</w:t>
      </w:r>
      <w:r>
        <w:t xml:space="preserve"> </w:t>
      </w:r>
      <m:oMath>
        <m:r>
          <m:t>k</m:t>
        </m:r>
      </m:oMath>
      <w:r>
        <w:t xml:space="preserve"> </w:t>
      </w:r>
      <w:r>
        <w:t xml:space="preserve">across all five temperatures, so each temperature’s data anchors all of them. The two-stage’s Stage-1 GLM fits each temperature in isolation, with no constraint shared across temperatures; per-temperature LT50 estimates therefore have higher sampling variance than they need to, and that variance carries through to Stage 2. The joint fit borrows strength across temperatures by construction.</w:t>
      </w:r>
    </w:p>
    <w:p>
      <w:pPr>
        <w:pStyle w:val="BodyText"/>
      </w:pPr>
      <w:r>
        <w:rPr>
          <w:b/>
          <w:bCs/>
        </w:rPr>
        <w:t xml:space="preserve">Asymptote correctness.</w:t>
      </w:r>
      <w:r>
        <w:t xml:space="preserve"> </w:t>
      </w:r>
      <w:r>
        <w:t xml:space="preserve">The 2PL Stage-1 model forces the asymptotes to 0 and 1. With true asymptotes at</w:t>
      </w:r>
      <w:r>
        <w:t xml:space="preserve"> </w:t>
      </w:r>
      <m:oMath>
        <m:r>
          <m:rPr>
            <m:sty m:val="p"/>
          </m:rPr>
          <m:t>ℓ</m:t>
        </m:r>
        <m:r>
          <m:rPr>
            <m:sty m:val="p"/>
          </m:rPr>
          <m:t>=</m:t>
        </m:r>
        <m:r>
          <m:t>0.03</m:t>
        </m:r>
      </m:oMath>
      <w:r>
        <w:t xml:space="preserve"> </w:t>
      </w:r>
      <w:r>
        <w:t xml:space="preserve">and</w:t>
      </w:r>
      <w:r>
        <w:t xml:space="preserve"> </w:t>
      </w:r>
      <m:oMath>
        <m:r>
          <m:t>u</m:t>
        </m:r>
        <m:r>
          <m:rPr>
            <m:sty m:val="p"/>
          </m:rPr>
          <m:t>=</m:t>
        </m:r>
        <m:r>
          <m:t>0.97</m:t>
        </m:r>
      </m:oMath>
      <w:r>
        <w:t xml:space="preserve"> </w:t>
      </w:r>
      <w:r>
        <w:t xml:space="preserve">the bias is small but non-zero — the Stage-1 LT50 is the temperature at which the</w:t>
      </w:r>
      <w:r>
        <w:t xml:space="preserve"> </w:t>
      </w:r>
      <w:r>
        <w:rPr>
          <w:i/>
          <w:iCs/>
        </w:rPr>
        <w:t xml:space="preserve">2PL</w:t>
      </w:r>
      <w:r>
        <w:t xml:space="preserve"> </w:t>
      </w:r>
      <w:r>
        <w:t xml:space="preserve">crosses 0.5, which is not exactly the same as the temperature at which the</w:t>
      </w:r>
      <w:r>
        <w:t xml:space="preserve"> </w:t>
      </w:r>
      <w:r>
        <w:rPr>
          <w:i/>
          <w:iCs/>
        </w:rPr>
        <w:t xml:space="preserve">4PL</w:t>
      </w:r>
      <w:r>
        <w:t xml:space="preserve"> </w:t>
      </w:r>
      <w:r>
        <w:t xml:space="preserve">with asymmetric asymptotes crosses 0.5. The joint 4PL estimates</w:t>
      </w:r>
      <w:r>
        <w:t xml:space="preserve"> </w:t>
      </w:r>
      <m:oMath>
        <m:r>
          <m:rPr>
            <m:sty m:val="p"/>
          </m:rPr>
          <m:t>ℓ</m:t>
        </m:r>
      </m:oMath>
      <w:r>
        <w:t xml:space="preserve"> </w:t>
      </w:r>
      <w:r>
        <w:t xml:space="preserve">and</w:t>
      </w:r>
      <w:r>
        <w:t xml:space="preserve"> </w:t>
      </w:r>
      <m:oMath>
        <m:r>
          <m:t>u</m:t>
        </m:r>
      </m:oMath>
      <w:r>
        <w:t xml:space="preserve"> </w:t>
      </w:r>
      <w:r>
        <w:t xml:space="preserve">from the data and so has no analogous bias. The bias grows as the true asymptotes move away from 0 and 1 even further.</w:t>
      </w:r>
    </w:p>
    <w:p>
      <w:pPr>
        <w:pStyle w:val="BodyText"/>
      </w:pPr>
      <w:r>
        <w:rPr>
          <w:b/>
          <w:bCs/>
        </w:rPr>
        <w:t xml:space="preserve">Overdispersion handling.</w:t>
      </w:r>
      <w:r>
        <w:t xml:space="preserve"> </w:t>
      </w:r>
      <w:r>
        <w:t xml:space="preserve">For the beta-binomial dataset, the joint fit’s beta-binomial likelihood explicitly absorbs the extra-binomial variance into a dispersion parameter (</w:t>
      </w:r>
      <m:oMath>
        <m:r>
          <m:t>ϕ</m:t>
        </m:r>
      </m:oMath>
      <w:r>
        <w:t xml:space="preserve">). The two-stage’s Stage-1 binomial GLM in its crrent configulation cannot — so per-temperature LT50 estimates are noisier on the beta-binomial dataset than on the binomial one, and that noise propagates into Stage 2. The joint beta-binomial fit removes that noise at its source.</w:t>
      </w:r>
    </w:p>
    <w:bookmarkEnd w:id="60"/>
    <w:bookmarkEnd w:id="61"/>
    <w:bookmarkEnd w:id="62"/>
    <w:bookmarkStart w:id="68" w:name="references"/>
    <w:p>
      <w:pPr>
        <w:pStyle w:val="Heading1"/>
      </w:pPr>
      <w:r>
        <w:t xml:space="preserve">2. References</w:t>
      </w:r>
    </w:p>
    <w:bookmarkStart w:id="67" w:name="refs"/>
    <w:bookmarkStart w:id="64" w:name="ref-orsted_finding_2022"/>
    <w:p>
      <w:pPr>
        <w:pStyle w:val="Bibliography"/>
      </w:pPr>
      <w:r>
        <w:t xml:space="preserve">Ørsted, M., Jørgensen, L.B. &amp; Overgaard, J. (2022).</w:t>
      </w:r>
      <w:r>
        <w:t xml:space="preserve"> </w:t>
      </w:r>
      <w:hyperlink r:id="rId63">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w:t>
        </w:r>
        <w:r>
          <w:rPr>
            <w:rStyle w:val="Hyperlink"/>
          </w:rPr>
          <w:t xml:space="preserve">max in ectotherms</w:t>
        </w:r>
      </w:hyperlink>
      <w:r>
        <w:t xml:space="preserve">.</w:t>
      </w:r>
      <w:r>
        <w:t xml:space="preserve"> </w:t>
      </w:r>
      <w:r>
        <w:rPr>
          <w:i/>
          <w:iCs/>
        </w:rPr>
        <w:t xml:space="preserve">Journal of Experimental Biology</w:t>
      </w:r>
      <w:r>
        <w:t xml:space="preserve">, 225, jeb244514.</w:t>
      </w:r>
    </w:p>
    <w:bookmarkEnd w:id="64"/>
    <w:bookmarkStart w:id="66" w:name="ref-rezende_landscapes_2014"/>
    <w:p>
      <w:pPr>
        <w:pStyle w:val="Bibliography"/>
      </w:pPr>
      <w:r>
        <w:t xml:space="preserve">Rezende, E.L., Castañeda, L.E. &amp; Santos, M. (2014).</w:t>
      </w:r>
      <w:r>
        <w:t xml:space="preserve"> </w:t>
      </w:r>
      <w:hyperlink r:id="rId6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66"/>
    <w:bookmarkEnd w:id="67"/>
    <w:bookmarkEnd w:id="68"/>
    <w:bookmarkStart w:id="69" w:name="session-information"/>
    <w:p>
      <w:pPr>
        <w:pStyle w:val="Heading1"/>
      </w:pPr>
      <w:r>
        <w:t xml:space="preserve">3. 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flextable(v.0.9.9)</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fontquiver(v.0.2.1)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data.table(v.1.18.2.1)</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askpass(v.1.2.1)</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xml2(v.1.5.2)</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stats4(v.4.5.3)</w:t>
      </w:r>
      <w:r>
        <w:t xml:space="preserve">,</w:t>
      </w:r>
      <w:r>
        <w:t xml:space="preserve"> </w:t>
      </w:r>
      <w:r>
        <w:rPr>
          <w:i/>
          <w:iCs/>
        </w:rPr>
        <w:t xml:space="preserve">grid(v.4.5.3)</w:t>
      </w:r>
      <w:r>
        <w:t xml:space="preserve">,</w:t>
      </w:r>
      <w:r>
        <w:t xml:space="preserve"> </w:t>
      </w:r>
      <w:r>
        <w:rPr>
          <w:i/>
          <w:iCs/>
        </w:rPr>
        <w:t xml:space="preserve">gdtools(v.0.4.2)</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xtable(v.1.8-8)</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katex(v.1.5.0)</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fontBitstreamVera(v.0.1.1)</w:t>
      </w:r>
      <w:r>
        <w:t xml:space="preserve">,</w:t>
      </w:r>
      <w:r>
        <w:t xml:space="preserve"> </w:t>
      </w:r>
      <w:r>
        <w:rPr>
          <w:i/>
          <w:iCs/>
        </w:rPr>
        <w:t xml:space="preserve">arrayhelpers(v.1.1-0)</w:t>
      </w:r>
      <w:r>
        <w:t xml:space="preserve">,</w:t>
      </w:r>
      <w:r>
        <w:t xml:space="preserve"> </w:t>
      </w:r>
      <w:r>
        <w:rPr>
          <w:i/>
          <w:iCs/>
        </w:rPr>
        <w:t xml:space="preserve">systemfonts(v.1.3.2)</w:t>
      </w:r>
      <w:r>
        <w:t xml:space="preserve">,</w:t>
      </w:r>
      <w:r>
        <w:t xml:space="preserve"> </w:t>
      </w:r>
      <w:r>
        <w:rPr>
          <w:i/>
          <w:iCs/>
        </w:rPr>
        <w:t xml:space="preserve">xslt(v.1.5.1)</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equatags(v.0.2.1)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openssl(v.2.4.0)</w:t>
      </w:r>
      <w:r>
        <w:t xml:space="preserve">,</w:t>
      </w:r>
      <w:r>
        <w:t xml:space="preserve"> </w:t>
      </w:r>
      <w:r>
        <w:rPr>
          <w:i/>
          <w:iCs/>
        </w:rPr>
        <w:t xml:space="preserve">R6(v.2.6.1)</w:t>
      </w:r>
      <w:r>
        <w:t xml:space="preserve">,</w:t>
      </w:r>
      <w:r>
        <w:t xml:space="preserve"> </w:t>
      </w:r>
      <w:r>
        <w:rPr>
          <w:i/>
          <w:iCs/>
        </w:rPr>
        <w:t xml:space="preserve">textshaping(v.1.0.5)</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fontLiberation(v.0.1.0)</w:t>
      </w:r>
      <w:r>
        <w:t xml:space="preserve">,</w:t>
      </w:r>
      <w:r>
        <w:t xml:space="preserve"> </w:t>
      </w:r>
      <w:r>
        <w:rPr>
          <w:i/>
          <w:iCs/>
        </w:rPr>
        <w:t xml:space="preserve">rstantools(v.2.6.0)</w:t>
      </w:r>
      <w:r>
        <w:t xml:space="preserve">,</w:t>
      </w:r>
      <w:r>
        <w:t xml:space="preserve"> </w:t>
      </w:r>
      <w:r>
        <w:rPr>
          <w:i/>
          <w:iCs/>
        </w:rPr>
        <w:t xml:space="preserve">zip(v.2.3.3)</w:t>
      </w:r>
      <w:r>
        <w:t xml:space="preserve">,</w:t>
      </w:r>
      <w:r>
        <w:t xml:space="preserve"> </w:t>
      </w:r>
      <w:r>
        <w:rPr>
          <w:i/>
          <w:iCs/>
        </w:rPr>
        <w:t xml:space="preserve">uuid(v.1.2-2)</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officer(v.0.6.10)</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69"/>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hyperlink" Id="rId65" Target="https://doi.org/10.1111/1365-2435.12268" TargetMode="External" /><Relationship Type="http://schemas.openxmlformats.org/officeDocument/2006/relationships/hyperlink" Id="rId63"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111/1365-2435.12268" TargetMode="External" /><Relationship Type="http://schemas.openxmlformats.org/officeDocument/2006/relationships/hyperlink" Id="rId63"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A flexible modelling framework for estimating thermal sensitivity across life</dc:title>
  <dc:creator>Daniel W.A. Noble; Pieter A. Arnold; Patrice Pottier</dc:creator>
  <cp:keywords/>
  <dcterms:created xsi:type="dcterms:W3CDTF">2026-05-05T14:26:21Z</dcterms:created>
  <dcterms:modified xsi:type="dcterms:W3CDTF">2026-05-05T14:26:21Z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2026-05-05</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toc-title">
    <vt:lpwstr>Table of contents</vt:lpwstr>
  </property>
</Properties>
</file>