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BodyText"/>
      </w:pPr>
      <w:r>
        <w:rPr>
          <w:b/>
          <w:bCs/>
        </w:rPr>
        <w:t xml:space="preserve">Abstract</w:t>
      </w:r>
    </w:p>
    <w:p>
      <w:pPr>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p>
      <w:pPr>
        <w:pStyle w:val="FirstParagraph"/>
      </w:pPr>
      <w:r>
        <w:rPr>
          <w:b/>
          <w:bCs/>
        </w:rPr>
        <w:t xml:space="preserve">Keywords:</w:t>
      </w:r>
      <w:r>
        <w:t xml:space="preserve"> </w:t>
      </w:r>
      <w:r>
        <w:t xml:space="preserve">thermal death time; tolerance landscape; hierarchical Bayesian model; 4-parameter logistic; heat injury; CTmax; ectotherm</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29"/>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p>
      <w:pPr>
        <w:pStyle w:val="BodyText"/>
      </w:pPr>
      <w:r>
        <w:t xml:space="preserve">If calculating</w:t>
      </w:r>
      <w:r>
        <w:t xml:space="preserve"> </w:t>
      </w:r>
      <m:oMath>
        <m:r>
          <m:t>H</m:t>
        </m:r>
        <m:r>
          <m:t>I</m:t>
        </m:r>
      </m:oMath>
      <w:r>
        <w:t xml:space="preserve">, it is important to realise that the Bayesian dose-response model can also be used directly to calculate</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3"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10</m:t>
              </m:r>
            </m:e>
          </m:d>
        </m:oMath>
      </m:oMathPara>
      <w:bookmarkEnd w:id="33"/>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for any survival threshold of interest. For example, relaxing x with 0.10 (i.e.,</w:t>
      </w:r>
      <w:r>
        <w:t xml:space="preserve"> </w:t>
      </w:r>
      <m:oMath>
        <m:r>
          <m:t>L</m:t>
        </m:r>
        <m:sSub>
          <m:e>
            <m:r>
              <m:t>T</m:t>
            </m:r>
          </m:e>
          <m:sub>
            <m:r>
              <m:t>10</m:t>
            </m:r>
          </m:sub>
        </m:sSub>
      </m:oMath>
      <w:r>
        <w:t xml:space="preserve">) can be used to calculate the onset of early levels of mortality which maybe good for risk management or</w:t>
      </w:r>
      <w:r>
        <w:t xml:space="preserve"> </w:t>
      </w:r>
      <m:oMath>
        <m:r>
          <m:t>L</m:t>
        </m:r>
        <m:sSub>
          <m:e>
            <m:r>
              <m:t>T</m:t>
            </m:r>
          </m:e>
          <m:sub>
            <m:r>
              <m:t>90</m:t>
            </m:r>
          </m:sub>
        </m:sSub>
      </m:oMath>
      <w:r>
        <w:t xml:space="preserve"> </w:t>
      </w:r>
      <w:r>
        <w:t xml:space="preserve">which might be more useful for understanding population-collapse thresholds. In each case, uncertainty in any predictions can always be presented alongside population-level averages or medians.</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29" w:name="references"/>
    <w:p>
      <w:pPr>
        <w:pStyle w:val="Heading1"/>
      </w:pPr>
      <w:r>
        <w:t xml:space="preserve">References</w:t>
      </w:r>
    </w:p>
    <w:bookmarkStart w:id="128"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4">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5"/>
    <w:bookmarkStart w:id="87" w:name="ref-nakagawa_santos_2012"/>
    <w:p>
      <w:pPr>
        <w:pStyle w:val="Bibliography"/>
      </w:pPr>
      <w:r>
        <w:t xml:space="preserve">Nakagawa, S. &amp; Santos, E.S.A. (2012).</w:t>
      </w:r>
      <w:r>
        <w:t xml:space="preserve"> </w:t>
      </w:r>
      <w:hyperlink r:id="rId86">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7"/>
    <w:bookmarkStart w:id="89" w:name="ref-nielsen_nlmm_2004"/>
    <w:p>
      <w:pPr>
        <w:pStyle w:val="Bibliography"/>
      </w:pPr>
      <w:r>
        <w:t xml:space="preserve">Nielsen, O.K., Ritz, C. &amp; Streibig, J.C. (2004).</w:t>
      </w:r>
      <w:r>
        <w:t xml:space="preserve"> </w:t>
      </w:r>
      <w:hyperlink r:id="rId88">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9"/>
    <w:bookmarkStart w:id="9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1"/>
    <w:bookmarkStart w:id="93" w:name="ref-orsted_finding_2022"/>
    <w:p>
      <w:pPr>
        <w:pStyle w:val="Bibliography"/>
      </w:pPr>
      <w:r>
        <w:t xml:space="preserve">Ørsted, M., Jørgensen, L.B. &amp; Overgaard, J. (2022).</w:t>
      </w:r>
      <w:r>
        <w:t xml:space="preserve"> </w:t>
      </w:r>
      <w:hyperlink r:id="rId9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3"/>
    <w:bookmarkStart w:id="95" w:name="ref-orsted_suzukii_2024"/>
    <w:p>
      <w:pPr>
        <w:pStyle w:val="Bibliography"/>
      </w:pPr>
      <w:r>
        <w:t xml:space="preserve">Ørsted, M., Willot, Q., Olsen, A.K., Kongsgaard, V. &amp; Overgaard, J. (2024).</w:t>
      </w:r>
      <w:r>
        <w:t xml:space="preserve"> </w:t>
      </w:r>
      <w:hyperlink r:id="rId9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5"/>
    <w:bookmarkStart w:id="97" w:name="ref-pinsky_marine_2019"/>
    <w:p>
      <w:pPr>
        <w:pStyle w:val="Bibliography"/>
      </w:pPr>
      <w:r>
        <w:t xml:space="preserve">Pinsky, M.L., Eikeset, A.M., McCauley, D.J., Payne, J.L. &amp; Sunday, J.M. (2019).</w:t>
      </w:r>
      <w:r>
        <w:t xml:space="preserve"> </w:t>
      </w:r>
      <w:hyperlink r:id="rId96">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7"/>
    <w:bookmarkStart w:id="9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8">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9"/>
    <w:bookmarkStart w:id="101" w:name="ref-rezende_drosophila_mortality_2020"/>
    <w:p>
      <w:pPr>
        <w:pStyle w:val="Bibliography"/>
      </w:pPr>
      <w:r>
        <w:t xml:space="preserve">Rezende, E.L., Bozinovic, F., Szilágyi, A. &amp; Santos, M. (2020).</w:t>
      </w:r>
      <w:r>
        <w:t xml:space="preserve"> </w:t>
      </w:r>
      <w:hyperlink r:id="rId100">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1"/>
    <w:bookmarkStart w:id="103" w:name="ref-rezende_landscapes_2014"/>
    <w:p>
      <w:pPr>
        <w:pStyle w:val="Bibliography"/>
      </w:pPr>
      <w:r>
        <w:t xml:space="preserve">Rezende, E.L., Castañeda, L.E. &amp; Santos, M. (2014).</w:t>
      </w:r>
      <w:r>
        <w:t xml:space="preserve"> </w:t>
      </w:r>
      <w:hyperlink r:id="rId102">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3"/>
    <w:bookmarkStart w:id="105" w:name="ref-ritz_ecotox_2010"/>
    <w:p>
      <w:pPr>
        <w:pStyle w:val="Bibliography"/>
      </w:pPr>
      <w:r>
        <w:t xml:space="preserve">Ritz, C. (2010).</w:t>
      </w:r>
      <w:r>
        <w:t xml:space="preserve"> </w:t>
      </w:r>
      <w:hyperlink r:id="rId104">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5"/>
    <w:bookmarkStart w:id="107" w:name="ref-ritz_drc_2015"/>
    <w:p>
      <w:pPr>
        <w:pStyle w:val="Bibliography"/>
      </w:pPr>
      <w:r>
        <w:t xml:space="preserve">Ritz, C., Baty, F., Streibig, J.C. &amp; Gerhard, D. (2015).</w:t>
      </w:r>
      <w:r>
        <w:t xml:space="preserve"> </w:t>
      </w:r>
      <w:hyperlink r:id="rId106">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7"/>
    <w:bookmarkStart w:id="109" w:name="ref-ritz_streibig_2008"/>
    <w:p>
      <w:pPr>
        <w:pStyle w:val="Bibliography"/>
      </w:pPr>
      <w:r>
        <w:t xml:space="preserve">Ritz, C. &amp; Streibig, J.C. (2008).</w:t>
      </w:r>
      <w:r>
        <w:t xml:space="preserve"> </w:t>
      </w:r>
      <w:hyperlink r:id="rId108">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9"/>
    <w:bookmarkStart w:id="111" w:name="ref-rudemo_random_1989"/>
    <w:p>
      <w:pPr>
        <w:pStyle w:val="Bibliography"/>
      </w:pPr>
      <w:r>
        <w:t xml:space="preserve">Rudemo, M., Ruppert, D. &amp; Streibig, J.C. (1989).</w:t>
      </w:r>
      <w:r>
        <w:t xml:space="preserve"> </w:t>
      </w:r>
      <w:hyperlink r:id="rId110">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1"/>
    <w:bookmarkStart w:id="113" w:name="ref-schielzeth_centering_2010"/>
    <w:p>
      <w:pPr>
        <w:pStyle w:val="Bibliography"/>
      </w:pPr>
      <w:r>
        <w:t xml:space="preserve">Schielzeth, H. (2010).</w:t>
      </w:r>
      <w:r>
        <w:t xml:space="preserve"> </w:t>
      </w:r>
      <w:hyperlink r:id="rId11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3"/>
    <w:bookmarkStart w:id="1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4">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5"/>
    <w:bookmarkStart w:id="117" w:name="ref-snook_fertility_2026"/>
    <w:p>
      <w:pPr>
        <w:pStyle w:val="Bibliography"/>
      </w:pPr>
      <w:r>
        <w:t xml:space="preserve">Snook, R.R., Bretman, A., Dougherty, L.R. &amp; Fricke, C. (2026).</w:t>
      </w:r>
      <w:r>
        <w:t xml:space="preserve"> </w:t>
      </w:r>
      <w:hyperlink r:id="rId116">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7"/>
    <w:bookmarkStart w:id="119" w:name="ref-sunday_global_2011"/>
    <w:p>
      <w:pPr>
        <w:pStyle w:val="Bibliography"/>
      </w:pPr>
      <w:r>
        <w:t xml:space="preserve">Sunday, J.M., Bates, A.E. &amp; Dulvy, N.K. (2011).</w:t>
      </w:r>
      <w:r>
        <w:t xml:space="preserve"> </w:t>
      </w:r>
      <w:hyperlink r:id="rId118">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9"/>
    <w:bookmarkStart w:id="121" w:name="ref-sunday_redistribution_2012"/>
    <w:p>
      <w:pPr>
        <w:pStyle w:val="Bibliography"/>
      </w:pPr>
      <w:r>
        <w:t xml:space="preserve">Sunday, J.M., Bates, A.E. &amp; Dulvy, N.K. (2012).</w:t>
      </w:r>
      <w:r>
        <w:t xml:space="preserve"> </w:t>
      </w:r>
      <w:hyperlink r:id="rId120">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1"/>
    <w:bookmarkStart w:id="123" w:name="ref-truebano2018"/>
    <w:p>
      <w:pPr>
        <w:pStyle w:val="Bibliography"/>
      </w:pPr>
      <w:r>
        <w:t xml:space="preserve">Truebano, M., Fenner, P., Tills, O., Rundle, S. &amp; Rezende, E. (2018).</w:t>
      </w:r>
      <w:r>
        <w:t xml:space="preserve"> </w:t>
      </w:r>
      <w:hyperlink r:id="rId122">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3"/>
    <w:bookmarkStart w:id="125" w:name="ref-villeneuve_dynamic_2024"/>
    <w:p>
      <w:pPr>
        <w:pStyle w:val="Bibliography"/>
      </w:pPr>
      <w:r>
        <w:t xml:space="preserve">Villeneuve, A.R. &amp; White, E.R. (2024).</w:t>
      </w:r>
      <w:r>
        <w:t xml:space="preserve"> </w:t>
      </w:r>
      <w:hyperlink r:id="rId124">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5"/>
    <w:bookmarkStart w:id="127" w:name="ref-wiens_localextinctions_2016"/>
    <w:p>
      <w:pPr>
        <w:pStyle w:val="Bibliography"/>
      </w:pPr>
      <w:r>
        <w:t xml:space="preserve">Wiens, J.J. (2016).</w:t>
      </w:r>
      <w:r>
        <w:t xml:space="preserve"> </w:t>
      </w:r>
      <w:hyperlink r:id="rId12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7"/>
    <w:bookmarkEnd w:id="128"/>
    <w:bookmarkEnd w:id="12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
  <cp:keywords>thermal death time, tolerance landscape, hierarchical Bayesian model, 4-parameter logistic, heat injury, CTmax, ectotherm</cp:keywords>
  <dcterms:created xsi:type="dcterms:W3CDTF">2026-05-10T06:53:41Z</dcterms:created>
  <dcterms:modified xsi:type="dcterms:W3CDTF">2026-05-10T06:53:41Z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