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80.png" ContentType="image/png"/>
  <Override PartName="/word/media/rId75.png" ContentType="image/png"/>
  <Override PartName="/word/media/rId47.png" ContentType="image/png"/>
  <Override PartName="/word/media/rId85.png" ContentType="image/png"/>
  <Override PartName="/word/media/rId31.png" ContentType="image/png"/>
  <Override PartName="/word/media/rId55.png" ContentType="image/png"/>
  <Override PartName="/word/media/rId22.png" ContentType="image/png"/>
  <Override PartName="/word/media/rId6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sensitivity across life</w:t>
      </w:r>
    </w:p>
    <w:p>
      <w:pPr>
        <w:pStyle w:val="Date"/>
      </w:pPr>
      <w:r>
        <w:t xml:space="preserve">2026-05-10</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bookmarkStart w:id="91" w:name="a-tutorial-with-simulations"/>
    <w:p>
      <w:pPr>
        <w:pStyle w:val="Heading1"/>
      </w:pPr>
      <w:r>
        <w:t xml:space="preserve">1.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28" w:name="simulating-data"/>
    <w:p>
      <w:pPr>
        <w:pStyle w:val="Heading3"/>
      </w:pPr>
      <w:r>
        <w:t xml:space="preserve">1.0.1</w:t>
      </w:r>
      <w:r>
        <w:t xml:space="preserve"> </w:t>
      </w:r>
      <w:r>
        <w:rPr>
          <w:i/>
          <w:iCs/>
        </w:rPr>
        <w:t xml:space="preserve">Simulating Data</w:t>
      </w:r>
    </w:p>
    <w:bookmarkStart w:id="20" w:name="sec-sim-step1"/>
    <w:p>
      <w:pPr>
        <w:pStyle w:val="Heading4"/>
      </w:pPr>
      <w:r>
        <w:t xml:space="preserve">1.0.1.1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p>
    <w:bookmarkEnd w:id="20"/>
    <w:bookmarkStart w:id="21" w:name="sec-sim-step2"/>
    <w:p>
      <w:pPr>
        <w:pStyle w:val="Heading4"/>
      </w:pPr>
      <w:r>
        <w:t xml:space="preserve">1.0.1.2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21"/>
    <w:bookmarkStart w:id="26" w:name="sec-sim-step3"/>
    <w:p>
      <w:pPr>
        <w:pStyle w:val="Heading4"/>
      </w:pPr>
      <w:r>
        <w:t xml:space="preserve">1.0.1.3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 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25" w:name="fig-true-surface"/>
          <w:p>
            <w:pPr>
              <w:jc w:val="center"/>
            </w:pPr>
            <w:r>
              <w:drawing>
                <wp:inline>
                  <wp:extent cx="5943600" cy="3396342"/>
                  <wp:effectExtent b="0" l="0" r="0" t="0"/>
                  <wp:docPr descr="" title="" id="23" name="Picture"/>
                  <a:graphic>
                    <a:graphicData uri="http://schemas.openxmlformats.org/drawingml/2006/picture">
                      <pic:pic>
                        <pic:nvPicPr>
                          <pic:cNvPr descr="supplement_files/figure-docx/plot-true-surface-1.png" id="24" name="Picture"/>
                          <pic:cNvPicPr>
                            <a:picLocks noChangeArrowheads="1" noChangeAspect="1"/>
                          </pic:cNvPicPr>
                        </pic:nvPicPr>
                        <pic:blipFill>
                          <a:blip r:embed="rId22"/>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The known 4PL dose-response surface used to generate the simulated data, evaluated on a dense time grid at each of the five assay temperatures. The horizontal line marks 50% survival; where each curve crosses it gives the true LT50 at that temperature.</w:t>
            </w:r>
          </w:p>
          <w:bookmarkEnd w:id="25"/>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26"/>
    <w:bookmarkStart w:id="27" w:name="sec-sim-step4"/>
    <w:p>
      <w:pPr>
        <w:pStyle w:val="Heading4"/>
      </w:pPr>
      <w:r>
        <w:t xml:space="preserve">1.0.1.4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27"/>
    <w:bookmarkEnd w:id="28"/>
    <w:bookmarkStart w:id="39" w:name="sec-twostage"/>
    <w:p>
      <w:pPr>
        <w:pStyle w:val="Heading3"/>
      </w:pPr>
      <w:r>
        <w:t xml:space="preserve">1.0.2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1"/>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1"/>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30" w:name="sec-twostage-step1"/>
    <w:p>
      <w:pPr>
        <w:pStyle w:val="Heading4"/>
      </w:pPr>
      <w:r>
        <w:t xml:space="preserve">1.0.2.1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tbl>
      <w:tblPr>
        <w:tblStyle w:val="Table"/>
        <w:tblW w:type="pct" w:w="5000"/>
        <w:tblLayout w:type="fixed"/>
        <w:tblLook w:firstRow="0" w:lastRow="0" w:firstColumn="0" w:lastColumn="0" w:noHBand="0" w:noVBand="0" w:val="0000"/>
      </w:tblPr>
      <w:tblGrid>
        <w:gridCol w:w="7920"/>
      </w:tblGrid>
      <w:tr>
        <w:tc>
          <w:tcPr/>
          <w:bookmarkStart w:id="29" w:name="tbl-stage1-lt50"/>
          <w:p>
            <w:pPr>
              <w:jc w:val="center"/>
            </w:pPr>
            <w:pPr>
              <w:jc w:val="start"/>
              <w:spacing w:before="200"/>
              <w:pStyle w:val="ImageCaption"/>
            </w:pPr>
            <w:r>
              <w:t xml:space="preserve">Table S 1: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2.061</w:t>
                  </w:r>
                </w:p>
              </w:tc>
              <w:tc>
                <w:tcPr/>
                <w:p>
                  <w:pPr>
                    <w:pStyle w:val="Compact"/>
                    <w:jc w:val="center"/>
                  </w:pPr>
                  <w:r>
                    <w:t xml:space="preserve">2.082</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1.795</w:t>
                  </w:r>
                </w:p>
              </w:tc>
              <w:tc>
                <w:tcPr/>
                <w:p>
                  <w:pPr>
                    <w:pStyle w:val="Compact"/>
                    <w:jc w:val="center"/>
                  </w:pPr>
                  <w:r>
                    <w:t xml:space="preserve">1.8</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1.48</w:t>
                  </w:r>
                </w:p>
              </w:tc>
              <w:tc>
                <w:tcPr/>
                <w:p>
                  <w:pPr>
                    <w:pStyle w:val="Compact"/>
                    <w:jc w:val="center"/>
                  </w:pPr>
                  <w:r>
                    <w:t xml:space="preserve">1.528</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1.202</w:t>
                  </w:r>
                </w:p>
              </w:tc>
              <w:tc>
                <w:tcPr/>
                <w:p>
                  <w:pPr>
                    <w:pStyle w:val="Compact"/>
                    <w:jc w:val="center"/>
                  </w:pPr>
                  <w:r>
                    <w:t xml:space="preserve">1.195</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0.907</w:t>
                  </w:r>
                </w:p>
              </w:tc>
              <w:tc>
                <w:tcPr/>
                <w:p>
                  <w:pPr>
                    <w:pStyle w:val="Compact"/>
                    <w:jc w:val="center"/>
                  </w:pPr>
                  <w:r>
                    <w:t xml:space="preserve">0.954</w:t>
                  </w:r>
                </w:p>
              </w:tc>
            </w:tr>
          </w:tbl>
          <w:bookmarkEnd w:id="29"/>
          <w:p/>
        </w:tc>
      </w:tr>
    </w:tbl>
    <w:p>
      <w:pPr>
        <w:pStyle w:val="BodyText"/>
      </w:pPr>
      <w:r>
        <w:t xml:space="preserve">With the simulation’s true asymptotes near 0 and 1, the 2PL’s forced-asymptote constraint introduces negligible bias here, so each Stage-1 estimate sits close to the simulation truth.</w:t>
      </w:r>
    </w:p>
    <w:bookmarkEnd w:id="30"/>
    <w:bookmarkStart w:id="38" w:name="sec-twostage-step2"/>
    <w:p>
      <w:pPr>
        <w:pStyle w:val="Heading4"/>
      </w:pPr>
      <w:r>
        <w:t xml:space="preserve">1.0.2.2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S 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 1</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34" w:name="fig-stage2-regression"/>
          <w:p>
            <w:pPr>
              <w:jc w:val="center"/>
            </w:pPr>
            <w:r>
              <w:drawing>
                <wp:inline>
                  <wp:extent cx="5943600" cy="3820885"/>
                  <wp:effectExtent b="0" l="0" r="0" t="0"/>
                  <wp:docPr descr="" title="" id="32" name="Picture"/>
                  <a:graphic>
                    <a:graphicData uri="http://schemas.openxmlformats.org/drawingml/2006/picture">
                      <pic:pic>
                        <pic:nvPicPr>
                          <pic:cNvPr descr="supplement_files/figure-docx/plot-stage2-regression-1.png" id="33" name="Picture"/>
                          <pic:cNvPicPr>
                            <a:picLocks noChangeArrowheads="1" noChangeAspect="1"/>
                          </pic:cNvPicPr>
                        </pic:nvPicPr>
                        <pic:blipFill>
                          <a:blip r:embed="rId31"/>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34"/>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38"/>
    <w:bookmarkEnd w:id="39"/>
    <w:bookmarkStart w:id="52" w:name="sec-joint"/>
    <w:p>
      <w:pPr>
        <w:pStyle w:val="Heading3"/>
      </w:pPr>
      <w:r>
        <w:t xml:space="preserve">1.0.3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44" w:name="sec-joint-spec"/>
    <w:p>
      <w:pPr>
        <w:pStyle w:val="Heading4"/>
      </w:pPr>
      <w:r>
        <w:t xml:space="preserve">1.0.3.1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40"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m:t>
              </m:r>
            </m:e>
          </m:d>
        </m:oMath>
      </m:oMathPara>
      <w:bookmarkEnd w:id="40"/>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41"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2</m:t>
              </m:r>
            </m:e>
          </m:d>
        </m:oMath>
      </m:oMathPara>
      <w:bookmarkEnd w:id="41"/>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In</w:t>
      </w:r>
      <w:r>
        <w:t xml:space="preserve"> </w:t>
      </w:r>
      <w:r>
        <w:rPr>
          <w:rStyle w:val="VerbatimChar"/>
        </w:rPr>
        <w:t xml:space="preserve">brms</w:t>
      </w:r>
      <w:r>
        <w:t xml:space="preserve"> </w:t>
      </w:r>
      <w:r>
        <w:t xml:space="preserve">non-linear syntax these two pieces become one formula and four sub-formulas — one for each parameter in the 4PL model:</w:t>
      </w:r>
    </w:p>
    <w:p>
      <w:pPr>
        <w:pStyle w:val="SourceCode"/>
      </w:pPr>
      <w:r>
        <w:rPr>
          <w:rStyle w:val="CommentTok"/>
        </w:rPr>
        <w:t xml:space="preserve"># Soft constraints to keep the parameters in their natural ranges.</w:t>
      </w:r>
      <w:r>
        <w:br/>
      </w:r>
      <w:r>
        <w:rPr>
          <w:rStyle w:val="CommentTok"/>
        </w:rPr>
        <w:t xml:space="preserve"># These are not informative priors — just the bounds the parameters</w:t>
      </w:r>
      <w:r>
        <w:br/>
      </w:r>
      <w:r>
        <w:rPr>
          <w:rStyle w:val="CommentTok"/>
        </w:rPr>
        <w:t xml:space="preserve"># must obey to be biologically meaningful.</w:t>
      </w:r>
      <w:r>
        <w:br/>
      </w:r>
      <w:r>
        <w:rPr>
          <w:rStyle w:val="NormalTok"/>
        </w:rPr>
        <w:t xml:space="preserve">priors_4pl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"ell"</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AttributeTok"/>
        </w:rPr>
        <w:t xml:space="preserve">nlpar =</w:t>
      </w:r>
      <w:r>
        <w:rPr>
          <w:rStyle w:val="NormalTok"/>
        </w:rPr>
        <w:t xml:space="preserve"> </w:t>
      </w:r>
      <w:r>
        <w:rPr>
          <w:rStyle w:val="StringTok"/>
        </w:rPr>
        <w:t xml:space="preserve">"u"</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"k"</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w:t>
      </w:r>
      <w:r>
        <w:br/>
      </w:r>
      <w:r>
        <w:br/>
      </w:r>
      <w:r>
        <w:rPr>
          <w:rStyle w:val="NormalTok"/>
        </w:rPr>
        <w:t xml:space="preserve">bform_bin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CommentTok"/>
        </w:rPr>
        <w:t xml:space="preserve"># Same model, beta-binomial likelihood for the overdispersed dataset.</w:t>
      </w:r>
      <w:r>
        <w:br/>
      </w:r>
      <w:r>
        <w:rPr>
          <w:rStyle w:val="NormalTok"/>
        </w:rPr>
        <w:t xml:space="preserve">bform_bb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The first line in</w:t>
      </w:r>
      <w:r>
        <w:t xml:space="preserve"> </w:t>
      </w:r>
      <w:r>
        <w:rPr>
          <w:rStyle w:val="VerbatimChar"/>
        </w:rPr>
        <w:t xml:space="preserve">bf()</w:t>
      </w:r>
      <w:r>
        <w:t xml:space="preserve"> </w:t>
      </w:r>
      <w:r>
        <w:t xml:space="preserve">is</w:t>
      </w:r>
      <w:r>
        <w:t xml:space="preserve"> </w:t>
      </w:r>
      <w:hyperlink w:anchor="eq-supp-4pl">
        <w:r>
          <w:rPr>
            <w:rStyle w:val="Hyperlink"/>
          </w:rPr>
          <w:t xml:space="preserve">Equation S 1</w:t>
        </w:r>
      </w:hyperlink>
      <w:r>
        <w:t xml:space="preserve">. The next four lines say (i) the asymptotes and slope are simply scalars and we estimate an overall intercept for each (</w:t>
      </w:r>
      <w:r>
        <w:rPr>
          <w:rStyle w:val="VerbatimChar"/>
        </w:rPr>
        <w:t xml:space="preserve">ell ~ 1</w:t>
      </w:r>
      <w:r>
        <w:t xml:space="preserve">,</w:t>
      </w:r>
      <w:r>
        <w:t xml:space="preserve"> </w:t>
      </w:r>
      <w:r>
        <w:rPr>
          <w:rStyle w:val="VerbatimChar"/>
        </w:rPr>
        <w:t xml:space="preserve">u ~ 1</w:t>
      </w:r>
      <w:r>
        <w:t xml:space="preserve">,</w:t>
      </w:r>
      <w:r>
        <w:t xml:space="preserve"> </w:t>
      </w:r>
      <w:r>
        <w:rPr>
          <w:rStyle w:val="VerbatimChar"/>
        </w:rPr>
        <w:t xml:space="preserve">k ~ 1</w:t>
      </w:r>
      <w:r>
        <w:t xml:space="preserve">) and (ii) the midpoint depends linearly on mean-centred temperature (</w:t>
      </w:r>
      <w:r>
        <w:rPr>
          <w:rStyle w:val="VerbatimChar"/>
        </w:rPr>
        <w:t xml:space="preserve">mid ~ T_c</w:t>
      </w:r>
      <w:r>
        <w:t xml:space="preserve">), recovering</w:t>
      </w:r>
      <w:r>
        <w:t xml:space="preserve"> </w:t>
      </w:r>
      <w:hyperlink w:anchor="eq-supp-mid-temp">
        <w:r>
          <w:rPr>
            <w:rStyle w:val="Hyperlink"/>
          </w:rPr>
          <w:t xml:space="preserve">Equation S 2</w:t>
        </w:r>
      </w:hyperlink>
      <w:r>
        <w:t xml:space="preserve">. This is the entire model.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model we fit is rather simple — it can be extended in several ways. For example, random effects can be added to any of the four 4PL parameters; for instance,</w:t>
            </w:r>
            <w:r>
              <w:t xml:space="preserve"> </w:t>
            </w:r>
            <w:r>
              <w:rPr>
                <w:rStyle w:val="VerbatimChar"/>
              </w:rPr>
              <w:t xml:space="preserve">mid ~ T_c + (1 | day)</w:t>
            </w:r>
            <w:r>
              <w:t xml:space="preserve"> </w:t>
            </w:r>
            <w:r>
              <w:t xml:space="preserve">allows the midpoint to vary across assay days or batches. Temperature can also be a predictor for the other 4PL parameters — adding</w:t>
            </w:r>
            <w:r>
              <w:t xml:space="preserve"> </w:t>
            </w:r>
            <w:r>
              <w:rPr>
                <w:rStyle w:val="VerbatimChar"/>
              </w:rPr>
              <w:t xml:space="preserve">k ~ T_c</w:t>
            </w:r>
            <w:r>
              <w:t xml:space="preserve">, for instance, would let the slope of the dose-response curve itself depend on temperature. Random effects in the joint fit also enable a much more detailed variance decomposition than the two-stage pipeline can deliver. We’ll explore more of this in</w:t>
            </w:r>
            <w:r>
              <w:t xml:space="preserve"> </w:t>
            </w:r>
            <w:hyperlink w:anchor="sec-joint-extend">
              <w:r>
                <w:rPr>
                  <w:rStyle w:val="Hyperlink"/>
                </w:rPr>
                <w:t xml:space="preserve">Section 1.0.6</w:t>
              </w:r>
            </w:hyperlink>
            <w:r>
              <w:t xml:space="preserve">.</w:t>
            </w:r>
          </w:p>
        </w:tc>
      </w:tr>
    </w:tbl>
    <w:bookmarkEnd w:id="44"/>
    <w:bookmarkStart w:id="45" w:name="sec-joint-fit"/>
    <w:p>
      <w:pPr>
        <w:pStyle w:val="Heading4"/>
      </w:pPr>
      <w:r>
        <w:t xml:space="preserve">1.0.3.2 Fitting the model</w:t>
      </w:r>
    </w:p>
    <w:p>
      <w:pPr>
        <w:pStyle w:val="FirstParagraph"/>
      </w:pPr>
      <w:r>
        <w:t xml:space="preserve">Now that we have the model formula set up and priors we can fit the model. We pass</w:t>
      </w:r>
      <w:r>
        <w:t xml:space="preserve"> </w:t>
      </w:r>
      <w:r>
        <w:rPr>
          <w:rStyle w:val="VerbatimChar"/>
        </w:rPr>
        <w:t xml:space="preserve">file = ...</w:t>
      </w:r>
      <w:r>
        <w:t xml:space="preserve"> </w:t>
      </w:r>
      <w:r>
        <w:t xml:space="preserve">and</w:t>
      </w:r>
      <w:r>
        <w:t xml:space="preserve"> </w:t>
      </w:r>
      <w:r>
        <w:rPr>
          <w:rStyle w:val="VerbatimChar"/>
        </w:rPr>
        <w:t xml:space="preserve">file_refit = "on_change"</w:t>
      </w:r>
      <w:r>
        <w:t xml:space="preserve"> </w:t>
      </w:r>
      <w:r>
        <w:t xml:space="preserve">directly to</w:t>
      </w:r>
      <w:r>
        <w:t xml:space="preserve"> </w:t>
      </w:r>
      <w:r>
        <w:rPr>
          <w:rStyle w:val="VerbatimChar"/>
        </w:rPr>
        <w:t xml:space="preserve">brm()</w:t>
      </w:r>
      <w:r>
        <w:t xml:space="preserve">. This tells</w:t>
      </w:r>
      <w:r>
        <w:t xml:space="preserve"> </w:t>
      </w:r>
      <w:r>
        <w:rPr>
          <w:rStyle w:val="VerbatimChar"/>
        </w:rPr>
        <w:t xml:space="preserve">brms</w:t>
      </w:r>
      <w:r>
        <w:t xml:space="preserve"> </w:t>
      </w:r>
      <w:r>
        <w:t xml:space="preserve">to save the fit to disk on first run and to reload it on subsequent runs unless the model or data has changed.</w:t>
      </w:r>
    </w:p>
    <w:p>
      <w:pPr>
        <w:pStyle w:val="SourceCode"/>
      </w:pPr>
      <w:r>
        <w:rPr>
          <w:rStyle w:val="CommentTok"/>
        </w:rPr>
        <w:t xml:space="preserve"># Disable Quarto chunk caching: brms's `file = ...` / `file_refit = "on_change"`</w:t>
      </w:r>
      <w:r>
        <w:br/>
      </w:r>
      <w:r>
        <w:rPr>
          <w:rStyle w:val="CommentTok"/>
        </w:rPr>
        <w:t xml:space="preserve"># already handles refitting on formula/data changes. Quarto's own cache would</w:t>
      </w:r>
      <w:r>
        <w:br/>
      </w:r>
      <w:r>
        <w:rPr>
          <w:rStyle w:val="CommentTok"/>
        </w:rPr>
        <w:t xml:space="preserve"># hold a stale fit object across renders.</w:t>
      </w:r>
      <w:r>
        <w:br/>
      </w:r>
      <w:r>
        <w:br/>
      </w:r>
      <w:r>
        <w:rPr>
          <w:rStyle w:val="NormalTok"/>
        </w:rPr>
        <w:t xml:space="preserve">fit_bin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bform_bin, </w:t>
      </w:r>
      <w:r>
        <w:rPr>
          <w:rStyle w:val="AttributeTok"/>
        </w:rPr>
        <w:t xml:space="preserve">data =</w:t>
      </w:r>
      <w:r>
        <w:rPr>
          <w:rStyle w:val="NormalTok"/>
        </w:rPr>
        <w:t xml:space="preserve"> sim_bin,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r>
        <w:br/>
      </w:r>
      <w:r>
        <w:br/>
      </w:r>
      <w:r>
        <w:rPr>
          <w:rStyle w:val="NormalTok"/>
        </w:rPr>
        <w:t xml:space="preserve">fit_bb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bform_bb, </w:t>
      </w:r>
      <w:r>
        <w:rPr>
          <w:rStyle w:val="AttributeTok"/>
        </w:rPr>
        <w:t xml:space="preserve">data =</w:t>
      </w:r>
      <w:r>
        <w:rPr>
          <w:rStyle w:val="NormalTok"/>
        </w:rPr>
        <w:t xml:space="preserve"> sim_bb,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0.9875292 0.0001264011 0.987227 0.9877159</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0.9263016 0.00105021 0.9238746 0.9280369</w:t>
      </w:r>
    </w:p>
    <w:bookmarkEnd w:id="45"/>
    <w:bookmarkStart w:id="51" w:name="sec-joint-recovery"/>
    <w:p>
      <w:pPr>
        <w:pStyle w:val="Heading4"/>
      </w:pPr>
      <w:r>
        <w:t xml:space="preserve">1.0.3.3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tbl-recovery">
        <w:r>
          <w:rPr>
            <w:rStyle w:val="Hyperlink"/>
          </w:rPr>
          <w:t xml:space="preserve">Table S 2</w:t>
        </w:r>
      </w:hyperlink>
      <w:r>
        <w:t xml:space="preserve">). We have big sample sizes here so our values should be pretty close to our true values.</w:t>
      </w:r>
    </w:p>
    <w:tbl>
      <w:tblPr>
        <w:tblStyle w:val="Table"/>
        <w:tblW w:type="pct" w:w="5000"/>
        <w:tblLayout w:type="fixed"/>
        <w:tblLook w:firstRow="0" w:lastRow="0" w:firstColumn="0" w:lastColumn="0" w:noHBand="0" w:noVBand="0" w:val="0000"/>
      </w:tblPr>
      <w:tblGrid>
        <w:gridCol w:w="7920"/>
      </w:tblGrid>
      <w:tr>
        <w:tc>
          <w:tcPr/>
          <w:bookmarkStart w:id="46" w:name="tbl-recovery"/>
          <w:p>
            <w:pPr>
              <w:jc w:val="center"/>
            </w:pPr>
            <w:pPr>
              <w:jc w:val="start"/>
              <w:spacing w:before="200"/>
              <w:pStyle w:val="ImageCaption"/>
            </w:pPr>
            <w:r>
              <w:t xml:space="preserve">Table S 2: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717"/>
              <w:tblLayout w:type="fixed"/>
              <w:tblLook w:firstRow="1" w:lastRow="0" w:firstColumn="0" w:lastColumn="0" w:noHBand="0" w:noVBand="0" w:val="0020"/>
            </w:tblPr>
            <w:tblGrid>
              <w:gridCol w:w="1344"/>
              <w:gridCol w:w="597"/>
              <w:gridCol w:w="1046"/>
              <w:gridCol w:w="971"/>
              <w:gridCol w:w="971"/>
              <w:gridCol w:w="896"/>
              <w:gridCol w:w="821"/>
              <w:gridCol w:w="821"/>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ell</w:t>
                  </w:r>
                </w:p>
              </w:tc>
              <w:tc>
                <w:tcPr/>
                <w:p>
                  <w:pPr>
                    <w:pStyle w:val="Compact"/>
                    <w:jc w:val="center"/>
                  </w:pPr>
                  <w:r>
                    <w:t xml:space="preserve">0.03</w:t>
                  </w:r>
                </w:p>
              </w:tc>
              <w:tc>
                <w:tcPr/>
                <w:p>
                  <w:pPr>
                    <w:pStyle w:val="Compact"/>
                    <w:jc w:val="center"/>
                  </w:pPr>
                  <w:r>
                    <w:t xml:space="preserve">0.0288</w:t>
                  </w:r>
                </w:p>
              </w:tc>
              <w:tc>
                <w:tcPr/>
                <w:p>
                  <w:pPr>
                    <w:pStyle w:val="Compact"/>
                    <w:jc w:val="center"/>
                  </w:pPr>
                  <w:r>
                    <w:t xml:space="preserve">0.0252</w:t>
                  </w:r>
                </w:p>
              </w:tc>
              <w:tc>
                <w:tcPr/>
                <w:p>
                  <w:pPr>
                    <w:pStyle w:val="Compact"/>
                    <w:jc w:val="center"/>
                  </w:pPr>
                  <w:r>
                    <w:t xml:space="preserve">0.0329</w:t>
                  </w:r>
                </w:p>
              </w:tc>
              <w:tc>
                <w:tcPr/>
                <w:p>
                  <w:pPr>
                    <w:pStyle w:val="Compact"/>
                    <w:jc w:val="center"/>
                  </w:pPr>
                  <w:r>
                    <w:t xml:space="preserve">0.0295</w:t>
                  </w:r>
                </w:p>
              </w:tc>
              <w:tc>
                <w:tcPr/>
                <w:p>
                  <w:pPr>
                    <w:pStyle w:val="Compact"/>
                    <w:jc w:val="center"/>
                  </w:pPr>
                  <w:r>
                    <w:t xml:space="preserve">0.0223</w:t>
                  </w:r>
                </w:p>
              </w:tc>
              <w:tc>
                <w:tcPr/>
                <w:p>
                  <w:pPr>
                    <w:pStyle w:val="Compact"/>
                    <w:jc w:val="center"/>
                  </w:pPr>
                  <w:r>
                    <w:t xml:space="preserve">0.0381</w:t>
                  </w:r>
                </w:p>
              </w:tc>
            </w:tr>
            <w:tr>
              <w:tc>
                <w:tcPr/>
                <w:p>
                  <w:pPr>
                    <w:pStyle w:val="Compact"/>
                    <w:jc w:val="center"/>
                  </w:pPr>
                  <w:r>
                    <w:t xml:space="preserve">u</w:t>
                  </w:r>
                </w:p>
              </w:tc>
              <w:tc>
                <w:tcPr/>
                <w:p>
                  <w:pPr>
                    <w:pStyle w:val="Compact"/>
                    <w:jc w:val="center"/>
                  </w:pPr>
                  <w:r>
                    <w:t xml:space="preserve">0.97</w:t>
                  </w:r>
                </w:p>
              </w:tc>
              <w:tc>
                <w:tcPr/>
                <w:p>
                  <w:pPr>
                    <w:pStyle w:val="Compact"/>
                    <w:jc w:val="center"/>
                  </w:pPr>
                  <w:r>
                    <w:t xml:space="preserve">0.9675</w:t>
                  </w:r>
                </w:p>
              </w:tc>
              <w:tc>
                <w:tcPr/>
                <w:p>
                  <w:pPr>
                    <w:pStyle w:val="Compact"/>
                    <w:jc w:val="center"/>
                  </w:pPr>
                  <w:r>
                    <w:t xml:space="preserve">0.9637</w:t>
                  </w:r>
                </w:p>
              </w:tc>
              <w:tc>
                <w:tcPr/>
                <w:p>
                  <w:pPr>
                    <w:pStyle w:val="Compact"/>
                    <w:jc w:val="center"/>
                  </w:pPr>
                  <w:r>
                    <w:t xml:space="preserve">0.9709</w:t>
                  </w:r>
                </w:p>
              </w:tc>
              <w:tc>
                <w:tcPr/>
                <w:p>
                  <w:pPr>
                    <w:pStyle w:val="Compact"/>
                    <w:jc w:val="center"/>
                  </w:pPr>
                  <w:r>
                    <w:t xml:space="preserve">0.9679</w:t>
                  </w:r>
                </w:p>
              </w:tc>
              <w:tc>
                <w:tcPr/>
                <w:p>
                  <w:pPr>
                    <w:pStyle w:val="Compact"/>
                    <w:jc w:val="center"/>
                  </w:pPr>
                  <w:r>
                    <w:t xml:space="preserve">0.9598</w:t>
                  </w:r>
                </w:p>
              </w:tc>
              <w:tc>
                <w:tcPr/>
                <w:p>
                  <w:pPr>
                    <w:pStyle w:val="Compact"/>
                    <w:jc w:val="center"/>
                  </w:pPr>
                  <w:r>
                    <w:t xml:space="preserve">0.9743</w:t>
                  </w:r>
                </w:p>
              </w:tc>
            </w:tr>
            <w:tr>
              <w:tc>
                <w:tcPr/>
                <w:p>
                  <w:pPr>
                    <w:pStyle w:val="Compact"/>
                    <w:jc w:val="center"/>
                  </w:pPr>
                  <w:r>
                    <w:t xml:space="preserve">k</w:t>
                  </w:r>
                </w:p>
              </w:tc>
              <w:tc>
                <w:tcPr/>
                <w:p>
                  <w:pPr>
                    <w:pStyle w:val="Compact"/>
                    <w:jc w:val="center"/>
                  </w:pPr>
                  <w:r>
                    <w:t xml:space="preserve">8</w:t>
                  </w:r>
                </w:p>
              </w:tc>
              <w:tc>
                <w:tcPr/>
                <w:p>
                  <w:pPr>
                    <w:pStyle w:val="Compact"/>
                    <w:jc w:val="center"/>
                  </w:pPr>
                  <w:r>
                    <w:t xml:space="preserve">8.3196</w:t>
                  </w:r>
                </w:p>
              </w:tc>
              <w:tc>
                <w:tcPr/>
                <w:p>
                  <w:pPr>
                    <w:pStyle w:val="Compact"/>
                    <w:jc w:val="center"/>
                  </w:pPr>
                  <w:r>
                    <w:t xml:space="preserve">7.9162</w:t>
                  </w:r>
                </w:p>
              </w:tc>
              <w:tc>
                <w:tcPr/>
                <w:p>
                  <w:pPr>
                    <w:pStyle w:val="Compact"/>
                    <w:jc w:val="center"/>
                  </w:pPr>
                  <w:r>
                    <w:t xml:space="preserve">8.7628</w:t>
                  </w:r>
                </w:p>
              </w:tc>
              <w:tc>
                <w:tcPr/>
                <w:p>
                  <w:pPr>
                    <w:pStyle w:val="Compact"/>
                    <w:jc w:val="center"/>
                  </w:pPr>
                  <w:r>
                    <w:t xml:space="preserve">7.5159</w:t>
                  </w:r>
                </w:p>
              </w:tc>
              <w:tc>
                <w:tcPr/>
                <w:p>
                  <w:pPr>
                    <w:pStyle w:val="Compact"/>
                    <w:jc w:val="center"/>
                  </w:pPr>
                  <w:r>
                    <w:t xml:space="preserve">6.8119</w:t>
                  </w:r>
                </w:p>
              </w:tc>
              <w:tc>
                <w:tcPr/>
                <w:p>
                  <w:pPr>
                    <w:pStyle w:val="Compact"/>
                    <w:jc w:val="center"/>
                  </w:pPr>
                  <w:r>
                    <w:t xml:space="preserve">8.3283</w:t>
                  </w:r>
                </w:p>
              </w:tc>
            </w:tr>
            <w:tr>
              <w:tc>
                <w:tcPr/>
                <w:p>
                  <w:pPr>
                    <w:pStyle w:val="Compact"/>
                    <w:jc w:val="center"/>
                  </w:pPr>
                  <w:r>
                    <w:t xml:space="preserve">mid (intercept)</w:t>
                  </w:r>
                </w:p>
              </w:tc>
              <w:tc>
                <w:tcPr/>
                <w:p>
                  <w:pPr>
                    <w:pStyle w:val="Compact"/>
                    <w:jc w:val="center"/>
                  </w:pPr>
                  <w:r>
                    <w:t xml:space="preserve">1.5</w:t>
                  </w:r>
                </w:p>
              </w:tc>
              <w:tc>
                <w:tcPr/>
                <w:p>
                  <w:pPr>
                    <w:pStyle w:val="Compact"/>
                    <w:jc w:val="center"/>
                  </w:pPr>
                  <w:r>
                    <w:t xml:space="preserve">1.5012</w:t>
                  </w:r>
                </w:p>
              </w:tc>
              <w:tc>
                <w:tcPr/>
                <w:p>
                  <w:pPr>
                    <w:pStyle w:val="Compact"/>
                    <w:jc w:val="center"/>
                  </w:pPr>
                  <w:r>
                    <w:t xml:space="preserve">1.4927</w:t>
                  </w:r>
                </w:p>
              </w:tc>
              <w:tc>
                <w:tcPr/>
                <w:p>
                  <w:pPr>
                    <w:pStyle w:val="Compact"/>
                    <w:jc w:val="center"/>
                  </w:pPr>
                  <w:r>
                    <w:t xml:space="preserve">1.5095</w:t>
                  </w:r>
                </w:p>
              </w:tc>
              <w:tc>
                <w:tcPr/>
                <w:p>
                  <w:pPr>
                    <w:pStyle w:val="Compact"/>
                    <w:jc w:val="center"/>
                  </w:pPr>
                  <w:r>
                    <w:t xml:space="preserve">1.5157</w:t>
                  </w:r>
                </w:p>
              </w:tc>
              <w:tc>
                <w:tcPr/>
                <w:p>
                  <w:pPr>
                    <w:pStyle w:val="Compact"/>
                    <w:jc w:val="center"/>
                  </w:pPr>
                  <w:r>
                    <w:t xml:space="preserve">1.4951</w:t>
                  </w:r>
                </w:p>
              </w:tc>
              <w:tc>
                <w:tcPr/>
                <w:p>
                  <w:pPr>
                    <w:pStyle w:val="Compact"/>
                    <w:jc w:val="center"/>
                  </w:pPr>
                  <w:r>
                    <w:t xml:space="preserve">1.5366</w:t>
                  </w:r>
                </w:p>
              </w:tc>
            </w:tr>
            <w:tr>
              <w:tc>
                <w:tcPr/>
                <w:p>
                  <w:pPr>
                    <w:pStyle w:val="Compact"/>
                    <w:jc w:val="center"/>
                  </w:pPr>
                  <w:r>
                    <w:t xml:space="preserve">mid (slope)</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-0.1527</w:t>
                  </w:r>
                </w:p>
              </w:tc>
              <w:tc>
                <w:tcPr/>
                <w:p>
                  <w:pPr>
                    <w:pStyle w:val="Compact"/>
                    <w:jc w:val="center"/>
                  </w:pPr>
                  <w:r>
                    <w:t xml:space="preserve">-0.1471</w:t>
                  </w:r>
                </w:p>
              </w:tc>
              <w:tc>
                <w:tcPr/>
                <w:p>
                  <w:pPr>
                    <w:pStyle w:val="Compact"/>
                    <w:jc w:val="center"/>
                  </w:pPr>
                  <w:r>
                    <w:t xml:space="preserve">-0.1474</w:t>
                  </w:r>
                </w:p>
              </w:tc>
              <w:tc>
                <w:tcPr/>
                <w:p>
                  <w:pPr>
                    <w:pStyle w:val="Compact"/>
                    <w:jc w:val="center"/>
                  </w:pPr>
                  <w:r>
                    <w:t xml:space="preserve">-0.1544</w:t>
                  </w:r>
                </w:p>
              </w:tc>
              <w:tc>
                <w:tcPr/>
                <w:p>
                  <w:pPr>
                    <w:pStyle w:val="Compact"/>
                    <w:jc w:val="center"/>
                  </w:pPr>
                  <w:r>
                    <w:t xml:space="preserve">-0.1404</w:t>
                  </w:r>
                </w:p>
              </w:tc>
            </w:tr>
          </w:tbl>
          <w:bookmarkEnd w:id="46"/>
          <w:p/>
        </w:tc>
      </w:tr>
    </w:tbl>
    <w:p>
      <w:pPr>
        <w:pStyle w:val="BodyText"/>
      </w:pPr>
      <w:r>
        <w:t xml:space="preserve">We can also overlay the posterior fitted curves on the simulated data (</w:t>
      </w:r>
      <w:hyperlink w:anchor="fig-recovery-fit">
        <w:r>
          <w:rPr>
            <w:rStyle w:val="Hyperlink"/>
          </w:rPr>
          <w:t xml:space="preserve">Figure S 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50" w:name="fig-recovery-fit"/>
          <w:p>
            <w:pPr>
              <w:jc w:val="center"/>
            </w:pPr>
            <w:r>
              <w:drawing>
                <wp:inline>
                  <wp:extent cx="5943600" cy="3714750"/>
                  <wp:effectExtent b="0" l="0" r="0" t="0"/>
                  <wp:docPr descr="" title="" id="48" name="Picture"/>
                  <a:graphic>
                    <a:graphicData uri="http://schemas.openxmlformats.org/drawingml/2006/picture">
                      <pic:pic>
                        <pic:nvPicPr>
                          <pic:cNvPr descr="supplement_files/figure-docx/plot-recovery-fit-1.png" id="49" name="Picture"/>
                          <pic:cNvPicPr>
                            <a:picLocks noChangeArrowheads="1" noChangeAspect="1"/>
                          </pic:cNvPicPr>
                        </pic:nvPicPr>
                        <pic:blipFill>
                          <a:blip r:embed="rId47"/>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50"/>
        </w:tc>
      </w:tr>
    </w:tbl>
    <w:bookmarkEnd w:id="51"/>
    <w:bookmarkEnd w:id="52"/>
    <w:bookmarkStart w:id="62" w:name="sec-joint-derive"/>
    <w:p>
      <w:pPr>
        <w:pStyle w:val="Heading3"/>
      </w:pPr>
      <w:r>
        <w:t xml:space="preserve">1.0.4</w:t>
      </w:r>
      <w:r>
        <w:t xml:space="preserve"> </w:t>
      </w:r>
      <w:r>
        <w:rPr>
          <w:i/>
          <w:iCs/>
        </w:rPr>
        <w:t xml:space="preserve">Deriving</w:t>
      </w:r>
      <w:r>
        <w:rPr>
          <w:i/>
          <w:iCs/>
        </w:rPr>
        <w:t xml:space="preserve"> </w:t>
      </w:r>
      <m:oMath>
        <m:r>
          <m:t>z</m:t>
        </m:r>
      </m:oMath>
      <w:r>
        <w:rPr>
          <w:i/>
          <w:iCs/>
        </w:rPr>
        <w:t xml:space="preserve"> </w:t>
      </w:r>
      <w:r>
        <w:rPr>
          <w:i/>
          <w:iCs/>
        </w:rPr>
        <w:t xml:space="preserve">and</w:t>
      </w:r>
      <w:r>
        <w:rPr>
          <w:i/>
          <w:iCs/>
        </w:rPr>
        <w:t xml:space="preserve"> </w:t>
      </w:r>
      <m:oMath>
        <m:r>
          <m:t>C</m:t>
        </m:r>
        <m:sSub>
          <m:e>
            <m:r>
              <m:t>T</m:t>
            </m:r>
          </m:e>
          <m:sub>
            <m:r>
              <m:t>m</m:t>
            </m:r>
            <m:r>
              <m:t>a</m:t>
            </m:r>
            <m:sSub>
              <m:e>
                <m:r>
                  <m:t>x</m:t>
                </m:r>
              </m:e>
              <m:sub>
                <m:r>
                  <m:t>1</m:t>
                </m:r>
                <m:r>
                  <m:t>h</m:t>
                </m:r>
                <m:r>
                  <m:t>r</m:t>
                </m:r>
              </m:sub>
            </m:sSub>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 thermal sensitivity (</w:t>
      </w:r>
      <m:oMath>
        <m:r>
          <m:t>z</m:t>
        </m:r>
      </m:oMath>
      <w:r>
        <w:t xml:space="preserve">) and the critical thermal limit at a reference duration (</w:t>
      </w:r>
      <m:oMath>
        <m:r>
          <m:t>C</m:t>
        </m:r>
        <m:sSub>
          <m:e>
            <m:r>
              <m:t>T</m:t>
            </m:r>
          </m:e>
          <m:sub>
            <m:r>
              <m:t>m</m:t>
            </m:r>
            <m:r>
              <m:t>a</m:t>
            </m:r>
            <m:sSub>
              <m:e>
                <m:r>
                  <m:t>x</m:t>
                </m:r>
              </m:e>
              <m:sub>
                <m:r>
                  <m:t>1</m:t>
                </m:r>
                <m:r>
                  <m:t>h</m:t>
                </m:r>
                <m:r>
                  <m:t>r</m:t>
                </m:r>
              </m:sub>
            </m:sSub>
          </m:sub>
        </m:sSub>
      </m:oMath>
      <w:r>
        <w:t xml:space="preserve">) — fall out as one-line transformations of the posterior we just fit. We never refit the model; we just push the posterior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same closed-form expressions used to derive the simulation truth in Step 1.</w:t>
      </w:r>
    </w:p>
    <w:bookmarkStart w:id="53" w:name="annotated-cell-11"/>
    <w:p>
      <w:pPr>
        <w:pStyle w:val="SourceCode"/>
      </w:pPr>
      <w:r>
        <w:rPr>
          <w:rStyle w:val="CommentTok"/>
        </w:rPr>
        <w:t xml:space="preserve"># Helper: push posterior draws of (ell, u, k, beta0, beta1) through the closed-</w:t>
      </w:r>
      <w:r>
        <w:br/>
      </w:r>
      <w:r>
        <w:rPr>
          <w:rStyle w:val="CommentTok"/>
        </w:rPr>
        <w:t xml:space="preserve"># form derivations from the main text to get z and CTmax at 1 hour.</w:t>
      </w:r>
      <w:r>
        <w:br/>
      </w:r>
      <w:r>
        <w:rPr>
          <w:rStyle w:val="NormalTok"/>
        </w:rPr>
        <w:t xml:space="preserve">derive_z_ctmax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posterior</w:t>
      </w:r>
      <w:r>
        <w:rPr>
          <w:rStyle w:val="SpecialCharTok"/>
        </w:rPr>
        <w:t xml:space="preserve">::</w:t>
      </w:r>
      <w:r>
        <w:rPr>
          <w:rStyle w:val="FunctionTok"/>
        </w:rPr>
        <w:t xml:space="preserve">as_draws_df</w:t>
      </w:r>
      <w:r>
        <w:rPr>
          <w:rStyle w:val="NormalTok"/>
        </w:rPr>
        <w:t xml:space="preserve">(fit)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(z, CTmax_1hr)</w:t>
      </w:r>
      <w:r>
        <w:br/>
      </w:r>
      <w:r>
        <w:rPr>
          <w:rStyle w:val="NormalTok"/>
        </w:rPr>
        <w:t xml:space="preserve">}</w:t>
      </w:r>
      <w:r>
        <w:br/>
      </w:r>
      <w:r>
        <w:br/>
      </w:r>
      <w:r>
        <w:rPr>
          <w:rStyle w:val="CommentTok"/>
        </w:rPr>
        <w:t xml:space="preserve"># Apply to both fits to get posterior draws of (z, CTmax_1hr).</w:t>
      </w:r>
      <w:r>
        <w:br/>
      </w:r>
      <w:r>
        <w:rPr>
          <w:rStyle w:val="NormalTok"/>
        </w:rPr>
        <w:t xml:space="preserve">draws_bin_d </w:t>
      </w:r>
      <w:r>
        <w:rPr>
          <w:rStyle w:val="OtherTok"/>
        </w:rPr>
        <w:t xml:space="preserve">&lt;-</w:t>
      </w:r>
      <w:r>
        <w:rPr>
          <w:rStyle w:val="NormalTok"/>
        </w:rPr>
        <w:t xml:space="preserve"> </w:t>
      </w:r>
      <w:r>
        <w:rPr>
          <w:rStyle w:val="FunctionTok"/>
        </w:rPr>
        <w:t xml:space="preserve">derive_z_ctmax</w:t>
      </w:r>
      <w:r>
        <w:rPr>
          <w:rStyle w:val="NormalTok"/>
        </w:rPr>
        <w:t xml:space="preserve">(fit_bin)</w:t>
      </w:r>
      <w:r>
        <w:br/>
      </w:r>
      <w:r>
        <w:rPr>
          <w:rStyle w:val="NormalTok"/>
        </w:rPr>
        <w:t xml:space="preserve">draws_bb_d  </w:t>
      </w:r>
      <w:r>
        <w:rPr>
          <w:rStyle w:val="OtherTok"/>
        </w:rPr>
        <w:t xml:space="preserve">&lt;-</w:t>
      </w:r>
      <w:r>
        <w:rPr>
          <w:rStyle w:val="NormalTok"/>
        </w:rPr>
        <w:t xml:space="preserve"> </w:t>
      </w:r>
      <w:r>
        <w:rPr>
          <w:rStyle w:val="FunctionTok"/>
        </w:rPr>
        <w:t xml:space="preserve">derive_z_ctmax</w:t>
      </w:r>
      <w:r>
        <w:rPr>
          <w:rStyle w:val="NormalTok"/>
        </w:rPr>
        <w:t xml:space="preserve">(fit_bb)</w:t>
      </w:r>
    </w:p>
    <w:bookmarkEnd w:id="53"/>
    <w:p>
      <w:pPr>
        <w:pStyle w:val="DefinitionTerm"/>
      </w:pPr>
      <w:r>
        <w:t xml:space="preserve">Line 4</w:t>
      </w:r>
    </w:p>
    <w:p>
      <w:pPr>
        <w:pStyle w:val="Definition"/>
      </w:pPr>
      <w:r>
        <w:t xml:space="preserve">Pull the joint posterior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from the brms fit as a data frame, with one row per posterior draw.</w:t>
      </w:r>
    </w:p>
    <w:p>
      <w:pPr>
        <w:pStyle w:val="DefinitionTerm"/>
      </w:pPr>
      <w:r>
        <w:t xml:space="preserve">Line 6</w:t>
      </w:r>
    </w:p>
    <w:p>
      <w:pPr>
        <w:pStyle w:val="Definition"/>
      </w:pPr>
      <w:r>
        <w:t xml:space="preserve">For each draw, compute thermal sensitivity</w:t>
      </w:r>
      <w:r>
        <w:t xml:space="preserve"> </w:t>
      </w:r>
      <m:oMath>
        <m:r>
          <m:t>z</m:t>
        </m:r>
        <m:r>
          <m:rPr>
            <m:sty m:val="p"/>
          </m:rPr>
          <m:t>=</m:t>
        </m:r>
        <m:r>
          <m:rPr>
            <m:sty m:val="p"/>
          </m:rPr>
          <m:t>−</m:t>
        </m:r>
        <m:r>
          <m:t>1</m:t>
        </m:r>
        <m:r>
          <m:rPr>
            <m:sty m:val="p"/>
          </m:rPr>
          <m:t>/</m:t>
        </m:r>
        <m:sSub>
          <m:e>
            <m:r>
              <m:t>β</m:t>
            </m:r>
          </m:e>
          <m:sub>
            <m:r>
              <m:t>1</m:t>
            </m:r>
          </m:sub>
        </m:sSub>
      </m:oMath>
      <w:r>
        <w:t xml:space="preserve">.</w:t>
      </w:r>
    </w:p>
    <w:p>
      <w:pPr>
        <w:pStyle w:val="DefinitionTerm"/>
      </w:pPr>
      <w:r>
        <w:t xml:space="preserve">Line 7</w:t>
      </w:r>
    </w:p>
    <w:p>
      <w:pPr>
        <w:pStyle w:val="Definition"/>
      </w:pPr>
      <w:r>
        <w:t xml:space="preserve">Compute the asymmetry-corrected intercept</w:t>
      </w:r>
      <w:r>
        <w:t xml:space="preserve"> </w:t>
      </w:r>
      <m:oMath>
        <m:r>
          <m:t>α</m:t>
        </m:r>
        <m:r>
          <m:rPr>
            <m:sty m:val="p"/>
          </m:rPr>
          <m:t>=</m:t>
        </m:r>
        <m:sSub>
          <m:e>
            <m:r>
              <m:t>β</m:t>
            </m:r>
          </m:e>
          <m:sub>
            <m:r>
              <m:t>0</m:t>
            </m:r>
          </m:sub>
        </m:sSub>
        <m:r>
          <m:rPr>
            <m:sty m:val="p"/>
          </m:rPr>
          <m:t>+</m:t>
        </m:r>
        <m:d>
          <m:dPr>
            <m:begChr m:val="("/>
            <m:sepChr m:val=""/>
            <m:endChr m:val=")"/>
            <m:grow/>
          </m:dPr>
          <m:e>
            <m:r>
              <m:t>1</m:t>
            </m:r>
            <m:r>
              <m:rPr>
                <m:sty m:val="p"/>
              </m:rPr>
              <m:t>/</m:t>
            </m:r>
            <m:r>
              <m:t>k</m:t>
            </m:r>
          </m:e>
        </m:d>
        <m:r>
          <m:rPr>
            <m:sty m:val="p"/>
          </m:rPr>
          <m:t>log</m:t>
        </m:r>
        <m:r>
          <m:t>​</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r>
          <m:rPr>
            <m:sty m:val="p"/>
          </m:rPr>
          <m:t>−</m:t>
        </m:r>
        <m:sSub>
          <m:e>
            <m:r>
              <m:t>β</m:t>
            </m:r>
          </m:e>
          <m:sub>
            <m:r>
              <m:t>1</m:t>
            </m:r>
          </m:sub>
        </m:sSub>
        <m:acc>
          <m:accPr>
            <m:chr m:val="‾"/>
          </m:accPr>
          <m:e>
            <m:r>
              <m:t>T</m:t>
            </m:r>
          </m:e>
        </m:acc>
      </m:oMath>
      <w:r>
        <w:t xml:space="preserve"> </w:t>
      </w:r>
      <w:r>
        <w:t xml:space="preserve">used in the closed-form</w:t>
      </w:r>
      <w:r>
        <w:t xml:space="preserve"> </w:t>
      </w:r>
      <m:oMath>
        <m:r>
          <m:t>C</m:t>
        </m:r>
        <m:sSub>
          <m:e>
            <m:r>
              <m:t>T</m:t>
            </m:r>
          </m:e>
          <m:sub>
            <m:r>
              <m:t>m</m:t>
            </m:r>
            <m:r>
              <m:t>a</m:t>
            </m:r>
            <m:r>
              <m:t>x</m:t>
            </m:r>
          </m:sub>
        </m:sSub>
      </m:oMath>
      <w:r>
        <w:t xml:space="preserve"> </w:t>
      </w:r>
      <w:r>
        <w:t xml:space="preserve">expression.</w:t>
      </w:r>
    </w:p>
    <w:p>
      <w:pPr>
        <w:pStyle w:val="DefinitionTerm"/>
      </w:pPr>
      <w:r>
        <w:t xml:space="preserve">Line 11</w:t>
      </w:r>
    </w:p>
    <w:p>
      <w:pPr>
        <w:pStyle w:val="Definition"/>
      </w:pPr>
      <w:r>
        <w:t xml:space="preserve">Compute</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the temperature at which median lethal time equals 1 hour.</w:t>
      </w:r>
    </w:p>
    <w:p>
      <w:pPr>
        <w:pStyle w:val="DefinitionTerm"/>
      </w:pPr>
      <w:r>
        <w:t xml:space="preserve">Line 13</w:t>
      </w:r>
    </w:p>
    <w:p>
      <w:pPr>
        <w:pStyle w:val="Definition"/>
      </w:pPr>
      <w:r>
        <w:t xml:space="preserve">Keep only the two derived quantities — the posterior is now a draws-by-2 tibble.</w:t>
      </w:r>
    </w:p>
    <w:tbl>
      <w:tblPr>
        <w:tblStyle w:val="Table"/>
        <w:tblW w:type="pct" w:w="5000"/>
        <w:tblLayout w:type="fixed"/>
        <w:tblLook w:firstRow="0" w:lastRow="0" w:firstColumn="0" w:lastColumn="0" w:noHBand="0" w:noVBand="0" w:val="0000"/>
      </w:tblPr>
      <w:tblGrid>
        <w:gridCol w:w="7920"/>
      </w:tblGrid>
      <w:tr>
        <w:tc>
          <w:tcPr/>
          <w:bookmarkStart w:id="54" w:name="tbl-tls-recovery"/>
          <w:p>
            <w:pPr>
              <w:jc w:val="center"/>
            </w:pPr>
            <w:pPr>
              <w:jc w:val="start"/>
              <w:spacing w:before="200"/>
              <w:pStyle w:val="ImageCaption"/>
            </w:pPr>
            <w:r>
              <w:t xml:space="preserve">Table S 3: Posterior medians and 95% credible intervals for thermal sensitivity (</w:t>
            </w:r>
            <m:oMath>
              <m:r>
                <m:t>z</m:t>
              </m:r>
            </m:oMath>
            <w:r>
              <w:t xml:space="preserve">) and the critical thermal limit at a 1-hour reference duration (</w:t>
            </w:r>
            <m:oMath>
              <m:r>
                <m:t>C</m:t>
              </m:r>
              <m:sSub>
                <m:e>
                  <m:r>
                    <m:t>T</m:t>
                  </m:r>
                </m:e>
                <m:sub>
                  <m:r>
                    <m:t>m</m:t>
                  </m:r>
                  <m:r>
                    <m:t>a</m:t>
                  </m:r>
                  <m:sSub>
                    <m:e>
                      <m:r>
                        <m:t>x</m:t>
                      </m:r>
                    </m:e>
                    <m:sub>
                      <m:r>
                        <m:t>1</m:t>
                      </m:r>
                      <m:r>
                        <m:t>h</m:t>
                      </m:r>
                      <m:r>
                        <m:t>r</m:t>
                      </m:r>
                    </m:sub>
                  </m:sSub>
                </m:sub>
              </m:sSub>
            </m:oMath>
            <w:r>
              <w:t xml:space="preserve">), derived directly from the joint Bayesian 4PL fit. Both quantities recover the simulation truth under both binomial and beta-binomial likelihoods.</w:t>
            </w:r>
          </w:p>
          <w:tbl>
            <w:tblPr>
              <w:tblStyle w:val="Table"/>
              <w:tblW w:type="pct" w:w="4725"/>
              <w:tblLayout w:type="fixed"/>
              <w:tblLook w:firstRow="1" w:lastRow="0" w:firstColumn="0" w:lastColumn="0" w:noHBand="0" w:noVBand="0" w:val="0020"/>
            </w:tblPr>
            <w:tblGrid>
              <w:gridCol w:w="1525"/>
              <w:gridCol w:w="581"/>
              <w:gridCol w:w="1017"/>
              <w:gridCol w:w="944"/>
              <w:gridCol w:w="944"/>
              <w:gridCol w:w="871"/>
              <w:gridCol w:w="799"/>
              <w:gridCol w:w="799"/>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c>
                <w:tcPr/>
                <w:p>
                  <w:pPr>
                    <w:pStyle w:val="Compact"/>
                    <w:jc w:val="center"/>
                  </w:pPr>
                  <w:r>
                    <w:t xml:space="preserve">6.78</w:t>
                  </w:r>
                </w:p>
              </w:tc>
              <w:tc>
                <w:tcPr/>
                <w:p>
                  <w:pPr>
                    <w:pStyle w:val="Compact"/>
                    <w:jc w:val="center"/>
                  </w:pPr>
                  <w:r>
                    <w:t xml:space="preserve">6.47</w:t>
                  </w:r>
                </w:p>
              </w:tc>
              <w:tc>
                <w:tcPr/>
                <w:p>
                  <w:pPr>
                    <w:pStyle w:val="Compact"/>
                    <w:jc w:val="center"/>
                  </w:pPr>
                  <w:r>
                    <w:t xml:space="preserve">7.12</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w:t>
                  </w:r>
                </w:p>
              </w:tc>
              <w:tc>
                <w:tcPr/>
                <w:p>
                  <w:pPr>
                    <w:pStyle w:val="Compact"/>
                    <w:jc w:val="center"/>
                  </w:pPr>
                  <w:r>
                    <w:t xml:space="preserve">32.21</w:t>
                  </w:r>
                </w:p>
              </w:tc>
              <w:tc>
                <w:tcPr/>
                <w:p>
                  <w:pPr>
                    <w:pStyle w:val="Compact"/>
                    <w:jc w:val="center"/>
                  </w:pPr>
                  <w:r>
                    <w:t xml:space="preserve">32.06</w:t>
                  </w:r>
                </w:p>
              </w:tc>
              <w:tc>
                <w:tcPr/>
                <w:p>
                  <w:pPr>
                    <w:pStyle w:val="Compact"/>
                    <w:jc w:val="center"/>
                  </w:pPr>
                  <w:r>
                    <w:t xml:space="preserve">32.37</w:t>
                  </w:r>
                </w:p>
              </w:tc>
            </w:tr>
          </w:tbl>
          <w:bookmarkEnd w:id="5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tls-recovery"/>
          <w:p>
            <w:pPr>
              <w:jc w:val="center"/>
            </w:pPr>
            <w:r>
              <w:drawing>
                <wp:inline>
                  <wp:extent cx="5943600" cy="2971800"/>
                  <wp:effectExtent b="0" l="0" r="0" t="0"/>
                  <wp:docPr descr="" title="" id="56" name="Picture"/>
                  <a:graphic>
                    <a:graphicData uri="http://schemas.openxmlformats.org/drawingml/2006/picture">
                      <pic:pic>
                        <pic:nvPicPr>
                          <pic:cNvPr descr="supplement_files/figure-docx/plot-tls-recovery-1.png" id="57" name="Picture"/>
                          <pic:cNvPicPr>
                            <a:picLocks noChangeArrowheads="1" noChangeAspect="1"/>
                          </pic:cNvPicPr>
                        </pic:nvPicPr>
                        <pic:blipFill>
                          <a:blip r:embed="rId5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Posterior distributions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binomial fit (blue) and beta-binomial fit (orange). Vertical dashed lines mark the simulation truth. Both posteriors are tightly concentrated around the truth, illustrating that the joint Bayesian fit recovers the classical TLS quantities with calibrated uncertainty without any additional regression step.</w:t>
            </w:r>
          </w:p>
          <w:bookmarkEnd w:id="58"/>
        </w:tc>
      </w:tr>
    </w:tbl>
    <w:p>
      <w:pPr>
        <w:pStyle w:val="BodyText"/>
      </w:pPr>
      <w:r>
        <w:t xml:space="preserve">The two derived quantities recover their simulation truth in both fits (</w:t>
      </w:r>
      <w:hyperlink w:anchor="tbl-tls-recovery">
        <w:r>
          <w:rPr>
            <w:rStyle w:val="Hyperlink"/>
          </w:rPr>
          <w:t xml:space="preserve">Table S 3</w:t>
        </w:r>
      </w:hyperlink>
      <w:r>
        <w:t xml:space="preserve">,</w:t>
      </w:r>
      <w:r>
        <w:t xml:space="preserve"> </w:t>
      </w:r>
      <w:hyperlink w:anchor="fig-tls-recovery">
        <w:r>
          <w:rPr>
            <w:rStyle w:val="Hyperlink"/>
          </w:rPr>
          <w:t xml:space="preserve">Figure S 4</w:t>
        </w:r>
      </w:hyperlink>
      <w:r>
        <w:t xml:space="preserve">), with credible intervals that reflect joint uncertainty in all four 4PL parameters and the temperature slope. Crucially,</w:t>
      </w:r>
      <w:r>
        <w:t xml:space="preserve"> </w:t>
      </w:r>
      <w:r>
        <w:rPr>
          <w:b/>
          <w:bCs/>
        </w:rPr>
        <w:t xml:space="preserve">we did not run a second regression</w:t>
      </w:r>
      <w:r>
        <w:t xml:space="preserve"> </w:t>
      </w:r>
      <w:r>
        <w:t xml:space="preserve">to get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They are properties of the same posterior we already have. This is the key practical advantage of the joint approach over the two-step pipeline: every classical TLS quantity is one transformation away from the fit we have already run, and every quantity inherits the same calibrated uncertainty.</w:t>
      </w:r>
    </w:p>
    <w:p>
      <w:pPr>
        <w:pStyle w:val="BodyText"/>
      </w:pPr>
      <w:r>
        <w:t xml:space="preserve">Given that we have the full distribution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can now report on uncertainty in their values</w:t>
      </w:r>
      <w:r>
        <w:t xml:space="preserve"> </w:t>
      </w:r>
      <w:r>
        <w:rPr>
          <w:i/>
          <w:iCs/>
        </w:rPr>
        <w:t xml:space="preserve">very</w:t>
      </w:r>
      <w:r>
        <w:t xml:space="preserve"> </w:t>
      </w:r>
      <w:r>
        <w:t xml:space="preserve">easily. All we need to do is take the standard deviation of this distribution for the standard error or we can even summaise with quantiles as follows:</w:t>
      </w:r>
    </w:p>
    <w:p>
      <w:pPr>
        <w:pStyle w:val="SourceCode"/>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(x),</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(x),</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Likelihood =</w:t>
      </w:r>
      <w:r>
        <w:rPr>
          <w:rStyle w:val="NormalTok"/>
        </w:rPr>
        <w:t xml:space="preserve"> likelihood,</w:t>
      </w:r>
      <w:r>
        <w:br/>
      </w:r>
      <w:r>
        <w:rPr>
          <w:rStyle w:val="NormalTok"/>
        </w:rPr>
        <w:t xml:space="preserve">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w:t>
      </w:r>
      <w:r>
        <w:br/>
      </w:r>
      <w:r>
        <w:rPr>
          <w:rStyle w:val="NormalTok"/>
        </w:rPr>
        <w:t xml:space="preserve">    </w:t>
      </w:r>
      <w:r>
        <w:rPr>
          <w:rStyle w:val="AttributeTok"/>
        </w:rPr>
        <w:t xml:space="preserve">Median     =</w:t>
      </w:r>
      <w:r>
        <w:rPr>
          <w:rStyle w:val="NormalTok"/>
        </w:rPr>
        <w:t xml:space="preserve"> median,</w:t>
      </w:r>
      <w:r>
        <w:br/>
      </w:r>
      <w:r>
        <w:rPr>
          <w:rStyle w:val="NormalTok"/>
        </w:rPr>
        <w:t xml:space="preserve">    </w:t>
      </w:r>
      <w:r>
        <w:rPr>
          <w:rStyle w:val="AttributeTok"/>
        </w:rPr>
        <w:t xml:space="preserve">Lower      =</w:t>
      </w:r>
      <w:r>
        <w:rPr>
          <w:rStyle w:val="NormalTok"/>
        </w:rPr>
        <w:t xml:space="preserve"> lower,</w:t>
      </w:r>
      <w:r>
        <w:br/>
      </w:r>
      <w:r>
        <w:rPr>
          <w:rStyle w:val="NormalTok"/>
        </w:rPr>
        <w:t xml:space="preserve">    </w:t>
      </w:r>
      <w:r>
        <w:rPr>
          <w:rStyle w:val="AttributeTok"/>
        </w:rPr>
        <w:t xml:space="preserve">Upper      =</w:t>
      </w:r>
      <w:r>
        <w:rPr>
          <w:rStyle w:val="NormalTok"/>
        </w:rPr>
        <w:t xml:space="preserve"> 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9" w:name="tbl-uncert-z-ct"/>
          <w:p>
            <w:pPr>
              <w:jc w:val="center"/>
            </w:pPr>
            <w:pPr>
              <w:jc w:val="start"/>
              <w:spacing w:before="200"/>
              <w:pStyle w:val="ImageCaption"/>
            </w:pPr>
            <w:r>
              <w:t xml:space="preserve">Table S 4: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joint Bayesian 4PL: posterior mean, standard deviation, median, and 95% credible interval (2.5% and 97.5% quantiles),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6.67</w:t>
                  </w:r>
                </w:p>
              </w:tc>
              <w:tc>
                <w:tcPr/>
                <w:p>
                  <w:pPr>
                    <w:pStyle w:val="Compact"/>
                    <w:jc w:val="center"/>
                  </w:pPr>
                  <w:r>
                    <w:t xml:space="preserve">0.0629</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0.032</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6.79</w:t>
                  </w:r>
                </w:p>
              </w:tc>
              <w:tc>
                <w:tcPr/>
                <w:p>
                  <w:pPr>
                    <w:pStyle w:val="Compact"/>
                    <w:jc w:val="center"/>
                  </w:pPr>
                  <w:r>
                    <w:t xml:space="preserve">0.1643</w:t>
                  </w:r>
                </w:p>
              </w:tc>
              <w:tc>
                <w:tcPr/>
                <w:p>
                  <w:pPr>
                    <w:pStyle w:val="Compact"/>
                    <w:jc w:val="center"/>
                  </w:pPr>
                  <w:r>
                    <w:t xml:space="preserve">6.78</w:t>
                  </w:r>
                </w:p>
              </w:tc>
              <w:tc>
                <w:tcPr/>
                <w:p>
                  <w:pPr>
                    <w:pStyle w:val="Compact"/>
                    <w:jc w:val="center"/>
                  </w:pPr>
                  <w:r>
                    <w:t xml:space="preserve">6.47</w:t>
                  </w:r>
                </w:p>
              </w:tc>
              <w:tc>
                <w:tcPr/>
                <w:p>
                  <w:pPr>
                    <w:pStyle w:val="Compact"/>
                    <w:jc w:val="center"/>
                  </w:pPr>
                  <w:r>
                    <w:t xml:space="preserve">7.12</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32.21</w:t>
                  </w:r>
                </w:p>
              </w:tc>
              <w:tc>
                <w:tcPr/>
                <w:p>
                  <w:pPr>
                    <w:pStyle w:val="Compact"/>
                    <w:jc w:val="center"/>
                  </w:pPr>
                  <w:r>
                    <w:t xml:space="preserve">0.0793</w:t>
                  </w:r>
                </w:p>
              </w:tc>
              <w:tc>
                <w:tcPr/>
                <w:p>
                  <w:pPr>
                    <w:pStyle w:val="Compact"/>
                    <w:jc w:val="center"/>
                  </w:pPr>
                  <w:r>
                    <w:t xml:space="preserve">32.21</w:t>
                  </w:r>
                </w:p>
              </w:tc>
              <w:tc>
                <w:tcPr/>
                <w:p>
                  <w:pPr>
                    <w:pStyle w:val="Compact"/>
                    <w:jc w:val="center"/>
                  </w:pPr>
                  <w:r>
                    <w:t xml:space="preserve">32.06</w:t>
                  </w:r>
                </w:p>
              </w:tc>
              <w:tc>
                <w:tcPr/>
                <w:p>
                  <w:pPr>
                    <w:pStyle w:val="Compact"/>
                    <w:jc w:val="center"/>
                  </w:pPr>
                  <w:r>
                    <w:t xml:space="preserve">32.37</w:t>
                  </w:r>
                </w:p>
              </w:tc>
            </w:tr>
          </w:tbl>
          <w:bookmarkEnd w:id="59"/>
          <w:p/>
        </w:tc>
      </w:tr>
    </w:tbl>
    <w:p>
      <w:pPr>
        <w:pStyle w:val="BodyText"/>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0.06 °C with a 95% credible interval 0.25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0.12 °C.</w:t>
      </w:r>
    </w:p>
    <w:p>
      <w:pPr>
        <w:pStyle w:val="BodyText"/>
      </w:pPr>
      <w:r>
        <w:t xml:space="preserve">The beta-binomial fit is slightly wider on both quantities (SD on</w:t>
      </w:r>
      <w:r>
        <w:t xml:space="preserve"> </w:t>
      </w:r>
      <m:oMath>
        <m:r>
          <m:t>z</m:t>
        </m:r>
      </m:oMath>
      <w:r>
        <w:t xml:space="preserve">: 0.16 °C; on</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62"/>
    <w:bookmarkStart w:id="65" w:name="sec-compare"/>
    <w:p>
      <w:pPr>
        <w:pStyle w:val="Heading3"/>
      </w:pPr>
      <w:r>
        <w:t xml:space="preserve">1.0.5</w:t>
      </w:r>
      <w:r>
        <w:t xml:space="preserve"> </w:t>
      </w:r>
      <w:r>
        <w:rPr>
          <w:i/>
          <w:iCs/>
        </w:rPr>
        <w:t xml:space="preserve">Comparing the two pipelines</w:t>
      </w:r>
    </w:p>
    <w:bookmarkStart w:id="64" w:name="sec-compare-table"/>
    <w:p>
      <w:pPr>
        <w:pStyle w:val="Heading4"/>
      </w:pPr>
      <w:r>
        <w:t xml:space="preserve">1.0.5.1 Point-estimate agreement on the same data</w:t>
      </w:r>
    </w:p>
    <w:p>
      <w:pPr>
        <w:pStyle w:val="FirstParagraph"/>
      </w:pPr>
      <w:hyperlink w:anchor="tbl-twostage-compare">
        <w:r>
          <w:rPr>
            <w:rStyle w:val="Hyperlink"/>
          </w:rPr>
          <w:t xml:space="preserve">Table S 5</w:t>
        </w:r>
      </w:hyperlink>
      <w:r>
        <w:t xml:space="preserve"> </w:t>
      </w:r>
      <w:r>
        <w:t xml:space="preserve">puts the two-stage point estimates next to the joint Bayesian posterior medians for both simulated datasets.</w:t>
      </w:r>
    </w:p>
    <w:tbl>
      <w:tblPr>
        <w:tblStyle w:val="Table"/>
        <w:tblW w:type="pct" w:w="5000"/>
        <w:tblLayout w:type="fixed"/>
        <w:tblLook w:firstRow="0" w:lastRow="0" w:firstColumn="0" w:lastColumn="0" w:noHBand="0" w:noVBand="0" w:val="0000"/>
      </w:tblPr>
      <w:tblGrid>
        <w:gridCol w:w="7920"/>
      </w:tblGrid>
      <w:tr>
        <w:tc>
          <w:tcPr/>
          <w:bookmarkStart w:id="63" w:name="tbl-twostage-compare"/>
          <w:p>
            <w:pPr>
              <w:jc w:val="center"/>
            </w:pPr>
            <w:pPr>
              <w:jc w:val="start"/>
              <w:spacing w:before="200"/>
              <w:pStyle w:val="ImageCaption"/>
            </w:pPr>
            <w:r>
              <w:t xml:space="preserve">Table S 5: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w:t>
                  </w:r>
                </w:p>
              </w:tc>
              <w:tc>
                <w:tcPr/>
                <w:p>
                  <w:pPr>
                    <w:pStyle w:val="Compact"/>
                    <w:jc w:val="center"/>
                  </w:pPr>
                  <w:r>
                    <w:t xml:space="preserve">6.67</w:t>
                  </w:r>
                </w:p>
              </w:tc>
              <w:tc>
                <w:tcPr/>
                <w:p>
                  <w:pPr>
                    <w:pStyle w:val="Compact"/>
                    <w:jc w:val="center"/>
                  </w:pPr>
                  <w:r>
                    <w:t xml:space="preserve">6.99</w:t>
                  </w:r>
                </w:p>
              </w:tc>
              <w:tc>
                <w:tcPr/>
                <w:p>
                  <w:pPr>
                    <w:pStyle w:val="Compact"/>
                    <w:jc w:val="center"/>
                  </w:pPr>
                  <w:r>
                    <w:t xml:space="preserve">6.78</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w:t>
                  </w:r>
                </w:p>
              </w:tc>
              <w:tc>
                <w:tcPr/>
                <w:p>
                  <w:pPr>
                    <w:pStyle w:val="Compact"/>
                    <w:jc w:val="center"/>
                  </w:pPr>
                  <w:r>
                    <w:t xml:space="preserve">32.15</w:t>
                  </w:r>
                </w:p>
              </w:tc>
              <w:tc>
                <w:tcPr/>
                <w:p>
                  <w:pPr>
                    <w:pStyle w:val="Compact"/>
                    <w:jc w:val="center"/>
                  </w:pPr>
                  <w:r>
                    <w:t xml:space="preserve">32.14</w:t>
                  </w:r>
                </w:p>
              </w:tc>
              <w:tc>
                <w:tcPr/>
                <w:p>
                  <w:pPr>
                    <w:pStyle w:val="Compact"/>
                    <w:jc w:val="center"/>
                  </w:pPr>
                  <w:r>
                    <w:t xml:space="preserve">32.21</w:t>
                  </w:r>
                </w:p>
              </w:tc>
            </w:tr>
          </w:tbl>
          <w:bookmarkEnd w:id="63"/>
          <w:p/>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64"/>
    <w:bookmarkEnd w:id="65"/>
    <w:bookmarkStart w:id="74" w:name="sec-joint-extend"/>
    <w:p>
      <w:pPr>
        <w:pStyle w:val="Heading3"/>
      </w:pPr>
      <w:r>
        <w:t xml:space="preserve">1.0.6</w:t>
      </w:r>
      <w:r>
        <w:t xml:space="preserve"> </w:t>
      </w:r>
      <w:r>
        <w:rPr>
          <w:i/>
          <w:iCs/>
        </w:rPr>
        <w:t xml:space="preserve">Extending the model: temperature-varying shape parameters</w:t>
      </w:r>
    </w:p>
    <w:p>
      <w:pPr>
        <w:pStyle w:val="FirstParagraph"/>
      </w:pPr>
      <w:r>
        <w:t xml:space="preserve">The closed-form derivations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assumed that</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are scalars — they do not depend on</w:t>
      </w:r>
      <w:r>
        <w:t xml:space="preserve"> </w:t>
      </w:r>
      <m:oMath>
        <m:r>
          <m:t>T</m:t>
        </m:r>
      </m:oMath>
      <w:r>
        <w:t xml:space="preserve">, so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is a single number rather than a function of temperature. This is convenient but not required. If</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also vary with temperature, then we need to predict how each of these parameters changes with temperature and apply a temperature-varying correction factor. Linear effects of temperature on the shape parameters of the dose-response curve are mechanistically interpretable and biologically plausible. Three concrete examples come to mind:</w:t>
      </w:r>
    </w:p>
    <w:p>
      <w:pPr>
        <w:pStyle w:val="Compact"/>
        <w:numPr>
          <w:ilvl w:val="0"/>
          <w:numId w:val="1002"/>
        </w:numPr>
      </w:pPr>
      <w:r>
        <w:rPr>
          <w:rStyle w:val="VerbatimChar"/>
          <w:b/>
          <w:bCs/>
        </w:rPr>
        <w:t xml:space="preserve">u ~ T_c</w:t>
      </w:r>
      <w:r>
        <w:t xml:space="preserve"> </w:t>
      </w:r>
      <w:r>
        <w:t xml:space="preserve">lets the upper asymptote (baseline survival at very short exposures) decline with rising assay temperature. This may be quite a sensible assumption if brief exposures at high</w:t>
      </w:r>
      <w:r>
        <w:t xml:space="preserve"> </w:t>
      </w:r>
      <m:oMath>
        <m:r>
          <m:t>T</m:t>
        </m:r>
      </m:oMath>
      <w:r>
        <w:t xml:space="preserve"> </w:t>
      </w:r>
      <w:r>
        <w:t xml:space="preserve">cause some immediate mortality.</w:t>
      </w:r>
    </w:p>
    <w:p>
      <w:pPr>
        <w:pStyle w:val="Compact"/>
        <w:numPr>
          <w:ilvl w:val="0"/>
          <w:numId w:val="1002"/>
        </w:numPr>
      </w:pPr>
      <w:r>
        <w:rPr>
          <w:rStyle w:val="VerbatimChar"/>
          <w:b/>
          <w:bCs/>
        </w:rPr>
        <w:t xml:space="preserve">ell ~ T_c</w:t>
      </w:r>
      <w:r>
        <w:t xml:space="preserve"> </w:t>
      </w:r>
      <w:r>
        <w:t xml:space="preserve">lets the residual surviving fraction at very long exposures depend on</w:t>
      </w:r>
      <w:r>
        <w:t xml:space="preserve"> </w:t>
      </w:r>
      <m:oMath>
        <m:r>
          <m:t>T</m:t>
        </m:r>
      </m:oMath>
      <w:r>
        <w:t xml:space="preserve">. While this seems less plausible, if there is individual variation (which seems likely) some fraction may still survive, partiuclarly at less extreme temperatures, which could shift the lower baseline across each temperature treatment.</w:t>
      </w:r>
    </w:p>
    <w:p>
      <w:pPr>
        <w:pStyle w:val="Compact"/>
        <w:numPr>
          <w:ilvl w:val="0"/>
          <w:numId w:val="1002"/>
        </w:numPr>
      </w:pPr>
      <w:r>
        <w:rPr>
          <w:rStyle w:val="VerbatimChar"/>
          <w:b/>
          <w:bCs/>
        </w:rPr>
        <w:t xml:space="preserve">k ~ T_c</w:t>
      </w:r>
      <w:r>
        <w:t xml:space="preserve"> </w:t>
      </w:r>
      <w:r>
        <w:t xml:space="preserve">lets the dose-response steepness depend on</w:t>
      </w:r>
      <w:r>
        <w:t xml:space="preserve"> </w:t>
      </w:r>
      <m:oMath>
        <m:r>
          <m:t>T</m:t>
        </m:r>
      </m:oMath>
      <w:r>
        <w:t xml:space="preserve">. Biologically this is the most interesting case: protein denaturation kinetics often look more threshold-like (sharper</w:t>
      </w:r>
      <w:r>
        <w:t xml:space="preserve"> </w:t>
      </w:r>
      <m:oMath>
        <m:r>
          <m:t>k</m:t>
        </m:r>
      </m:oMath>
      <w:r>
        <w:t xml:space="preserve">) near a protein’s melting temperature, so the slope at extreme assay temperatures may be steeper than at moderate ones and there is some suggestions that this could be true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kingsolver_umbanhowar_2018">
        <w:r>
          <w:rPr>
            <w:rStyle w:val="Hyperlink"/>
          </w:rPr>
          <w:t xml:space="preserve">Kingsolver &amp; Umbanhowar 2018</w:t>
        </w:r>
      </w:hyperlink>
      <w:r>
        <w:t xml:space="preserve">)</w:t>
      </w:r>
      <w:r>
        <w:t xml:space="preserve">.</w:t>
      </w:r>
    </w:p>
    <w:p>
      <w:pPr>
        <w:pStyle w:val="FirstParagraph"/>
      </w:pPr>
      <w:r>
        <w:t xml:space="preserve">When any shape parameter depends on</w:t>
      </w:r>
      <w:r>
        <w:t xml:space="preserve"> </w:t>
      </w:r>
      <m:oMath>
        <m:r>
          <m:t>T</m:t>
        </m:r>
      </m:oMath>
      <w:r>
        <w:t xml:space="preserve"> </w:t>
      </w:r>
      <w:r>
        <w:t xml:space="preserve">the asymmetry correction itself becomes a function of</w:t>
      </w:r>
      <w:r>
        <w:t xml:space="preserve"> </w:t>
      </w:r>
      <m:oMath>
        <m:r>
          <m:t>T</m:t>
        </m:r>
      </m:oMath>
      <w:r>
        <w:t xml:space="preserve">:</w:t>
      </w:r>
    </w:p>
    <w:p>
      <w:pPr>
        <w:pStyle w:val="BodyText"/>
      </w:pPr>
      <w:bookmarkStart w:id="66"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3</m:t>
              </m:r>
            </m:e>
          </m:d>
        </m:oMath>
      </m:oMathPara>
      <w:bookmarkEnd w:id="66"/>
    </w:p>
    <w:p>
      <w:pPr>
        <w:pStyle w:val="FirstParagraph"/>
      </w:pPr>
      <w:r>
        <w:t xml:space="preserve">The midpoint piece</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is still a straight line in</w:t>
      </w:r>
      <w:r>
        <w:t xml:space="preserve"> </w:t>
      </w:r>
      <m:oMath>
        <m:r>
          <m:t>T</m:t>
        </m:r>
      </m:oMath>
      <w:r>
        <w:t xml:space="preserve">, but the asymmetry-correction piece now varies with</w:t>
      </w:r>
      <w:r>
        <w:t xml:space="preserve"> </w:t>
      </w:r>
      <m:oMath>
        <m:r>
          <m:t>T</m:t>
        </m:r>
      </m:oMath>
      <w:r>
        <w:t xml:space="preserve"> </w:t>
      </w:r>
      <w:r>
        <w:t xml:space="preserve">through</w:t>
      </w:r>
      <w:r>
        <w:t xml:space="preserve"> </w:t>
      </w:r>
      <m:oMath>
        <m:r>
          <m:t>k</m:t>
        </m:r>
        <m:d>
          <m:dPr>
            <m:begChr m:val="("/>
            <m:sepChr m:val=""/>
            <m:endChr m:val=")"/>
            <m:grow/>
          </m:dPr>
          <m:e>
            <m:r>
              <m:t>T</m:t>
            </m:r>
          </m:e>
        </m:d>
        <m:r>
          <m:rPr>
            <m:sty m:val="p"/>
          </m:rPr>
          <m:t>,</m:t>
        </m:r>
        <m:r>
          <m:t>u</m:t>
        </m:r>
        <m:d>
          <m:dPr>
            <m:begChr m:val="("/>
            <m:sepChr m:val=""/>
            <m:endChr m:val=")"/>
            <m:grow/>
          </m:dPr>
          <m:e>
            <m:r>
              <m:t>T</m:t>
            </m:r>
          </m:e>
        </m:d>
        <m:r>
          <m:rPr>
            <m:sty m:val="p"/>
          </m:rPr>
          <m:t>,</m:t>
        </m:r>
        <m:r>
          <m:rPr>
            <m:sty m:val="p"/>
          </m:rPr>
          <m:t>ℓ</m:t>
        </m:r>
        <m:d>
          <m:dPr>
            <m:begChr m:val="("/>
            <m:sepChr m:val=""/>
            <m:endChr m:val=")"/>
            <m:grow/>
          </m:dPr>
          <m:e>
            <m:r>
              <m:t>T</m:t>
            </m:r>
          </m:e>
        </m:d>
      </m:oMath>
      <w:r>
        <w:t xml:space="preserve">. Their sum is therefore non-linear in</w:t>
      </w:r>
      <w:r>
        <w:t xml:space="preserve"> </w:t>
      </w:r>
      <m:oMath>
        <m:r>
          <m:t>T</m:t>
        </m:r>
      </m:oMath>
      <w:r>
        <w:t xml:space="preserve">. Two consequences follow, and they affect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differently:</w:t>
      </w:r>
      <w:r>
        <w:t xml:space="preserve"> </w:t>
      </w:r>
      <m:oMath>
        <m:r>
          <m:t>z</m:t>
        </m:r>
      </m:oMath>
      <w:r>
        <w:t xml:space="preserve"> </w:t>
      </w:r>
      <w:r>
        <w:t xml:space="preserve">becomes a</w:t>
      </w:r>
      <w:r>
        <w:t xml:space="preserve"> </w:t>
      </w:r>
      <w:r>
        <w:rPr>
          <w:i/>
          <w:iCs/>
        </w:rPr>
        <w:t xml:space="preserve">function</w:t>
      </w:r>
      <w:r>
        <w:t xml:space="preserve"> </w:t>
      </w:r>
      <w:r>
        <w:t xml:space="preserve">of temperature (no longer a single slope but a local value at each</w:t>
      </w:r>
      <w:r>
        <w:t xml:space="preserve"> </w:t>
      </w:r>
      <m:oMath>
        <m:r>
          <m:t>T</m:t>
        </m:r>
      </m:oMath>
      <w:r>
        <w:t xml:space="preserve">). In contrast,</w:t>
      </w:r>
      <w:r>
        <w:t xml:space="preserve"> </w:t>
      </w:r>
      <m:oMath>
        <m:r>
          <m:t>C</m:t>
        </m:r>
        <m:sSub>
          <m:e>
            <m:r>
              <m:t>T</m:t>
            </m:r>
          </m:e>
          <m:sub>
            <m:r>
              <m:t>m</m:t>
            </m:r>
            <m:r>
              <m:t>a</m:t>
            </m:r>
            <m:sSub>
              <m:e>
                <m:r>
                  <m:t>x</m:t>
                </m:r>
              </m:e>
              <m:sub>
                <m:r>
                  <m:t>1</m:t>
                </m:r>
                <m:r>
                  <m:t>h</m:t>
                </m:r>
                <m:r>
                  <m:t>r</m:t>
                </m:r>
              </m:sub>
            </m:sSub>
          </m:sub>
        </m:sSub>
      </m:oMath>
      <w:r>
        <w:t xml:space="preserve"> </w:t>
      </w:r>
      <w:r>
        <w:t xml:space="preserve">remains a</w:t>
      </w:r>
      <w:r>
        <w:t xml:space="preserve"> </w:t>
      </w:r>
      <w:r>
        <w:rPr>
          <w:i/>
          <w:iCs/>
        </w:rPr>
        <w:t xml:space="preserve">single</w:t>
      </w:r>
      <w:r>
        <w:t xml:space="preserve"> </w:t>
      </w:r>
      <w:r>
        <w:t xml:space="preserve">number but its value just shifts because the underlying curve is now bent rather than straight.</w:t>
      </w:r>
    </w:p>
    <w:p>
      <w:pPr>
        <w:pStyle w:val="Compact"/>
        <w:numPr>
          <w:ilvl w:val="0"/>
          <w:numId w:val="1003"/>
        </w:numPr>
      </w:pPr>
      <m:oMath>
        <m:r>
          <m:t>z</m:t>
        </m:r>
      </m:oMath>
      <w:r>
        <w:rPr>
          <w:b/>
          <w:bCs/>
        </w:rPr>
        <w:t xml:space="preserve"> </w:t>
      </w:r>
      <w:r>
        <w:rPr>
          <w:b/>
          <w:bCs/>
        </w:rPr>
        <w:t xml:space="preserve">becomes a function of temperature.</w:t>
      </w:r>
      <w:r>
        <w:t xml:space="preserve"> </w:t>
      </w:r>
      <w:r>
        <w:t xml:space="preserve">Since</w:t>
      </w:r>
      <w:r>
        <w:t xml:space="preserve"> </w:t>
      </w:r>
      <m:oMath>
        <m:r>
          <m:t>z</m:t>
        </m:r>
      </m:oMath>
      <w:r>
        <w:t xml:space="preserve"> </w:t>
      </w:r>
      <w:r>
        <w:t xml:space="preserve">is defined by the local rate of change of</w:t>
      </w:r>
      <w:r>
        <w:t xml:space="preserve"> </w:t>
      </w:r>
      <m:oMath>
        <m:sSub>
          <m:e>
            <m:r>
              <m:rPr>
                <m:sty m:val="p"/>
              </m:rPr>
              <m:t>log</m:t>
            </m:r>
          </m:e>
          <m:sub>
            <m:r>
              <m:t>10</m:t>
            </m:r>
          </m:sub>
        </m:sSub>
        <m:r>
          <m:rPr>
            <m:nor/>
            <m:sty m:val="p"/>
          </m:rPr>
          <m:t>LT50</m:t>
        </m:r>
      </m:oMath>
      <w:r>
        <w:t xml:space="preserve"> </w:t>
      </w:r>
      <w:r>
        <w:t xml:space="preserve">with</w:t>
      </w:r>
      <w:r>
        <w:t xml:space="preserve"> </w:t>
      </w:r>
      <m:oMath>
        <m:r>
          <m:t>T</m:t>
        </m:r>
      </m:oMath>
      <w:r>
        <w:t xml:space="preserve">,</w:t>
      </w:r>
      <w:r>
        <w:t xml:space="preserve"> </w:t>
      </w:r>
      <m:oMath>
        <m:r>
          <m:t>z</m:t>
        </m:r>
        <m:d>
          <m:dPr>
            <m:begChr m:val="("/>
            <m:sepChr m:val=""/>
            <m:endChr m:val=")"/>
            <m:grow/>
          </m:dPr>
          <m:e>
            <m:r>
              <m:t>T</m:t>
            </m:r>
          </m:e>
        </m:d>
        <m:r>
          <m:rPr>
            <m:sty m:val="p"/>
          </m:rPr>
          <m:t>=</m:t>
        </m:r>
        <m:r>
          <m:rPr>
            <m:sty m:val="p"/>
          </m:rPr>
          <m:t>−</m:t>
        </m:r>
        <m:r>
          <m:t>1</m:t>
        </m:r>
        <m:r>
          <m:rPr>
            <m:sty m:val="p"/>
          </m:rPr>
          <m:t>/</m:t>
        </m:r>
        <m:f>
          <m:fPr>
            <m:type m:val="lin"/>
          </m:fPr>
          <m:num>
            <m:r>
              <m:t>d</m:t>
            </m:r>
            <m:sSub>
              <m:e>
                <m:r>
                  <m:rPr>
                    <m:sty m:val="p"/>
                  </m:rPr>
                  <m:t>log</m:t>
                </m:r>
              </m:e>
              <m:sub>
                <m:r>
                  <m:t>10</m:t>
                </m:r>
              </m:sub>
            </m:sSub>
            <m:r>
              <m:rPr>
                <m:nor/>
                <m:sty m:val="p"/>
              </m:rPr>
              <m:t>LT50</m:t>
            </m:r>
            <m:d>
              <m:dPr>
                <m:begChr m:val="("/>
                <m:sepChr m:val=""/>
                <m:endChr m:val=")"/>
                <m:grow/>
              </m:dPr>
              <m:e>
                <m:r>
                  <m:t>T</m:t>
                </m:r>
              </m:e>
            </m:d>
          </m:num>
          <m:den>
            <m:r>
              <m:t>d</m:t>
            </m:r>
            <m:r>
              <m:t>T</m:t>
            </m:r>
          </m:den>
        </m:f>
      </m:oMath>
      <w:r>
        <w:t xml:space="preserve">. In other words, the local slope of</w:t>
      </w:r>
      <w:r>
        <w:t xml:space="preserve"> </w:t>
      </w:r>
      <m:oMath>
        <m:sSub>
          <m:e>
            <m:r>
              <m:rPr>
                <m:sty m:val="p"/>
              </m:rPr>
              <m:t>log</m:t>
            </m:r>
          </m:e>
          <m:sub>
            <m:r>
              <m:t>10</m:t>
            </m:r>
          </m:sub>
        </m:sSub>
        <m:r>
          <m:rPr>
            <m:nor/>
            <m:sty m:val="p"/>
          </m:rPr>
          <m:t>LT50</m:t>
        </m:r>
      </m:oMath>
      <w:r>
        <w:t xml:space="preserve"> </w:t>
      </w:r>
      <w:r>
        <w:t xml:space="preserve">at any given</w:t>
      </w:r>
      <w:r>
        <w:t xml:space="preserve"> </w:t>
      </w:r>
      <m:oMath>
        <m:r>
          <m:t>T</m:t>
        </m:r>
      </m:oMath>
      <w:r>
        <w:t xml:space="preserve"> </w:t>
      </w:r>
      <w:r>
        <w:t xml:space="preserve">varies across the assay range because the shape of the dose-response curve changes with</w:t>
      </w:r>
      <w:r>
        <w:t xml:space="preserve"> </w:t>
      </w:r>
      <m:oMath>
        <m:r>
          <m:t>T</m:t>
        </m:r>
      </m:oMath>
      <w:r>
        <w:t xml:space="preserve">. This curvature leads to the infinitesimal rates (local slopes) changing which affects the overall sensitivity,</w:t>
      </w:r>
      <w:r>
        <w:t xml:space="preserve"> </w:t>
      </w:r>
      <w:r>
        <w:rPr>
          <w:i/>
          <w:iCs/>
        </w:rPr>
        <w:t xml:space="preserve">z</w:t>
      </w:r>
      <w:r>
        <w:t xml:space="preserve">. In these cases, it’s better to estimate the local slope first. An overall</w:t>
      </w:r>
      <w:r>
        <w:t xml:space="preserve"> </w:t>
      </w:r>
      <m:oMath>
        <m:r>
          <m:t>z</m:t>
        </m:r>
      </m:oMath>
      <w:r>
        <w:t xml:space="preserve"> </w:t>
      </w:r>
      <w:r>
        <w:t xml:space="preserve">can then be obtained by averaging the local slopes if a single summary is needed (pooling the posteriors).</w:t>
      </w:r>
    </w:p>
    <w:p>
      <w:pPr>
        <w:pStyle w:val="Compact"/>
        <w:numPr>
          <w:ilvl w:val="0"/>
          <w:numId w:val="1003"/>
        </w:numPr>
      </w:pPr>
      <m:oMath>
        <m:r>
          <m:t>C</m:t>
        </m:r>
        <m:sSub>
          <m:e>
            <m:r>
              <m:t>T</m:t>
            </m:r>
          </m:e>
          <m:sub>
            <m:r>
              <m:t>m</m:t>
            </m:r>
            <m:r>
              <m:t>a</m:t>
            </m:r>
            <m:r>
              <m:t>x</m:t>
            </m:r>
          </m:sub>
        </m:sSub>
      </m:oMath>
      <w:r>
        <w:rPr>
          <w:b/>
          <w:bCs/>
        </w:rPr>
        <w:t xml:space="preserve"> </w:t>
      </w:r>
      <w:r>
        <w:rPr>
          <w:b/>
          <w:bCs/>
        </w:rPr>
        <w:t xml:space="preserve">has no closed form.</w:t>
      </w:r>
      <w:r>
        <w:t xml:space="preserve"> </w:t>
      </w:r>
      <w:r>
        <w:t xml:space="preserve">We now need to solve</w:t>
      </w:r>
      <w:r>
        <w:t xml:space="preserve"> </w:t>
      </w:r>
      <m:oMath>
        <m:sSub>
          <m:e>
            <m:r>
              <m:rPr>
                <m:sty m:val="p"/>
              </m:rPr>
              <m:t>log</m:t>
            </m:r>
          </m:e>
          <m:sub>
            <m:r>
              <m:t>10</m:t>
            </m:r>
          </m:sub>
        </m:sSub>
        <m:r>
          <m:rPr>
            <m:nor/>
            <m:sty m:val="p"/>
          </m:rPr>
          <m:t>LT50</m:t>
        </m:r>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w:t>
      </w:r>
      <w:r>
        <w:t xml:space="preserve">for</w:t>
      </w:r>
      <w:r>
        <w:t xml:space="preserve"> </w:t>
      </w:r>
      <m:oMath>
        <m:r>
          <m:t>T</m:t>
        </m:r>
      </m:oMath>
      <w:r>
        <w:t xml:space="preserve"> </w:t>
      </w:r>
      <w:r>
        <w:t xml:space="preserve">per posterior draw — recovered numerically by predicting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from the model on a fine</w:t>
      </w:r>
      <w:r>
        <w:t xml:space="preserve"> </w:t>
      </w:r>
      <m:oMath>
        <m:r>
          <m:t>T</m:t>
        </m:r>
      </m:oMath>
      <w:r>
        <w:t xml:space="preserve"> </w:t>
      </w:r>
      <w:r>
        <w:t xml:space="preserve">grid and inverting with</w:t>
      </w:r>
      <w:r>
        <w:t xml:space="preserve"> </w:t>
      </w:r>
      <w:r>
        <w:rPr>
          <w:rStyle w:val="VerbatimChar"/>
        </w:rPr>
        <w:t xml:space="preserve">approx()</w:t>
      </w:r>
      <w:r>
        <w:t xml:space="preserve">. The output is the same kind of posterior we already have, just produced numerically rather than algebraically.</w:t>
      </w:r>
    </w:p>
    <w:bookmarkStart w:id="67" w:name="sec-joint-extend-recipe"/>
    <w:p>
      <w:pPr>
        <w:pStyle w:val="Heading4"/>
      </w:pPr>
      <w:r>
        <w:t xml:space="preserve">1.0.6.1 A numerical recipe for</w:t>
      </w:r>
      <w:r>
        <w:t xml:space="preserve"> </w:t>
      </w:r>
      <m:oMath>
        <m:r>
          <m:t>z</m:t>
        </m:r>
      </m:oMath>
      <w:r>
        <w:t xml:space="preserve"> </w:t>
      </w:r>
      <w:r>
        <w:t xml:space="preserve">and</w:t>
      </w:r>
      <w:r>
        <w:t xml:space="preserve"> </w:t>
      </w:r>
      <m:oMath>
        <m:r>
          <m:t>C</m:t>
        </m:r>
        <m:sSub>
          <m:e>
            <m:r>
              <m:t>T</m:t>
            </m:r>
          </m:e>
          <m:sub>
            <m:r>
              <m:t>m</m:t>
            </m:r>
            <m:r>
              <m:t>a</m:t>
            </m:r>
            <m:r>
              <m:t>x</m:t>
            </m:r>
          </m:sub>
        </m:sSub>
      </m:oMath>
    </w:p>
    <w:p>
      <w:pPr>
        <w:pStyle w:val="FirstParagraph"/>
      </w:pPr>
      <w:r>
        <w:t xml:space="preserve">The simplest way to recover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a fitted model — whether shape parameters are constant or vary with</w:t>
      </w:r>
      <w:r>
        <w:t xml:space="preserve"> </w:t>
      </w:r>
      <m:oMath>
        <m:r>
          <m:t>T</m:t>
        </m:r>
      </m:oMath>
      <w:r>
        <w:t xml:space="preserve"> </w:t>
      </w:r>
      <w:r>
        <w:t xml:space="preserve">— is to</w:t>
      </w:r>
      <w:r>
        <w:t xml:space="preserve"> </w:t>
      </w:r>
      <w:r>
        <w:rPr>
          <w:b/>
          <w:bCs/>
        </w:rPr>
        <w:t xml:space="preserve">predict survival probabilities from the model</w:t>
      </w:r>
      <w:r>
        <w:t xml:space="preserve"> </w:t>
      </w:r>
      <w:r>
        <w:t xml:space="preserve">on a fine</w:t>
      </w:r>
      <w:r>
        <w:t xml:space="preserve"> </w:t>
      </w:r>
      <m:oMath>
        <m:d>
          <m:dPr>
            <m:begChr m:val="("/>
            <m:sepChr m:val=""/>
            <m:endChr m:val=")"/>
            <m:grow/>
          </m:dPr>
          <m:e>
            <m:r>
              <m:t>T</m:t>
            </m:r>
            <m:r>
              <m:rPr>
                <m:sty m:val="p"/>
              </m:rPr>
              <m:t>,</m:t>
            </m:r>
            <m:r>
              <m:t>t</m:t>
            </m:r>
          </m:e>
        </m:d>
      </m:oMath>
      <w:r>
        <w:t xml:space="preserve"> </w:t>
      </w:r>
      <w:r>
        <w:t xml:space="preserve">grid and interpolate. We can use</w:t>
      </w:r>
      <w:r>
        <w:t xml:space="preserve"> </w:t>
      </w:r>
      <w:r>
        <w:rPr>
          <w:rStyle w:val="VerbatimChar"/>
        </w:rPr>
        <w:t xml:space="preserve">tidybayes::add_epred_draws()</w:t>
      </w:r>
      <w:r>
        <w:t xml:space="preserve"> </w:t>
      </w:r>
      <w:r>
        <w:t xml:space="preserve">for the prediction and base R’s</w:t>
      </w:r>
      <w:r>
        <w:t xml:space="preserve"> </w:t>
      </w:r>
      <w:r>
        <w:rPr>
          <w:rStyle w:val="VerbatimChar"/>
        </w:rPr>
        <w:t xml:space="preserve">approx()</w:t>
      </w:r>
      <w:r>
        <w:t xml:space="preserve"> </w:t>
      </w:r>
      <w:r>
        <w:t xml:space="preserve">for the interpolation. The same code runs whether the fit has constant shape parameters or shape parameters that vary with</w:t>
      </w:r>
      <w:r>
        <w:t xml:space="preserve"> </w:t>
      </w:r>
      <m:oMath>
        <m:r>
          <m:t>T</m:t>
        </m:r>
      </m:oMath>
      <w:r>
        <w:t xml:space="preserve">.</w:t>
      </w:r>
    </w:p>
    <w:p>
      <w:pPr>
        <w:pStyle w:val="SourceCode"/>
      </w:pPr>
      <w:r>
        <w:rPr>
          <w:rStyle w:val="CommentTok"/>
        </w:rPr>
        <w:t xml:space="preserve"># Temperatures at which we'll evaluate z. When shape parameters depend on T,</w:t>
      </w:r>
      <w:r>
        <w:br/>
      </w:r>
      <w:r>
        <w:rPr>
          <w:rStyle w:val="CommentTok"/>
        </w:rPr>
        <w:t xml:space="preserve"># z is itself a function of T, so we compute it at each of the original assay</w:t>
      </w:r>
      <w:r>
        <w:br/>
      </w:r>
      <w:r>
        <w:rPr>
          <w:rStyle w:val="CommentTok"/>
        </w:rPr>
        <w:t xml:space="preserve"># temperatures and report the full set rather than a single number.</w:t>
      </w:r>
      <w:r>
        <w:br/>
      </w:r>
      <w:r>
        <w:rPr>
          <w:rStyle w:val="NormalTok"/>
        </w:rPr>
        <w:t xml:space="preserve">T_eval </w:t>
      </w:r>
      <w:r>
        <w:rPr>
          <w:rStyle w:val="OtherTok"/>
        </w:rPr>
        <w:t xml:space="preserve">&lt;-</w:t>
      </w:r>
      <w:r>
        <w:rPr>
          <w:rStyle w:val="NormalTok"/>
        </w:rPr>
        <w:t xml:space="preserve"> temps</w:t>
      </w:r>
      <w:r>
        <w:br/>
      </w:r>
      <w:r>
        <w:rPr>
          <w:rStyle w:val="NormalTok"/>
        </w:rPr>
        <w:t xml:space="preserve">half_step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half-width (°C) of the central finite difference window</w:t>
      </w:r>
      <w:r>
        <w:br/>
      </w:r>
      <w:r>
        <w:br/>
      </w:r>
      <w:r>
        <w:rPr>
          <w:rStyle w:val="CommentTok"/>
        </w:rPr>
        <w:t xml:space="preserve"># Build a (T, t) grid covering the assay window. The columns log10_t, T_c, and</w:t>
      </w:r>
      <w:r>
        <w:br/>
      </w:r>
      <w:r>
        <w:rPr>
          <w:rStyle w:val="CommentTok"/>
        </w:rPr>
        <w:t xml:space="preserve"># n must match the variables the fitted model expects on its input side — they</w:t>
      </w:r>
      <w:r>
        <w:br/>
      </w:r>
      <w:r>
        <w:rPr>
          <w:rStyle w:val="CommentTok"/>
        </w:rPr>
        <w:t xml:space="preserve"># are exactly the same as the columns of `design` used to fit the model.</w:t>
      </w:r>
      <w:r>
        <w:br/>
      </w:r>
      <w:r>
        <w:rPr>
          <w:rStyle w:val="NormalTok"/>
        </w:rPr>
        <w:t xml:space="preserve">pred_grid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CommentTok"/>
        </w:rPr>
        <w:t xml:space="preserve"># Now, from the fitted model, draw posterior expected survival probabilities</w:t>
      </w:r>
      <w:r>
        <w:br/>
      </w:r>
      <w:r>
        <w:rPr>
          <w:rStyle w:val="CommentTok"/>
        </w:rPr>
        <w:t xml:space="preserve"># at every point in the (T, t) grid. `add_epred_draws()` returns a long tibble</w:t>
      </w:r>
      <w:r>
        <w:br/>
      </w:r>
      <w:r>
        <w:rPr>
          <w:rStyle w:val="CommentTok"/>
        </w:rPr>
        <w:t xml:space="preserve"># with one row per (grid point × posterior draw); the column .epred is the</w:t>
      </w:r>
      <w:r>
        <w:br/>
      </w:r>
      <w:r>
        <w:rPr>
          <w:rStyle w:val="CommentTok"/>
        </w:rPr>
        <w:t xml:space="preserve"># predicted survival probability under that draw. ndraws keeps it manageable.</w:t>
      </w:r>
      <w:r>
        <w:br/>
      </w:r>
      <w:r>
        <w:rPr>
          <w:rStyle w:val="NormalTok"/>
        </w:rPr>
        <w:t xml:space="preserve">epred </w:t>
      </w:r>
      <w:r>
        <w:rPr>
          <w:rStyle w:val="OtherTok"/>
        </w:rPr>
        <w:t xml:space="preserve">&lt;-</w:t>
      </w:r>
      <w:r>
        <w:rPr>
          <w:rStyle w:val="NormalTok"/>
        </w:rPr>
        <w:t xml:space="preserve"> pred_grid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(fit_bin,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CommentTok"/>
        </w:rPr>
        <w:t xml:space="preserve"># For each (draw, T) we find the duration t at which predicted survival</w:t>
      </w:r>
      <w:r>
        <w:br/>
      </w:r>
      <w:r>
        <w:rPr>
          <w:rStyle w:val="CommentTok"/>
        </w:rPr>
        <w:t xml:space="preserve"># crosses 0.5 — that's log10(LT50)(T) for that draw. Linear interpolation</w:t>
      </w:r>
      <w:r>
        <w:br/>
      </w:r>
      <w:r>
        <w:rPr>
          <w:rStyle w:val="CommentTok"/>
        </w:rPr>
        <w:t xml:space="preserve"># through the grid via approx() avoids any need for root-finding.</w:t>
      </w:r>
      <w:r>
        <w:br/>
      </w:r>
      <w:r>
        <w:rPr>
          <w:rStyle w:val="NormalTok"/>
        </w:rPr>
        <w:t xml:space="preserve">lt50_T </w:t>
      </w:r>
      <w:r>
        <w:rPr>
          <w:rStyle w:val="OtherTok"/>
        </w:rPr>
        <w:t xml:space="preserve">&lt;-</w:t>
      </w:r>
      <w:r>
        <w:rPr>
          <w:rStyle w:val="NormalTok"/>
        </w:rPr>
        <w:t xml:space="preserve"> epred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Per posterior draw, compute z at each evaluation temperature in T_eval via</w:t>
      </w:r>
      <w:r>
        <w:br/>
      </w:r>
      <w:r>
        <w:rPr>
          <w:rStyle w:val="CommentTok"/>
        </w:rPr>
        <w:t xml:space="preserve"># a central finite difference on the lt50_T grid. For each T_at we approx()</w:t>
      </w:r>
      <w:r>
        <w:br/>
      </w:r>
      <w:r>
        <w:rPr>
          <w:rStyle w:val="CommentTok"/>
        </w:rPr>
        <w:t xml:space="preserve"># log10(LT50) at T_at ± half_step and divide the difference by the full step</w:t>
      </w:r>
      <w:r>
        <w:br/>
      </w:r>
      <w:r>
        <w:rPr>
          <w:rStyle w:val="CommentTok"/>
        </w:rPr>
        <w:t xml:space="preserve"># (2 * half_step, in °C) to get the slope; z = -1 / slope.</w:t>
      </w:r>
      <w:r>
        <w:br/>
      </w:r>
      <w:r>
        <w:rPr>
          <w:rStyle w:val="NormalTok"/>
        </w:rPr>
        <w:t xml:space="preserve">z_per_draw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CommentTok"/>
        </w:rPr>
        <w:t xml:space="preserve"># Per posterior draw, CTmax_1hr is the temperature at which log10(LT50) =</w:t>
      </w:r>
      <w:r>
        <w:br/>
      </w:r>
      <w:r>
        <w:rPr>
          <w:rStyle w:val="CommentTok"/>
        </w:rPr>
        <w:t xml:space="preserve"># log10(60). It is a single number per draw (does not depend on T_eval).</w:t>
      </w:r>
      <w:r>
        <w:br/>
      </w:r>
      <w:r>
        <w:rPr>
          <w:rStyle w:val="NormalTok"/>
        </w:rPr>
        <w:t xml:space="preserve">ctmax_per_draw </w:t>
      </w:r>
      <w:r>
        <w:rPr>
          <w:rStyle w:val="OtherTok"/>
        </w:rPr>
        <w:t xml:space="preserve">&lt;-</w:t>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summary of z at each evaluation temperature: median and 95% CrI.</w:t>
      </w:r>
      <w:r>
        <w:br/>
      </w:r>
      <w:r>
        <w:rPr>
          <w:rStyle w:val="NormalTok"/>
        </w:rPr>
        <w:t xml:space="preserve">z_per_draw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1    30  6.67  6.56  6.79</w:t>
      </w:r>
      <w:r>
        <w:br/>
      </w:r>
      <w:r>
        <w:rPr>
          <w:rStyle w:val="VerbatimChar"/>
        </w:rPr>
        <w:t xml:space="preserve">2    32  6.67  6.56  6.79</w:t>
      </w:r>
      <w:r>
        <w:br/>
      </w:r>
      <w:r>
        <w:rPr>
          <w:rStyle w:val="VerbatimChar"/>
        </w:rPr>
        <w:t xml:space="preserve">3    34  6.67  6.56  6.79</w:t>
      </w:r>
      <w:r>
        <w:br/>
      </w:r>
      <w:r>
        <w:rPr>
          <w:rStyle w:val="VerbatimChar"/>
        </w:rPr>
        <w:t xml:space="preserve">4    36  6.67  6.56  6.79</w:t>
      </w:r>
      <w:r>
        <w:br/>
      </w:r>
      <w:r>
        <w:rPr>
          <w:rStyle w:val="VerbatimChar"/>
        </w:rPr>
        <w:t xml:space="preserve">5    38  6.67  6.56  6.79</w:t>
      </w:r>
    </w:p>
    <w:p>
      <w:pPr>
        <w:pStyle w:val="SourceCode"/>
      </w:pPr>
      <w:r>
        <w:rPr>
          <w:rStyle w:val="CommentTok"/>
        </w:rPr>
        <w:t xml:space="preserve"># Posterior summary of CTmax_1hr.</w:t>
      </w:r>
      <w:r>
        <w:br/>
      </w:r>
      <w:r>
        <w:rPr>
          <w:rStyle w:val="NormalTok"/>
        </w:rPr>
        <w:t xml:space="preserve">ctmax_per_draw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1          32.1         32.1         32.2</w:t>
      </w:r>
    </w:p>
    <w:p>
      <w:pPr>
        <w:pStyle w:val="FirstParagraph"/>
      </w:pPr>
      <w:r>
        <w:t xml:space="preserve">The posterior medians of</w:t>
      </w:r>
      <w:r>
        <w:t xml:space="preserve"> </w:t>
      </w:r>
      <m:oMath>
        <m:r>
          <m:t>z</m:t>
        </m:r>
      </m:oMath>
      <w:r>
        <w:t xml:space="preserve"> </w:t>
      </w:r>
      <w:r>
        <w:t xml:space="preserve">at each of the five assay temperatures are essentially identical to one another, and the common value matches the closed-form posterior median of</w:t>
      </w:r>
      <w:r>
        <w:t xml:space="preserve"> </w:t>
      </w:r>
      <m:oMath>
        <m:r>
          <m:t>z</m:t>
        </m:r>
      </m:oMath>
      <w:r>
        <w:t xml:space="preserve"> </w:t>
      </w:r>
      <w:r>
        <w:t xml:space="preserve">from</w:t>
      </w:r>
      <w:r>
        <w:t xml:space="preserve"> </w:t>
      </w:r>
      <w:hyperlink w:anchor="sec-joint-derive">
        <w:r>
          <w:rPr>
            <w:rStyle w:val="Hyperlink"/>
          </w:rPr>
          <w:t xml:space="preserve">Section 1.0.4</w:t>
        </w:r>
      </w:hyperlink>
      <w:r>
        <w:t xml:space="preserve"> </w:t>
      </w:r>
      <w:r>
        <w:t xml:space="preserve">— exactly as expected for a fit with linear</w:t>
      </w:r>
      <w:r>
        <w:t xml:space="preserve"> </w:t>
      </w:r>
      <w:r>
        <w:rPr>
          <w:rStyle w:val="VerbatimChar"/>
        </w:rPr>
        <w:t xml:space="preserve">mid(T)</w:t>
      </w:r>
      <w:r>
        <w:t xml:space="preserve"> </w:t>
      </w:r>
      <w:r>
        <w:t xml:space="preserve">and constant shape parameters, where</w:t>
      </w:r>
      <w:r>
        <w:t xml:space="preserve"> </w:t>
      </w:r>
      <m:oMath>
        <m:r>
          <m:t>z</m:t>
        </m:r>
      </m:oMath>
      <w:r>
        <w:t xml:space="preserve"> </w:t>
      </w:r>
      <w:r>
        <w:t xml:space="preserve">does not depend on temperature. This flatness is the sanity check; if the same recipe is applied to a fit that lets the shape parameters vary with</w:t>
      </w:r>
      <w:r>
        <w:t xml:space="preserve"> </w:t>
      </w:r>
      <m:oMath>
        <m:r>
          <m:t>T</m:t>
        </m:r>
      </m:oMath>
      <w:r>
        <w:t xml:space="preserve"> </w:t>
      </w:r>
      <w:r>
        <w:t xml:space="preserve">(e.g. </w:t>
      </w:r>
      <w:r>
        <w:rPr>
          <w:rStyle w:val="VerbatimChar"/>
        </w:rPr>
        <w:t xml:space="preserve">k ~ T_c</w:t>
      </w:r>
      <w:r>
        <w:t xml:space="preserve">), the same output will show</w:t>
      </w:r>
      <w:r>
        <w:t xml:space="preserve"> </w:t>
      </w:r>
      <m:oMath>
        <m:r>
          <m:t>z</m:t>
        </m:r>
      </m:oMath>
      <w:r>
        <w:t xml:space="preserve"> </w:t>
      </w:r>
      <w:r>
        <w:t xml:space="preserve">varying across the assay range, as it should.</w:t>
      </w:r>
      <w:r>
        <w:t xml:space="preserve"> </w:t>
      </w:r>
      <m:oMath>
        <m:r>
          <m:t>C</m:t>
        </m:r>
        <m:sSub>
          <m:e>
            <m:r>
              <m:t>T</m:t>
            </m:r>
          </m:e>
          <m:sub>
            <m:r>
              <m:t>m</m:t>
            </m:r>
            <m:r>
              <m:t>a</m:t>
            </m:r>
            <m:sSub>
              <m:e>
                <m:r>
                  <m:t>x</m:t>
                </m:r>
              </m:e>
              <m:sub>
                <m:r>
                  <m:t>1</m:t>
                </m:r>
                <m:r>
                  <m:t>h</m:t>
                </m:r>
                <m:r>
                  <m:t>r</m:t>
                </m:r>
              </m:sub>
            </m:sSub>
          </m:sub>
        </m:sSub>
      </m:oMath>
      <w:r>
        <w:t xml:space="preserve"> </w:t>
      </w:r>
      <w:r>
        <w:t xml:space="preserve">likewise reproduces the closed-form posterior in</w:t>
      </w:r>
      <w:r>
        <w:t xml:space="preserve"> </w:t>
      </w:r>
      <w:r>
        <w:rPr>
          <w:rStyle w:val="VerbatimChar"/>
        </w:rPr>
        <w:t xml:space="preserve">draws_bin_d</w:t>
      </w:r>
      <w:r>
        <w:t xml:space="preserve"> </w:t>
      </w:r>
      <w:r>
        <w:t xml:space="preserve">from</w:t>
      </w:r>
      <w:r>
        <w:t xml:space="preserve"> </w:t>
      </w:r>
      <w:hyperlink w:anchor="sec-joint-derive">
        <w:r>
          <w:rPr>
            <w:rStyle w:val="Hyperlink"/>
          </w:rPr>
          <w:t xml:space="preserve">Section 1.0.4</w:t>
        </w:r>
      </w:hyperlink>
      <w:r>
        <w:t xml:space="preserve">.</w:t>
      </w:r>
    </w:p>
    <w:bookmarkEnd w:id="67"/>
    <w:bookmarkStart w:id="73" w:name="sec-joint-extend-example"/>
    <w:p>
      <w:pPr>
        <w:pStyle w:val="Heading4"/>
      </w:pPr>
      <w:r>
        <w:t xml:space="preserve">1.0.6.2 Demonstrating changes with temperature-varying shape parameters</w:t>
      </w:r>
    </w:p>
    <w:p>
      <w:pPr>
        <w:pStyle w:val="FirstParagraph"/>
      </w:pPr>
      <w:r>
        <w:t xml:space="preserve">To make the points above concrete, we re-simulate beta-binomial data on the same factorial design as the simple case, but now both the dose-response steepness</w:t>
      </w:r>
      <w:r>
        <w:t xml:space="preserve"> </w:t>
      </w:r>
      <m:oMath>
        <m:r>
          <m:t>k</m:t>
        </m:r>
      </m:oMath>
      <w:r>
        <w:t xml:space="preserve"> </w:t>
      </w:r>
      <w:r>
        <w:t xml:space="preserve">and the upper asymptote</w:t>
      </w:r>
      <w:r>
        <w:t xml:space="preserve"> </w:t>
      </w:r>
      <m:oMath>
        <m:r>
          <m:t>u</m:t>
        </m:r>
      </m:oMath>
      <w:r>
        <w:t xml:space="preserve"> </w:t>
      </w:r>
      <w:r>
        <w:t xml:space="preserve">vary linearly with assay temperature. We then fit the joint Bayesian 4PL with the corresponding</w:t>
      </w:r>
      <w:r>
        <w:t xml:space="preserve"> </w:t>
      </w:r>
      <w:r>
        <w:rPr>
          <w:rStyle w:val="VerbatimChar"/>
        </w:rPr>
        <w:t xml:space="preserve">bf()</w:t>
      </w:r>
      <w:r>
        <w:t xml:space="preserve"> </w:t>
      </w:r>
      <w:r>
        <w:t xml:space="preserve">formula and apply the same predict-and-interpolate recipe.</w:t>
      </w:r>
    </w:p>
    <w:p>
      <w:pPr>
        <w:pStyle w:val="SourceCode"/>
      </w:pPr>
      <w:r>
        <w:rPr>
          <w:rStyle w:val="CommentTok"/>
        </w:rPr>
        <w:t xml:space="preserve"># (Re-defined here so this chunk can be run independently of the earlier</w:t>
      </w:r>
      <w:r>
        <w:br/>
      </w:r>
      <w:r>
        <w:rPr>
          <w:rStyle w:val="CommentTok"/>
        </w:rPr>
        <w:t xml:space="preserve"># simulation. Same values as the original `sim-design` chunk in @sec-sim-step2.)</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exposure durations (min)</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beta-binomial dispersion</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w:t>
      </w:r>
      <w:r>
        <w:rPr>
          <w:rStyle w:val="DecValTok"/>
        </w:rPr>
        <w:t xml:space="preserve">34</w:t>
      </w:r>
      <w:r>
        <w:rPr>
          <w:rStyle w:val="NormalTok"/>
        </w:rPr>
        <w:t xml:space="preserve">,                            </w:t>
      </w:r>
      <w:r>
        <w:rPr>
          <w:rStyle w:val="CommentTok"/>
        </w:rPr>
        <w:t xml:space="preserve"># mean-centred T (T_bar = 34)</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CommentTok"/>
        </w:rPr>
        <w:t xml:space="preserve"># Truth is defined on a constrained raw scale. This keeps ell in [0, 0.49],</w:t>
      </w:r>
      <w:r>
        <w:br/>
      </w:r>
      <w:r>
        <w:rPr>
          <w:rStyle w:val="CommentTok"/>
        </w:rPr>
        <w:t xml:space="preserve"># u in [0.51, 1], and k positive at every assay temperature. Those constraints</w:t>
      </w:r>
      <w:r>
        <w:br/>
      </w:r>
      <w:r>
        <w:rPr>
          <w:rStyle w:val="CommentTok"/>
        </w:rPr>
        <w:t xml:space="preserve"># avoid the label-switching and invalid-curve geometry that make identity-scale</w:t>
      </w:r>
      <w:r>
        <w:br/>
      </w:r>
      <w:r>
        <w:rPr>
          <w:rStyle w:val="CommentTok"/>
        </w:rPr>
        <w:t xml:space="preserve"># 4PL fits mix poorly when u and k vary with temperature.</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0.20</w:t>
      </w:r>
      <w:r>
        <w:rPr>
          <w:rStyle w:val="NormalTok"/>
        </w:rPr>
        <w:t xml:space="preserve">,                        </w:t>
      </w:r>
      <w:r>
        <w:rPr>
          <w:rStyle w:val="CommentTok"/>
        </w:rPr>
        <w:t xml:space="preserve"># u declines as T rises</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0.10</w:t>
      </w:r>
      <w:r>
        <w:rPr>
          <w:rStyle w:val="NormalTok"/>
        </w:rPr>
        <w:t xml:space="preserve">,                         </w:t>
      </w:r>
      <w:r>
        <w:rPr>
          <w:rStyle w:val="CommentTok"/>
        </w:rPr>
        <w:t xml:space="preserve"># k rises as T rises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CommentTok"/>
        </w:rPr>
        <w:t xml:space="preserve"># Build per-cell true survival probabilities and draw beta-binomial counts.</w:t>
      </w:r>
      <w:r>
        <w:br/>
      </w:r>
      <w:r>
        <w:rPr>
          <w:rStyle w:val="CommentTok"/>
        </w:rPr>
        <w:t xml:space="preserve"># (mutate keeps all columns of `design`; mid and p_true from the original</w:t>
      </w:r>
      <w:r>
        <w:br/>
      </w:r>
      <w:r>
        <w:rPr>
          <w:rStyle w:val="CommentTok"/>
        </w:rPr>
        <w:t xml:space="preserve"># sim are overwritten in place with the new T-varying values.)</w:t>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           </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br/>
      </w:r>
      <w:r>
        <w:rPr>
          <w:rStyle w:val="NormalTok"/>
        </w:rPr>
        <w:t xml:space="preserve">             (u </w:t>
      </w:r>
      <w:r>
        <w:rPr>
          <w:rStyle w:val="SpecialCharTok"/>
        </w:rPr>
        <w:t xml:space="preserve">-</w:t>
      </w:r>
      <w:r>
        <w:rPr>
          <w:rStyle w:val="NormalTok"/>
        </w:rPr>
        <w:t xml:space="preserve"> 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Lets have a look at the data along with truth (</w:t>
      </w:r>
      <w:hyperlink w:anchor="fig-true-surface-ext">
        <w:r>
          <w:rPr>
            <w:rStyle w:val="Hyperlink"/>
          </w:rPr>
          <w:t xml:space="preserve">Figure S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fig-true-surface-ext"/>
          <w:p>
            <w:pPr>
              <w:jc w:val="center"/>
            </w:pPr>
            <w:r>
              <w:drawing>
                <wp:inline>
                  <wp:extent cx="5943600" cy="3714750"/>
                  <wp:effectExtent b="0" l="0" r="0" t="0"/>
                  <wp:docPr descr="" title="" id="69" name="Picture"/>
                  <a:graphic>
                    <a:graphicData uri="http://schemas.openxmlformats.org/drawingml/2006/picture">
                      <pic:pic>
                        <pic:nvPicPr>
                          <pic:cNvPr descr="supplement_files/figure-docx/plot-true-surface-ext-1.png" id="70" name="Picture"/>
                          <pic:cNvPicPr>
                            <a:picLocks noChangeArrowheads="1" noChangeAspect="1"/>
                          </pic:cNvPicPr>
                        </pic:nvPicPr>
                        <pic:blipFill>
                          <a:blip r:embed="rId68"/>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linearly with assay temperature, overlaid on the simulated beta-binomial counts (points). One coloured curve and a corresponding cloud of points per assay temperature; the horizontal dashed line marks 50% survival.</w:t>
            </w:r>
          </w:p>
          <w:bookmarkEnd w:id="71"/>
        </w:tc>
      </w:tr>
    </w:tbl>
    <w:p>
      <w:pPr>
        <w:pStyle w:val="BodyText"/>
      </w:pPr>
      <w:r>
        <w:t xml:space="preserve">Now that we have the simulated data, let’s fit the model. The important change from the simple-model fit is that the four 4PL parameters are no longer fit directly on the identity scale — each one needs a different transformation because each has a different constraint: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Natural-scale constraint</w:t>
            </w:r>
          </w:p>
        </w:tc>
        <w:tc>
          <w:tcPr/>
          <w:p>
            <w:pPr>
              <w:pStyle w:val="Compact"/>
            </w:pPr>
            <w:r>
              <w:t xml:space="preserve">Transform used</w:t>
            </w:r>
          </w:p>
        </w:tc>
      </w:tr>
      <w:tr>
        <w:tc>
          <w:tcPr/>
          <w:p>
            <w:pPr>
              <w:pStyle w:val="Compact"/>
            </w:pPr>
            <w:r>
              <w:rPr>
                <w:rStyle w:val="VerbatimChar"/>
              </w:rPr>
              <w:t xml:space="preserve">ell</w:t>
            </w:r>
            <w:r>
              <w:t xml:space="preserve"> </w:t>
            </w:r>
            <w:r>
              <w:t xml:space="preserve">(lower asymptote)</w:t>
            </w:r>
          </w:p>
        </w:tc>
        <w:tc>
          <w:tcPr/>
          <w:p>
            <w:pPr>
              <w:pStyle w:val="Compact"/>
            </w:pPr>
            <m:oMath>
              <m:d>
                <m:dPr>
                  <m:begChr m:val="["/>
                  <m:sepChr m:val=""/>
                  <m:endChr m:val="]"/>
                  <m:grow/>
                </m:dPr>
                <m:e>
                  <m:r>
                    <m:t>0</m:t>
                  </m:r>
                  <m:r>
                    <m:rPr>
                      <m:sty m:val="p"/>
                    </m:rPr>
                    <m:t>,</m:t>
                  </m:r>
                  <m:r>
                    <m:t>0.49</m:t>
                  </m:r>
                </m:e>
              </m:d>
            </m:oMath>
          </w:p>
        </w:tc>
        <w:tc>
          <w:tcPr/>
          <w:p>
            <w:pPr>
              <w:pStyle w:val="Compact"/>
            </w:pPr>
            <w:r>
              <w:rPr>
                <w:rStyle w:val="VerbatimChar"/>
              </w:rPr>
              <w:t xml:space="preserve">0.49 * inv_logit(ellraw)</w:t>
            </w:r>
            <w:r>
              <w:t xml:space="preserve"> </w:t>
            </w:r>
            <w:r>
              <w:t xml:space="preserve">— squashes raw real to</w:t>
            </w:r>
            <w:r>
              <w:t xml:space="preserve"> </w:t>
            </w:r>
            <m:oMath>
              <m:d>
                <m:dPr>
                  <m:begChr m:val="("/>
                  <m:sepChr m:val=""/>
                  <m:endChr m:val=")"/>
                  <m:grow/>
                </m:dPr>
                <m:e>
                  <m:r>
                    <m:t>0</m:t>
                  </m:r>
                  <m:r>
                    <m:rPr>
                      <m:sty m:val="p"/>
                    </m:rPr>
                    <m:t>,</m:t>
                  </m:r>
                  <m:r>
                    <m:t>0.49</m:t>
                  </m:r>
                </m:e>
              </m:d>
            </m:oMath>
          </w:p>
        </w:tc>
      </w:tr>
      <w:tr>
        <w:tc>
          <w:tcPr/>
          <w:p>
            <w:pPr>
              <w:pStyle w:val="Compact"/>
            </w:pPr>
            <w:r>
              <w:rPr>
                <w:rStyle w:val="VerbatimChar"/>
              </w:rPr>
              <w:t xml:space="preserve">u</w:t>
            </w:r>
            <w:r>
              <w:t xml:space="preserve"> </w:t>
            </w:r>
            <w:r>
              <w:t xml:space="preserve">(upper asymptote)</w:t>
            </w:r>
          </w:p>
        </w:tc>
        <w:tc>
          <w:tcPr/>
          <w:p>
            <w:pPr>
              <w:pStyle w:val="Compact"/>
            </w:pPr>
            <m:oMath>
              <m:d>
                <m:dPr>
                  <m:begChr m:val="["/>
                  <m:sepChr m:val=""/>
                  <m:endChr m:val="]"/>
                  <m:grow/>
                </m:dPr>
                <m:e>
                  <m:r>
                    <m:t>0.51</m:t>
                  </m:r>
                  <m:r>
                    <m:rPr>
                      <m:sty m:val="p"/>
                    </m:rPr>
                    <m:t>,</m:t>
                  </m:r>
                  <m:r>
                    <m:t>1</m:t>
                  </m:r>
                </m:e>
              </m:d>
            </m:oMath>
          </w:p>
        </w:tc>
        <w:tc>
          <w:tcPr/>
          <w:p>
            <w:pPr>
              <w:pStyle w:val="Compact"/>
            </w:pPr>
            <w:r>
              <w:rPr>
                <w:rStyle w:val="VerbatimChar"/>
              </w:rPr>
              <w:t xml:space="preserve">0.51 + 0.49 * inv_logit(uraw)</w:t>
            </w:r>
            <w:r>
              <w:t xml:space="preserve"> </w:t>
            </w:r>
            <w:r>
              <w:t xml:space="preserve">— squashes raw real to</w:t>
            </w:r>
            <w:r>
              <w:t xml:space="preserve"> </w:t>
            </w:r>
            <m:oMath>
              <m:d>
                <m:dPr>
                  <m:begChr m:val="("/>
                  <m:sepChr m:val=""/>
                  <m:endChr m:val=")"/>
                  <m:grow/>
                </m:dPr>
                <m:e>
                  <m:r>
                    <m:t>0.51</m:t>
                  </m:r>
                  <m:r>
                    <m:rPr>
                      <m:sty m:val="p"/>
                    </m:rPr>
                    <m:t>,</m:t>
                  </m:r>
                  <m:r>
                    <m:t>1</m:t>
                  </m:r>
                </m:e>
              </m:d>
            </m:oMath>
          </w:p>
        </w:tc>
      </w:tr>
      <w:tr>
        <w:tc>
          <w:tcPr/>
          <w:p>
            <w:pPr>
              <w:pStyle w:val="Compact"/>
            </w:pPr>
            <w:r>
              <w:rPr>
                <w:rStyle w:val="VerbatimChar"/>
              </w:rPr>
              <w:t xml:space="preserve">k</w:t>
            </w:r>
            <w:r>
              <w:t xml:space="preserve"> </w:t>
            </w:r>
            <w:r>
              <w:t xml:space="preserve">(slope)</w:t>
            </w:r>
          </w:p>
        </w:tc>
        <w:tc>
          <w:tcPr/>
          <w:p>
            <w:pPr>
              <w:pStyle w:val="Compact"/>
            </w:pPr>
            <m:oMath>
              <m:r>
                <m:rPr>
                  <m:sty m:val="p"/>
                </m:rPr>
                <m:t>&gt;</m:t>
              </m:r>
              <m:r>
                <m:t>0</m:t>
              </m:r>
            </m:oMath>
          </w:p>
        </w:tc>
        <w:tc>
          <w:tcPr/>
          <w:p>
            <w:pPr>
              <w:pStyle w:val="Compact"/>
            </w:pPr>
            <w:r>
              <w:rPr>
                <w:rStyle w:val="VerbatimChar"/>
              </w:rPr>
              <w:t xml:space="preserve">exp(logk)</w:t>
            </w:r>
            <w:r>
              <w:t xml:space="preserve"> </w:t>
            </w:r>
            <w:r>
              <w:t xml:space="preserve">— squashes raw real to</w:t>
            </w:r>
            <w:r>
              <w:t xml:space="preserve"> </w:t>
            </w:r>
            <m:oMath>
              <m:d>
                <m:dPr>
                  <m:begChr m:val="("/>
                  <m:sepChr m:val=""/>
                  <m:endChr m:val=")"/>
                  <m:grow/>
                </m:dPr>
                <m:e>
                  <m:r>
                    <m:t>0</m:t>
                  </m:r>
                  <m:r>
                    <m:rPr>
                      <m:sty m:val="p"/>
                    </m:rPr>
                    <m:t>,</m:t>
                  </m:r>
                  <m:r>
                    <m:rPr>
                      <m:sty m:val="p"/>
                    </m:rPr>
                    <m:t>∞</m:t>
                  </m:r>
                </m:e>
              </m:d>
            </m:oMath>
          </w:p>
        </w:tc>
      </w:tr>
      <w:tr>
        <w:tc>
          <w:tcPr/>
          <w:p>
            <w:pPr>
              <w:pStyle w:val="Compact"/>
            </w:pPr>
            <w:r>
              <w:rPr>
                <w:rStyle w:val="VerbatimChar"/>
              </w:rPr>
              <w:t xml:space="preserve">mid</w:t>
            </w:r>
            <w:r>
              <w:t xml:space="preserve"> </w:t>
            </w:r>
            <w:r>
              <w:t xml:space="preserve">(midpoint)</w:t>
            </w:r>
          </w:p>
        </w:tc>
        <w:tc>
          <w:tcPr/>
          <w:p>
            <w:pPr>
              <w:pStyle w:val="Compact"/>
            </w:pPr>
            <w:r>
              <w:t xml:space="preserve">unconstrained</w:t>
            </w:r>
          </w:p>
        </w:tc>
        <w:tc>
          <w:tcPr/>
          <w:p>
            <w:pPr>
              <w:pStyle w:val="Compact"/>
            </w:pPr>
            <w:r>
              <w:t xml:space="preserve">identity (no transform)</w:t>
            </w:r>
          </w:p>
        </w:tc>
      </w:tr>
    </w:tbl>
    <w:p>
      <w:pPr>
        <w:pStyle w:val="BodyText"/>
      </w:pPr>
      <w:r>
        <w:t xml:space="preserve">The asymptotes use the</w:t>
      </w:r>
      <w:r>
        <w:t xml:space="preserve"> </w:t>
      </w:r>
      <w:r>
        <w:rPr>
          <w:b/>
          <w:bCs/>
        </w:rPr>
        <w:t xml:space="preserve">disjoint</w:t>
      </w:r>
      <w:r>
        <w:t xml:space="preserve"> </w:t>
      </w:r>
      <w:r>
        <w:t xml:space="preserve">intervals</w:t>
      </w:r>
      <w:r>
        <w:t xml:space="preserve"> </w:t>
      </w:r>
      <m:oMath>
        <m:d>
          <m:dPr>
            <m:begChr m:val="["/>
            <m:sepChr m:val=""/>
            <m:endChr m:val="]"/>
            <m:grow/>
          </m:dPr>
          <m:e>
            <m:r>
              <m:t>0</m:t>
            </m:r>
            <m:r>
              <m:rPr>
                <m:sty m:val="p"/>
              </m:rPr>
              <m:t>,</m:t>
            </m:r>
            <m:r>
              <m:t>0.49</m:t>
            </m:r>
          </m:e>
        </m:d>
      </m:oMath>
      <w:r>
        <w:t xml:space="preserve"> </w:t>
      </w:r>
      <w:r>
        <w:t xml:space="preserve">and</w:t>
      </w:r>
      <w:r>
        <w:t xml:space="preserve"> </w:t>
      </w:r>
      <m:oMath>
        <m:d>
          <m:dPr>
            <m:begChr m:val="["/>
            <m:sepChr m:val=""/>
            <m:endChr m:val="]"/>
            <m:grow/>
          </m:dPr>
          <m:e>
            <m:r>
              <m:t>0.51</m:t>
            </m:r>
            <m:r>
              <m:rPr>
                <m:sty m:val="p"/>
              </m:rPr>
              <m:t>,</m:t>
            </m:r>
            <m:r>
              <m:t>1</m:t>
            </m:r>
          </m:e>
        </m:d>
      </m:oMath>
      <w:r>
        <w:t xml:space="preserve"> </w:t>
      </w:r>
      <w:r>
        <w:t xml:space="preserve">(rather than each covering all of</w:t>
      </w:r>
      <w:r>
        <w:t xml:space="preserve"> </w:t>
      </w:r>
      <m:oMath>
        <m:d>
          <m:dPr>
            <m:begChr m:val="["/>
            <m:sepChr m:val=""/>
            <m:endChr m:val="]"/>
            <m:grow/>
          </m:dPr>
          <m:e>
            <m:r>
              <m:t>0</m:t>
            </m:r>
            <m:r>
              <m:rPr>
                <m:sty m:val="p"/>
              </m:rPr>
              <m:t>,</m:t>
            </m:r>
            <m:r>
              <m:t>1</m:t>
            </m:r>
          </m:e>
        </m:d>
      </m:oMath>
      <w:r>
        <w:t xml:space="preserve">) to prevent MCMC sampling issues where upper and lower asymptotes flip during MCMC sampling which can cause convergence issues — to help here we constrain them and estimate on the logit scale. The 0.02 gap at</w:t>
      </w:r>
      <w:r>
        <w:t xml:space="preserve"> </w:t>
      </w:r>
      <m:oMath>
        <m:r>
          <m:t>p</m:t>
        </m:r>
        <m:r>
          <m:rPr>
            <m:sty m:val="p"/>
          </m:rPr>
          <m:t>=</m:t>
        </m:r>
        <m:r>
          <m:t>0.5</m:t>
        </m:r>
      </m:oMath>
      <w:r>
        <w:t xml:space="preserve"> </w:t>
      </w:r>
      <w:r>
        <w:t xml:space="preserve">guarantees</w:t>
      </w:r>
      <w:r>
        <w:t xml:space="preserve"> </w:t>
      </w:r>
      <m:oMath>
        <m:r>
          <m:t>u</m:t>
        </m:r>
        <m:r>
          <m:rPr>
            <m:sty m:val="p"/>
          </m:rPr>
          <m:t>&gt;</m:t>
        </m:r>
        <m:r>
          <m:rPr>
            <m:sty m:val="p"/>
          </m:rPr>
          <m:t>ℓ</m:t>
        </m:r>
      </m:oMath>
      <w:r>
        <w:t xml:space="preserve"> </w:t>
      </w:r>
      <w:r>
        <w:t xml:space="preserve">always, so the chains can’t oscillate — which matters here because</w:t>
      </w:r>
      <w:r>
        <w:t xml:space="preserve"> </w:t>
      </w:r>
      <m:oMath>
        <m:r>
          <m:t>u</m:t>
        </m:r>
      </m:oMath>
      <w:r>
        <w:t xml:space="preserve"> </w:t>
      </w:r>
      <w:r>
        <w:t xml:space="preserve">and</w:t>
      </w:r>
      <w:r>
        <w:t xml:space="preserve"> </w:t>
      </w:r>
      <m:oMath>
        <m:r>
          <m:rPr>
            <m:sty m:val="p"/>
          </m:rPr>
          <m:t>ℓ</m:t>
        </m:r>
      </m:oMath>
      <w:r>
        <w:t xml:space="preserve"> </w:t>
      </w:r>
      <w:r>
        <w:t xml:space="preserve">can vary across temperatures. The cost is hard-bounding the asymptotes a few percentage points away from 0.5 — fine for survival data where genuine</w:t>
      </w:r>
      <w:r>
        <w:t xml:space="preserve"> </w:t>
      </w:r>
      <m:oMath>
        <m:r>
          <m:t>L</m:t>
        </m:r>
        <m:sSub>
          <m:e>
            <m:r>
              <m:t>T</m:t>
            </m:r>
          </m:e>
          <m:sub>
            <m:r>
              <m:t>50</m:t>
            </m:r>
          </m:sub>
        </m:sSub>
      </m:oMath>
      <w:r>
        <w:t xml:space="preserve"> </w:t>
      </w:r>
      <w:r>
        <w:t xml:space="preserve">assays don’t sit at the boundary anyway. We also constrain</w:t>
      </w:r>
      <w:r>
        <w:t xml:space="preserve"> </w:t>
      </w:r>
      <w:r>
        <w:rPr>
          <w:rStyle w:val="VerbatimChar"/>
        </w:rPr>
        <w:t xml:space="preserve">k</w:t>
      </w:r>
      <w:r>
        <w:t xml:space="preserve"> </w:t>
      </w:r>
      <w:r>
        <w:t xml:space="preserve">to be positive, but on a log scale via</w:t>
      </w:r>
      <w:r>
        <w:t xml:space="preserve"> </w:t>
      </w:r>
      <w:r>
        <w:rPr>
          <w:rStyle w:val="VerbatimChar"/>
        </w:rPr>
        <w:t xml:space="preserve">exp(logk)</w:t>
      </w:r>
      <w:r>
        <w:t xml:space="preserve">. Because</w:t>
      </w:r>
      <w:r>
        <w:t xml:space="preserve"> </w:t>
      </w:r>
      <m:oMath>
        <m:r>
          <m:t>u</m:t>
        </m:r>
      </m:oMath>
      <w:r>
        <w:t xml:space="preserve">,</w:t>
      </w:r>
      <w:r>
        <w:t xml:space="preserve"> </w:t>
      </w:r>
      <m:oMath>
        <m:r>
          <m:rPr>
            <m:sty m:val="p"/>
          </m:rPr>
          <m:t>ℓ</m:t>
        </m:r>
      </m:oMath>
      <w:r>
        <w:t xml:space="preserve"> </w:t>
      </w:r>
      <w:r>
        <w:t xml:space="preserve">and</w:t>
      </w:r>
      <w:r>
        <w:t xml:space="preserve"> </w:t>
      </w:r>
      <w:r>
        <w:rPr>
          <w:rStyle w:val="VerbatimChar"/>
        </w:rPr>
        <w:t xml:space="preserve">k</w:t>
      </w:r>
      <w:r>
        <w:t xml:space="preserve"> </w:t>
      </w:r>
      <w:r>
        <w:t xml:space="preserve">have different transformations and meanings, we apply each transformation per parameter inside the formula before they are combined — as opposed to a single link function on the linear predictor as is typical in GLMMs.</w:t>
      </w:r>
    </w:p>
    <w:p>
      <w:pPr>
        <w:pStyle w:val="BodyText"/>
      </w:pPr>
      <w:r>
        <w:t xml:space="preserve">We just need to remember in our fits that these values are transformed so we need to back-transform to make sense of the coefficients.</w:t>
      </w:r>
    </w:p>
    <w:p>
      <w:pPr>
        <w:pStyle w:val="SourceCode"/>
      </w:pPr>
      <w:r>
        <w:rPr>
          <w:rStyle w:val="CommentTok"/>
        </w:rPr>
        <w:t xml:space="preserve"># Disable Quarto chunk caching here so brms's own `file = ...` /</w:t>
      </w:r>
      <w:r>
        <w:br/>
      </w:r>
      <w:r>
        <w:rPr>
          <w:rStyle w:val="CommentTok"/>
        </w:rPr>
        <w:t xml:space="preserve"># `file_refit = "on_change"` mechanism is the sole source of truth for whether</w:t>
      </w:r>
      <w:r>
        <w:br/>
      </w:r>
      <w:r>
        <w:rPr>
          <w:rStyle w:val="CommentTok"/>
        </w:rPr>
        <w:t xml:space="preserve"># to refit. Without this, the project default `cache: true` can hold an old</w:t>
      </w:r>
      <w:r>
        <w:br/>
      </w:r>
      <w:r>
        <w:rPr>
          <w:rStyle w:val="CommentTok"/>
        </w:rPr>
        <w:t xml:space="preserve"># fit object even after the formula or priors change.</w:t>
      </w:r>
      <w:r>
        <w:br/>
      </w:r>
      <w:r>
        <w:br/>
      </w:r>
      <w:r>
        <w:rPr>
          <w:rStyle w:val="CommentTok"/>
        </w:rPr>
        <w:t xml:space="preserve"># Same 4PL likelihood as before, but with constrained transformations:</w:t>
      </w:r>
      <w:r>
        <w:br/>
      </w:r>
      <w:r>
        <w:rPr>
          <w:rStyle w:val="CommentTok"/>
        </w:rPr>
        <w:t xml:space="preserve">#   ell = 0.49 * inv_logit(ellraw)</w:t>
      </w:r>
      <w:r>
        <w:br/>
      </w:r>
      <w:r>
        <w:rPr>
          <w:rStyle w:val="CommentTok"/>
        </w:rPr>
        <w:t xml:space="preserve">#   u   = 0.51 + 0.49 * inv_logit(uraw)</w:t>
      </w:r>
      <w:r>
        <w:br/>
      </w:r>
      <w:r>
        <w:rPr>
          <w:rStyle w:val="CommentTok"/>
        </w:rPr>
        <w:t xml:space="preserve">#   k   = exp(logk)</w:t>
      </w:r>
      <w:r>
        <w:br/>
      </w:r>
      <w:r>
        <w:rPr>
          <w:rStyle w:val="CommentTok"/>
        </w:rPr>
        <w:t xml:space="preserve"># This guarantees ell &lt; 0.5, u &gt; 0.5, u &gt; ell, and k &gt; 0.</w:t>
      </w:r>
      <w:r>
        <w:br/>
      </w:r>
      <w:r>
        <w:rPr>
          <w:rStyle w:val="NormalTok"/>
        </w:rPr>
        <w:t xml:space="preserve">bform_ext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(uraw))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ellraw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uraw   </w:t>
      </w:r>
      <w:r>
        <w:rPr>
          <w:rStyle w:val="SpecialCharTok"/>
        </w:rPr>
        <w:t xml:space="preserve">~</w:t>
      </w:r>
      <w:r>
        <w:rPr>
          <w:rStyle w:val="NormalTok"/>
        </w:rPr>
        <w:t xml:space="preserve"> T_c,</w:t>
      </w:r>
      <w:r>
        <w:br/>
      </w:r>
      <w:r>
        <w:rPr>
          <w:rStyle w:val="NormalTok"/>
        </w:rPr>
        <w:t xml:space="preserve">  logk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priors_ext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nlpar =</w:t>
      </w:r>
      <w:r>
        <w:rPr>
          <w:rStyle w:val="NormalTok"/>
        </w:rPr>
        <w:t xml:space="preserve"> </w:t>
      </w:r>
      <w:r>
        <w:rPr>
          <w:rStyle w:val="StringTok"/>
        </w:rPr>
        <w:t xml:space="preserve">"ellraw"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u_raw_0),</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0.10)"</w:t>
      </w:r>
      <w:r>
        <w:rPr>
          <w:rStyle w:val="NormalTok"/>
        </w:rPr>
        <w:t xml:space="preserve">, true_params_ext</w:t>
      </w:r>
      <w:r>
        <w:rPr>
          <w:rStyle w:val="SpecialCharTok"/>
        </w:rPr>
        <w:t xml:space="preserve">$</w:t>
      </w:r>
      <w:r>
        <w:rPr>
          <w:rStyle w:val="NormalTok"/>
        </w:rPr>
        <w:t xml:space="preserve">u_raw_T),</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0.35)"</w:t>
      </w:r>
      <w:r>
        <w:rPr>
          <w:rStyle w:val="NormalTok"/>
        </w:rPr>
        <w:t xml:space="preserve">, true_params_ext</w:t>
      </w:r>
      <w:r>
        <w:rPr>
          <w:rStyle w:val="SpecialCharTok"/>
        </w:rPr>
        <w:t xml:space="preserve">$</w:t>
      </w:r>
      <w:r>
        <w:rPr>
          <w:rStyle w:val="NormalTok"/>
        </w:rPr>
        <w:t xml:space="preserve">log_k_0),</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0.05)"</w:t>
      </w:r>
      <w:r>
        <w:rPr>
          <w:rStyle w:val="NormalTok"/>
        </w:rPr>
        <w:t xml:space="preserve">, true_params_ext</w:t>
      </w:r>
      <w:r>
        <w:rPr>
          <w:rStyle w:val="SpecialCharTok"/>
        </w:rPr>
        <w:t xml:space="preserve">$</w:t>
      </w:r>
      <w:r>
        <w:rPr>
          <w:rStyle w:val="NormalTok"/>
        </w:rPr>
        <w:t xml:space="preserve">log_k_T),</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FloatTok"/>
        </w:rPr>
        <w:t xml:space="preserve">1.5</w:t>
      </w:r>
      <w:r>
        <w:rPr>
          <w:rStyle w:val="NormalTok"/>
        </w:rPr>
        <w:t xml:space="preserve">, </w:t>
      </w:r>
      <w:r>
        <w:rPr>
          <w:rStyle w:val="FloatTok"/>
        </w:rPr>
        <w:t xml:space="preserve">0.40</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FloatTok"/>
        </w:rPr>
        <w:t xml:space="preserve">0.15</w:t>
      </w:r>
      <w:r>
        <w:rPr>
          <w:rStyle w:val="NormalTok"/>
        </w:rPr>
        <w:t xml:space="preserve">, </w:t>
      </w:r>
      <w:r>
        <w:rPr>
          <w:rStyle w:val="FloatTok"/>
        </w:rPr>
        <w:t xml:space="preserve">0.04</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"T_c"</w:t>
      </w:r>
      <w:r>
        <w:rPr>
          <w:rStyle w:val="NormalTok"/>
        </w:rPr>
        <w:t xml:space="preserve">)</w:t>
      </w:r>
      <w:r>
        <w:br/>
      </w:r>
      <w:r>
        <w:rPr>
          <w:rStyle w:val="NormalTok"/>
        </w:rPr>
        <w:t xml:space="preserve">)</w:t>
      </w:r>
      <w:r>
        <w:br/>
      </w:r>
      <w:r>
        <w:br/>
      </w:r>
      <w:r>
        <w:rPr>
          <w:rStyle w:val="NormalTok"/>
        </w:rPr>
        <w:t xml:space="preserve">fit_bb_ext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bform_ext, </w:t>
      </w:r>
      <w:r>
        <w:rPr>
          <w:rStyle w:val="AttributeTok"/>
        </w:rPr>
        <w:t xml:space="preserve">data =</w:t>
      </w:r>
      <w:r>
        <w:rPr>
          <w:rStyle w:val="NormalTok"/>
        </w:rPr>
        <w:t xml:space="preserve"> sim_bb_ext, </w:t>
      </w:r>
      <w:r>
        <w:rPr>
          <w:rStyle w:val="AttributeTok"/>
        </w:rPr>
        <w:t xml:space="preserve">prior =</w:t>
      </w:r>
      <w:r>
        <w:rPr>
          <w:rStyle w:val="NormalTok"/>
        </w:rPr>
        <w:t xml:space="preserve"> priors_ext,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"sim_4pl_ext_betabinomial_reparam"</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The printed model summary is now mainly a convergence check because the coefficients live on raw transformed scales. We still want Rhat near 1 and reasonable effective sample sizes, but recovery is easier to inspect after transforming the posterior draws back to natural 4PL parameters.</w:t>
      </w:r>
    </w:p>
    <w:p>
      <w:pPr>
        <w:pStyle w:val="SourceCode"/>
      </w:pPr>
      <w:r>
        <w:rPr>
          <w:rStyle w:val="CommentTok"/>
        </w:rPr>
        <w:t xml:space="preserve"># Force this chunk to re-run on every render so the printed summary always</w:t>
      </w:r>
      <w:r>
        <w:br/>
      </w:r>
      <w:r>
        <w:rPr>
          <w:rStyle w:val="CommentTok"/>
        </w:rPr>
        <w:t xml:space="preserve"># reflects the current `fit_bb_ext` object (the project default `cache: true`</w:t>
      </w:r>
      <w:r>
        <w:br/>
      </w:r>
      <w:r>
        <w:rPr>
          <w:rStyle w:val="CommentTok"/>
        </w:rPr>
        <w:t xml:space="preserve"># would otherwise hold onto a stale snapshot when the model is refit upstream).</w:t>
      </w:r>
      <w:r>
        <w:br/>
      </w:r>
      <w:r>
        <w:rPr>
          <w:rStyle w:val="NormalTok"/>
        </w:rPr>
        <w:t xml:space="preserve">fit_bb_ext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y | trials(n) ~ 0.49 * inv_logit(ellraw) + ((0.51 + 0.49 * inv_logit(uraw)) - 0.49 * inv_logit(ellraw))/(1 + exp(exp(logk) * (log10_t - mid))) </w:t>
      </w:r>
      <w:r>
        <w:br/>
      </w:r>
      <w:r>
        <w:rPr>
          <w:rStyle w:val="VerbatimChar"/>
        </w:rPr>
        <w:t xml:space="preserve">         ellraw ~ 1</w:t>
      </w:r>
      <w:r>
        <w:br/>
      </w:r>
      <w:r>
        <w:rPr>
          <w:rStyle w:val="VerbatimChar"/>
        </w:rPr>
        <w:t xml:space="preserve">         uraw ~ T_c</w:t>
      </w:r>
      <w:r>
        <w:br/>
      </w:r>
      <w:r>
        <w:rPr>
          <w:rStyle w:val="VerbatimChar"/>
        </w:rPr>
        <w:t xml:space="preserve">         logk ~ T_c</w:t>
      </w:r>
      <w:r>
        <w:br/>
      </w:r>
      <w:r>
        <w:rPr>
          <w:rStyle w:val="VerbatimChar"/>
        </w:rPr>
        <w:t xml:space="preserve">         mid ~ T_c</w:t>
      </w:r>
      <w:r>
        <w:br/>
      </w:r>
      <w:r>
        <w:rPr>
          <w:rStyle w:val="VerbatimChar"/>
        </w:rPr>
        <w:t xml:space="preserve">   Data: sim_bb_ext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ellraw_Intercept    -2.31      0.11    -2.54    -2.09 1.00     3056     3207</w:t>
      </w:r>
      <w:r>
        <w:br/>
      </w:r>
      <w:r>
        <w:rPr>
          <w:rStyle w:val="VerbatimChar"/>
        </w:rPr>
        <w:t xml:space="preserve">uraw_Intercept       1.56      0.10     1.37     1.75 1.00     2753     2571</w:t>
      </w:r>
      <w:r>
        <w:br/>
      </w:r>
      <w:r>
        <w:rPr>
          <w:rStyle w:val="VerbatimChar"/>
        </w:rPr>
        <w:t xml:space="preserve">uraw_T_c            -0.22      0.03    -0.28    -0.15 1.00     3307     2825</w:t>
      </w:r>
      <w:r>
        <w:br/>
      </w:r>
      <w:r>
        <w:rPr>
          <w:rStyle w:val="VerbatimChar"/>
        </w:rPr>
        <w:t xml:space="preserve">logk_Intercept       2.06      0.07     1.93     2.21 1.00     2700     2474</w:t>
      </w:r>
      <w:r>
        <w:br/>
      </w:r>
      <w:r>
        <w:rPr>
          <w:rStyle w:val="VerbatimChar"/>
        </w:rPr>
        <w:t xml:space="preserve">logk_T_c             0.15      0.02     0.11     0.19 1.00     3038     2790</w:t>
      </w:r>
      <w:r>
        <w:br/>
      </w:r>
      <w:r>
        <w:rPr>
          <w:rStyle w:val="VerbatimChar"/>
        </w:rPr>
        <w:t xml:space="preserve">mid_Intercept        1.50      0.01     1.48     1.53 1.00     3973     3031</w:t>
      </w:r>
      <w:r>
        <w:br/>
      </w:r>
      <w:r>
        <w:rPr>
          <w:rStyle w:val="VerbatimChar"/>
        </w:rPr>
        <w:t xml:space="preserve">mid_T_c             -0.14      0.01    -0.15    -0.13 1.00     4236     3099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4.75      0.36     4.08     5.49 1.00     3381     2977</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tbl>
      <w:tblPr>
        <w:tblStyle w:val="Table"/>
        <w:tblW w:type="pct" w:w="5000"/>
        <w:tblLayout w:type="fixed"/>
        <w:tblLook w:firstRow="0" w:lastRow="0" w:firstColumn="0" w:lastColumn="0" w:noHBand="0" w:noVBand="0" w:val="0000"/>
      </w:tblPr>
      <w:tblGrid>
        <w:gridCol w:w="7920"/>
      </w:tblGrid>
      <w:tr>
        <w:tc>
          <w:tcPr/>
          <w:bookmarkStart w:id="72" w:name="tbl-ext-recovery"/>
          <w:p>
            <w:pPr>
              <w:jc w:val="center"/>
            </w:pPr>
            <w:pPr>
              <w:jc w:val="start"/>
              <w:spacing w:before="200"/>
              <w:pStyle w:val="ImageCaption"/>
            </w:pPr>
            <w:r>
              <w:t xml:space="preserve">Table S 6: Natural-scale parameter recovery from the constrained temperature-varying 4PL. The posterior is transformed from the raw</w:t>
            </w:r>
            <w:r>
              <w:t xml:space="preserve"> </w:t>
            </w:r>
            <w:r>
              <w:rPr>
                <w:rStyle w:val="VerbatimChar"/>
              </w:rPr>
              <w:t xml:space="preserve">ellraw</w:t>
            </w:r>
            <w:r>
              <w:t xml:space="preserve">,</w:t>
            </w:r>
            <w:r>
              <w:t xml:space="preserve"> </w:t>
            </w:r>
            <w:r>
              <w:rPr>
                <w:rStyle w:val="VerbatimChar"/>
              </w:rPr>
              <w:t xml:space="preserve">uraw</w:t>
            </w:r>
            <w:r>
              <w:t xml:space="preserve">, and</w:t>
            </w:r>
            <w:r>
              <w:t xml:space="preserve"> </w:t>
            </w:r>
            <w:r>
              <w:rPr>
                <w:rStyle w:val="VerbatimChar"/>
              </w:rPr>
              <w:t xml:space="preserve">logk</w:t>
            </w:r>
            <w:r>
              <w:t xml:space="preserve"> </w:t>
            </w:r>
            <w:r>
              <w:t xml:space="preserve">coefficients back to the biologically interpretable asymptotes, steepness, and midpoint at each assay temperature;</w:t>
            </w:r>
            <w:r>
              <w:t xml:space="preserve"> </w:t>
            </w:r>
            <m:oMath>
              <m:r>
                <m:t>ϕ</m:t>
              </m:r>
            </m:oMath>
            <w:r>
              <w:t xml:space="preserve"> </w:t>
            </w:r>
            <w:r>
              <w:t xml:space="preserve">is the beta-binomial precision parameter used to generate the overdispersed counts.</w:t>
            </w:r>
          </w:p>
          <w:tbl>
            <w:tblPr>
              <w:tblStyle w:val="Table"/>
              <w:tblW w:type="pct" w:w="4759"/>
              <w:tblLayout w:type="fixed"/>
              <w:tblLook w:firstRow="1" w:lastRow="0" w:firstColumn="0" w:lastColumn="0" w:noHBand="0" w:noVBand="0" w:val="0020"/>
            </w:tblPr>
            <w:tblGrid>
              <w:gridCol w:w="1145"/>
              <w:gridCol w:w="1813"/>
              <w:gridCol w:w="858"/>
              <w:gridCol w:w="1813"/>
              <w:gridCol w:w="954"/>
              <w:gridCol w:w="954"/>
            </w:tblGrid>
            <w:tr>
              <w:trPr>
                <w:tblHeader w:val="on"/>
              </w:trPr>
              <w:tc>
                <w:tcPr/>
                <w:p>
                  <w:pPr>
                    <w:pStyle w:val="Compact"/>
                    <w:jc w:val="center"/>
                  </w:pPr>
                  <w:r>
                    <w:t xml:space="preserve">Parameter</w:t>
                  </w:r>
                </w:p>
              </w:tc>
              <w:tc>
                <w:tcPr/>
                <w:p>
                  <w:pPr>
                    <w:pStyle w:val="Compact"/>
                    <w:jc w:val="center"/>
                  </w:pPr>
                  <w:r>
                    <w:t xml:space="preserve">Temperature (°C)</w:t>
                  </w:r>
                </w:p>
              </w:tc>
              <w:tc>
                <w:tcPr/>
                <w:p>
                  <w:pPr>
                    <w:pStyle w:val="Compact"/>
                    <w:jc w:val="center"/>
                  </w:pPr>
                  <w:r>
                    <w:t xml:space="preserve">Truth</w:t>
                  </w:r>
                </w:p>
              </w:tc>
              <w:tc>
                <w:tcPr/>
                <w:p>
                  <w:pPr>
                    <w:pStyle w:val="Compact"/>
                    <w:jc w:val="center"/>
                  </w:pPr>
                  <w:r>
                    <w:t xml:space="preserve">Posterior 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ell</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5.363</w:t>
                  </w:r>
                </w:p>
              </w:tc>
              <w:tc>
                <w:tcPr/>
                <w:p>
                  <w:pPr>
                    <w:pStyle w:val="Compact"/>
                    <w:jc w:val="center"/>
                  </w:pPr>
                  <w:r>
                    <w:t xml:space="preserve">4.3952</w:t>
                  </w:r>
                </w:p>
              </w:tc>
              <w:tc>
                <w:tcPr/>
                <w:p>
                  <w:pPr>
                    <w:pStyle w:val="Compact"/>
                    <w:jc w:val="center"/>
                  </w:pPr>
                  <w:r>
                    <w:t xml:space="preserve">3.7429</w:t>
                  </w:r>
                </w:p>
              </w:tc>
              <w:tc>
                <w:tcPr/>
                <w:p>
                  <w:pPr>
                    <w:pStyle w:val="Compact"/>
                    <w:jc w:val="center"/>
                  </w:pPr>
                  <w:r>
                    <w:t xml:space="preserve">5.1646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2.0751</w:t>
                  </w:r>
                </w:p>
              </w:tc>
              <w:tc>
                <w:tcPr/>
                <w:p>
                  <w:pPr>
                    <w:pStyle w:val="Compact"/>
                    <w:jc w:val="center"/>
                  </w:pPr>
                  <w:r>
                    <w:t xml:space="preserve">2.0288</w:t>
                  </w:r>
                </w:p>
              </w:tc>
              <w:tc>
                <w:tcPr/>
                <w:p>
                  <w:pPr>
                    <w:pStyle w:val="Compact"/>
                    <w:jc w:val="center"/>
                  </w:pPr>
                  <w:r>
                    <w:t xml:space="preserve">2.1233</w:t>
                  </w:r>
                </w:p>
              </w:tc>
            </w:tr>
            <w:tr>
              <w:tc>
                <w:tcPr/>
                <w:p>
                  <w:pPr>
                    <w:pStyle w:val="Compact"/>
                    <w:jc w:val="center"/>
                  </w:pPr>
                  <w:r>
                    <w:t xml:space="preserve">u</w:t>
                  </w:r>
                </w:p>
              </w:tc>
              <w:tc>
                <w:tcPr/>
                <w:p>
                  <w:pPr>
                    <w:pStyle w:val="Compact"/>
                    <w:jc w:val="center"/>
                  </w:pPr>
                  <w:r>
                    <w:t xml:space="preserve">30</w:t>
                  </w:r>
                </w:p>
              </w:tc>
              <w:tc>
                <w:tcPr/>
                <w:p>
                  <w:pPr>
                    <w:pStyle w:val="Compact"/>
                    <w:jc w:val="center"/>
                  </w:pPr>
                  <w:r>
                    <w:t xml:space="preserve">0.961</w:t>
                  </w:r>
                </w:p>
              </w:tc>
              <w:tc>
                <w:tcPr/>
                <w:p>
                  <w:pPr>
                    <w:pStyle w:val="Compact"/>
                    <w:jc w:val="center"/>
                  </w:pPr>
                  <w:r>
                    <w:t xml:space="preserve">0.9603</w:t>
                  </w:r>
                </w:p>
              </w:tc>
              <w:tc>
                <w:tcPr/>
                <w:p>
                  <w:pPr>
                    <w:pStyle w:val="Compact"/>
                    <w:jc w:val="center"/>
                  </w:pPr>
                  <w:r>
                    <w:t xml:space="preserve">0.9466</w:t>
                  </w:r>
                </w:p>
              </w:tc>
              <w:tc>
                <w:tcPr/>
                <w:p>
                  <w:pPr>
                    <w:pStyle w:val="Compact"/>
                    <w:jc w:val="center"/>
                  </w:pPr>
                  <w:r>
                    <w:t xml:space="preserve">0.9716</w:t>
                  </w:r>
                </w:p>
              </w:tc>
            </w:tr>
            <w:tr>
              <w:tc>
                <w:tcPr/>
                <w:p>
                  <w:pPr>
                    <w:pStyle w:val="Compact"/>
                    <w:jc w:val="center"/>
                  </w:pPr>
                  <w:r>
                    <w:t xml:space="preserve">ell</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6.55</w:t>
                  </w:r>
                </w:p>
              </w:tc>
              <w:tc>
                <w:tcPr/>
                <w:p>
                  <w:pPr>
                    <w:pStyle w:val="Compact"/>
                    <w:jc w:val="center"/>
                  </w:pPr>
                  <w:r>
                    <w:t xml:space="preserve">5.8805</w:t>
                  </w:r>
                </w:p>
              </w:tc>
              <w:tc>
                <w:tcPr/>
                <w:p>
                  <w:pPr>
                    <w:pStyle w:val="Compact"/>
                    <w:jc w:val="center"/>
                  </w:pPr>
                  <w:r>
                    <w:t xml:space="preserve">5.2081</w:t>
                  </w:r>
                </w:p>
              </w:tc>
              <w:tc>
                <w:tcPr/>
                <w:p>
                  <w:pPr>
                    <w:pStyle w:val="Compact"/>
                    <w:jc w:val="center"/>
                  </w:pPr>
                  <w:r>
                    <w:t xml:space="preserve">6.673</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1.7893</w:t>
                  </w:r>
                </w:p>
              </w:tc>
              <w:tc>
                <w:tcPr/>
                <w:p>
                  <w:pPr>
                    <w:pStyle w:val="Compact"/>
                    <w:jc w:val="center"/>
                  </w:pPr>
                  <w:r>
                    <w:t xml:space="preserve">1.7585</w:t>
                  </w:r>
                </w:p>
              </w:tc>
              <w:tc>
                <w:tcPr/>
                <w:p>
                  <w:pPr>
                    <w:pStyle w:val="Compact"/>
                    <w:jc w:val="center"/>
                  </w:pPr>
                  <w:r>
                    <w:t xml:space="preserve">1.8221</w:t>
                  </w:r>
                </w:p>
              </w:tc>
            </w:tr>
            <w:tr>
              <w:tc>
                <w:tcPr/>
                <w:p>
                  <w:pPr>
                    <w:pStyle w:val="Compact"/>
                    <w:jc w:val="center"/>
                  </w:pPr>
                  <w:r>
                    <w:t xml:space="preserve">u</w:t>
                  </w:r>
                </w:p>
              </w:tc>
              <w:tc>
                <w:tcPr/>
                <w:p>
                  <w:pPr>
                    <w:pStyle w:val="Compact"/>
                    <w:jc w:val="center"/>
                  </w:pPr>
                  <w:r>
                    <w:t xml:space="preserve">32</w:t>
                  </w:r>
                </w:p>
              </w:tc>
              <w:tc>
                <w:tcPr/>
                <w:p>
                  <w:pPr>
                    <w:pStyle w:val="Compact"/>
                    <w:jc w:val="center"/>
                  </w:pPr>
                  <w:r>
                    <w:t xml:space="preserve">0.943</w:t>
                  </w:r>
                </w:p>
              </w:tc>
              <w:tc>
                <w:tcPr/>
                <w:p>
                  <w:pPr>
                    <w:pStyle w:val="Compact"/>
                    <w:jc w:val="center"/>
                  </w:pPr>
                  <w:r>
                    <w:t xml:space="preserve">0.9412</w:t>
                  </w:r>
                </w:p>
              </w:tc>
              <w:tc>
                <w:tcPr/>
                <w:p>
                  <w:pPr>
                    <w:pStyle w:val="Compact"/>
                    <w:jc w:val="center"/>
                  </w:pPr>
                  <w:r>
                    <w:t xml:space="preserve">0.9282</w:t>
                  </w:r>
                </w:p>
              </w:tc>
              <w:tc>
                <w:tcPr/>
                <w:p>
                  <w:pPr>
                    <w:pStyle w:val="Compact"/>
                    <w:jc w:val="center"/>
                  </w:pPr>
                  <w:r>
                    <w:t xml:space="preserve">0.953</w:t>
                  </w:r>
                </w:p>
              </w:tc>
            </w:tr>
            <w:tr>
              <w:tc>
                <w:tcPr/>
                <w:p>
                  <w:pPr>
                    <w:pStyle w:val="Compact"/>
                    <w:jc w:val="center"/>
                  </w:pPr>
                  <w:r>
                    <w:t xml:space="preserve">ell</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7.8697</w:t>
                  </w:r>
                </w:p>
              </w:tc>
              <w:tc>
                <w:tcPr/>
                <w:p>
                  <w:pPr>
                    <w:pStyle w:val="Compact"/>
                    <w:jc w:val="center"/>
                  </w:pPr>
                  <w:r>
                    <w:t xml:space="preserve">6.8926</w:t>
                  </w:r>
                </w:p>
              </w:tc>
              <w:tc>
                <w:tcPr/>
                <w:p>
                  <w:pPr>
                    <w:pStyle w:val="Compact"/>
                    <w:jc w:val="center"/>
                  </w:pPr>
                  <w:r>
                    <w:t xml:space="preserve">9.1089</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1.5043</w:t>
                  </w:r>
                </w:p>
              </w:tc>
              <w:tc>
                <w:tcPr/>
                <w:p>
                  <w:pPr>
                    <w:pStyle w:val="Compact"/>
                    <w:jc w:val="center"/>
                  </w:pPr>
                  <w:r>
                    <w:t xml:space="preserve">1.4804</w:t>
                  </w:r>
                </w:p>
              </w:tc>
              <w:tc>
                <w:tcPr/>
                <w:p>
                  <w:pPr>
                    <w:pStyle w:val="Compact"/>
                    <w:jc w:val="center"/>
                  </w:pPr>
                  <w:r>
                    <w:t xml:space="preserve">1.5293</w:t>
                  </w:r>
                </w:p>
              </w:tc>
            </w:tr>
            <w:tr>
              <w:tc>
                <w:tcPr/>
                <w:p>
                  <w:pPr>
                    <w:pStyle w:val="Compact"/>
                    <w:jc w:val="center"/>
                  </w:pPr>
                  <w:r>
                    <w:t xml:space="preserve">u</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0.9148</w:t>
                  </w:r>
                </w:p>
              </w:tc>
              <w:tc>
                <w:tcPr/>
                <w:p>
                  <w:pPr>
                    <w:pStyle w:val="Compact"/>
                    <w:jc w:val="center"/>
                  </w:pPr>
                  <w:r>
                    <w:t xml:space="preserve">0.901</w:t>
                  </w:r>
                </w:p>
              </w:tc>
              <w:tc>
                <w:tcPr/>
                <w:p>
                  <w:pPr>
                    <w:pStyle w:val="Compact"/>
                    <w:jc w:val="center"/>
                  </w:pPr>
                  <w:r>
                    <w:t xml:space="preserve">0.9272</w:t>
                  </w:r>
                </w:p>
              </w:tc>
            </w:tr>
            <w:tr>
              <w:tc>
                <w:tcPr/>
                <w:p>
                  <w:pPr>
                    <w:pStyle w:val="Compact"/>
                    <w:jc w:val="center"/>
                  </w:pPr>
                  <w:r>
                    <w:t xml:space="preserve">ell</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9.771</w:t>
                  </w:r>
                </w:p>
              </w:tc>
              <w:tc>
                <w:tcPr/>
                <w:p>
                  <w:pPr>
                    <w:pStyle w:val="Compact"/>
                    <w:jc w:val="center"/>
                  </w:pPr>
                  <w:r>
                    <w:t xml:space="preserve">10.5314</w:t>
                  </w:r>
                </w:p>
              </w:tc>
              <w:tc>
                <w:tcPr/>
                <w:p>
                  <w:pPr>
                    <w:pStyle w:val="Compact"/>
                    <w:jc w:val="center"/>
                  </w:pPr>
                  <w:r>
                    <w:t xml:space="preserve">8.8045</w:t>
                  </w:r>
                </w:p>
              </w:tc>
              <w:tc>
                <w:tcPr/>
                <w:p>
                  <w:pPr>
                    <w:pStyle w:val="Compact"/>
                    <w:jc w:val="center"/>
                  </w:pPr>
                  <w:r>
                    <w:t xml:space="preserve">12.9561</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1.2187</w:t>
                  </w:r>
                </w:p>
              </w:tc>
              <w:tc>
                <w:tcPr/>
                <w:p>
                  <w:pPr>
                    <w:pStyle w:val="Compact"/>
                    <w:jc w:val="center"/>
                  </w:pPr>
                  <w:r>
                    <w:t xml:space="preserve">1.1896</w:t>
                  </w:r>
                </w:p>
              </w:tc>
              <w:tc>
                <w:tcPr/>
                <w:p>
                  <w:pPr>
                    <w:pStyle w:val="Compact"/>
                    <w:jc w:val="center"/>
                  </w:pPr>
                  <w:r>
                    <w:t xml:space="preserve">1.2488</w:t>
                  </w:r>
                </w:p>
              </w:tc>
            </w:tr>
            <w:tr>
              <w:tc>
                <w:tcPr/>
                <w:p>
                  <w:pPr>
                    <w:pStyle w:val="Compact"/>
                    <w:jc w:val="center"/>
                  </w:pPr>
                  <w:r>
                    <w:t xml:space="preserve">u</w:t>
                  </w:r>
                </w:p>
              </w:tc>
              <w:tc>
                <w:tcPr/>
                <w:p>
                  <w:pPr>
                    <w:pStyle w:val="Compact"/>
                    <w:jc w:val="center"/>
                  </w:pPr>
                  <w:r>
                    <w:t xml:space="preserve">36</w:t>
                  </w:r>
                </w:p>
              </w:tc>
              <w:tc>
                <w:tcPr/>
                <w:p>
                  <w:pPr>
                    <w:pStyle w:val="Compact"/>
                    <w:jc w:val="center"/>
                  </w:pPr>
                  <w:r>
                    <w:t xml:space="preserve">0.89</w:t>
                  </w:r>
                </w:p>
              </w:tc>
              <w:tc>
                <w:tcPr/>
                <w:p>
                  <w:pPr>
                    <w:pStyle w:val="Compact"/>
                    <w:jc w:val="center"/>
                  </w:pPr>
                  <w:r>
                    <w:t xml:space="preserve">0.8793</w:t>
                  </w:r>
                </w:p>
              </w:tc>
              <w:tc>
                <w:tcPr/>
                <w:p>
                  <w:pPr>
                    <w:pStyle w:val="Compact"/>
                    <w:jc w:val="center"/>
                  </w:pPr>
                  <w:r>
                    <w:t xml:space="preserve">0.859</w:t>
                  </w:r>
                </w:p>
              </w:tc>
              <w:tc>
                <w:tcPr/>
                <w:p>
                  <w:pPr>
                    <w:pStyle w:val="Compact"/>
                    <w:jc w:val="center"/>
                  </w:pPr>
                  <w:r>
                    <w:t xml:space="preserve">0.898</w:t>
                  </w:r>
                </w:p>
              </w:tc>
            </w:tr>
            <w:tr>
              <w:tc>
                <w:tcPr/>
                <w:p>
                  <w:pPr>
                    <w:pStyle w:val="Compact"/>
                    <w:jc w:val="center"/>
                  </w:pPr>
                  <w:r>
                    <w:t xml:space="preserve">ell</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11.935</w:t>
                  </w:r>
                </w:p>
              </w:tc>
              <w:tc>
                <w:tcPr/>
                <w:p>
                  <w:pPr>
                    <w:pStyle w:val="Compact"/>
                    <w:jc w:val="center"/>
                  </w:pPr>
                  <w:r>
                    <w:t xml:space="preserve">14.0821</w:t>
                  </w:r>
                </w:p>
              </w:tc>
              <w:tc>
                <w:tcPr/>
                <w:p>
                  <w:pPr>
                    <w:pStyle w:val="Compact"/>
                    <w:jc w:val="center"/>
                  </w:pPr>
                  <w:r>
                    <w:t xml:space="preserve">10.9943</w:t>
                  </w:r>
                </w:p>
              </w:tc>
              <w:tc>
                <w:tcPr/>
                <w:p>
                  <w:pPr>
                    <w:pStyle w:val="Compact"/>
                    <w:jc w:val="center"/>
                  </w:pPr>
                  <w:r>
                    <w:t xml:space="preserve">18.8182</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0.9331</w:t>
                  </w:r>
                </w:p>
              </w:tc>
              <w:tc>
                <w:tcPr/>
                <w:p>
                  <w:pPr>
                    <w:pStyle w:val="Compact"/>
                    <w:jc w:val="center"/>
                  </w:pPr>
                  <w:r>
                    <w:t xml:space="preserve">0.8903</w:t>
                  </w:r>
                </w:p>
              </w:tc>
              <w:tc>
                <w:tcPr/>
                <w:p>
                  <w:pPr>
                    <w:pStyle w:val="Compact"/>
                    <w:jc w:val="center"/>
                  </w:pPr>
                  <w:r>
                    <w:t xml:space="preserve">0.978</w:t>
                  </w:r>
                </w:p>
              </w:tc>
            </w:tr>
            <w:tr>
              <w:tc>
                <w:tcPr/>
                <w:p>
                  <w:pPr>
                    <w:pStyle w:val="Compact"/>
                    <w:jc w:val="center"/>
                  </w:pPr>
                  <w:r>
                    <w:t xml:space="preserve">u</w:t>
                  </w:r>
                </w:p>
              </w:tc>
              <w:tc>
                <w:tcPr/>
                <w:p>
                  <w:pPr>
                    <w:pStyle w:val="Compact"/>
                    <w:jc w:val="center"/>
                  </w:pPr>
                  <w:r>
                    <w:t xml:space="preserve">38</w:t>
                  </w:r>
                </w:p>
              </w:tc>
              <w:tc>
                <w:tcPr/>
                <w:p>
                  <w:pPr>
                    <w:pStyle w:val="Compact"/>
                    <w:jc w:val="center"/>
                  </w:pPr>
                  <w:r>
                    <w:t xml:space="preserve">0.852</w:t>
                  </w:r>
                </w:p>
              </w:tc>
              <w:tc>
                <w:tcPr/>
                <w:p>
                  <w:pPr>
                    <w:pStyle w:val="Compact"/>
                    <w:jc w:val="center"/>
                  </w:pPr>
                  <w:r>
                    <w:t xml:space="preserve">0.8355</w:t>
                  </w:r>
                </w:p>
              </w:tc>
              <w:tc>
                <w:tcPr/>
                <w:p>
                  <w:pPr>
                    <w:pStyle w:val="Compact"/>
                    <w:jc w:val="center"/>
                  </w:pPr>
                  <w:r>
                    <w:t xml:space="preserve">0.8005</w:t>
                  </w:r>
                </w:p>
              </w:tc>
              <w:tc>
                <w:tcPr/>
                <w:p>
                  <w:pPr>
                    <w:pStyle w:val="Compact"/>
                    <w:jc w:val="center"/>
                  </w:pPr>
                  <w:r>
                    <w:t xml:space="preserve">0.8673</w:t>
                  </w:r>
                </w:p>
              </w:tc>
            </w:tr>
            <w:tr>
              <w:tc>
                <w:tcPr/>
                <w:p>
                  <w:pPr>
                    <w:pStyle w:val="Compact"/>
                    <w:jc w:val="center"/>
                  </w:pPr>
                  <w:r>
                    <w:t xml:space="preserve">phi</w:t>
                  </w:r>
                </w:p>
              </w:tc>
              <w:tc>
                <w:tcPr/>
                <w:p>
                  <w:pPr>
                    <w:pStyle w:val="Compact"/>
                    <w:jc w:val="center"/>
                  </w:pPr>
                  <w:r>
                    <w:t xml:space="preserve">all</w:t>
                  </w:r>
                </w:p>
              </w:tc>
              <w:tc>
                <w:tcPr/>
                <w:p>
                  <w:pPr>
                    <w:pStyle w:val="Compact"/>
                    <w:jc w:val="center"/>
                  </w:pPr>
                  <w:r>
                    <w:t xml:space="preserve">5</w:t>
                  </w:r>
                </w:p>
              </w:tc>
              <w:tc>
                <w:tcPr/>
                <w:p>
                  <w:pPr>
                    <w:pStyle w:val="Compact"/>
                    <w:jc w:val="center"/>
                  </w:pPr>
                  <w:r>
                    <w:t xml:space="preserve">4.7371</w:t>
                  </w:r>
                </w:p>
              </w:tc>
              <w:tc>
                <w:tcPr/>
                <w:p>
                  <w:pPr>
                    <w:pStyle w:val="Compact"/>
                    <w:jc w:val="center"/>
                  </w:pPr>
                  <w:r>
                    <w:t xml:space="preserve">4.0814</w:t>
                  </w:r>
                </w:p>
              </w:tc>
              <w:tc>
                <w:tcPr/>
                <w:p>
                  <w:pPr>
                    <w:pStyle w:val="Compact"/>
                    <w:jc w:val="center"/>
                  </w:pPr>
                  <w:r>
                    <w:t xml:space="preserve">5.4931</w:t>
                  </w:r>
                </w:p>
              </w:tc>
            </w:tr>
          </w:tbl>
          <w:bookmarkEnd w:id="72"/>
          <w:p/>
        </w:tc>
      </w:tr>
    </w:tbl>
    <w:p>
      <w:pPr>
        <w:pStyle w:val="BodyText"/>
      </w:pPr>
      <w:r>
        <w:t xml:space="preserve">Now we can check the changes in</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having temperature impact on multiple parameters of the 4PL using our workflow in the previous section.</w:t>
      </w:r>
    </w:p>
    <w:p>
      <w:pPr>
        <w:pStyle w:val="SourceCode"/>
      </w:pPr>
      <w:r>
        <w:rPr>
          <w:rStyle w:val="CommentTok"/>
        </w:rPr>
        <w:t xml:space="preserve"># Predict-and-interpolate recipe applied to the extended fit. The code is</w:t>
      </w:r>
      <w:r>
        <w:br/>
      </w:r>
      <w:r>
        <w:rPr>
          <w:rStyle w:val="CommentTok"/>
        </w:rPr>
        <w:t xml:space="preserve"># identical to @sec-joint-extend-recipe — only the fit changes.</w:t>
      </w:r>
      <w:r>
        <w:br/>
      </w:r>
      <w:r>
        <w:rPr>
          <w:rStyle w:val="NormalTok"/>
        </w:rPr>
        <w:t xml:space="preserve">pred_grid_ext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NormalTok"/>
        </w:rPr>
        <w:t xml:space="preserve">epred_ext </w:t>
      </w:r>
      <w:r>
        <w:rPr>
          <w:rStyle w:val="OtherTok"/>
        </w:rPr>
        <w:t xml:space="preserve">&lt;-</w:t>
      </w:r>
      <w:r>
        <w:rPr>
          <w:rStyle w:val="NormalTok"/>
        </w:rPr>
        <w:t xml:space="preserve"> pred_grid_ext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(fit_bb_ext,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NormalTok"/>
        </w:rPr>
        <w:t xml:space="preserve">lt50_T_ext </w:t>
      </w:r>
      <w:r>
        <w:rPr>
          <w:rStyle w:val="OtherTok"/>
        </w:rPr>
        <w:t xml:space="preserve">&lt;-</w:t>
      </w:r>
      <w:r>
        <w:rPr>
          <w:rStyle w:val="NormalTok"/>
        </w:rPr>
        <w:t xml:space="preserve"> epred_ext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z_per_draw_ext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NormalTok"/>
        </w:rPr>
        <w:t xml:space="preserve">ctmax_per_draw_ext </w:t>
      </w:r>
      <w:r>
        <w:rPr>
          <w:rStyle w:val="OtherTok"/>
        </w:rPr>
        <w:t xml:space="preserve">&lt;-</w:t>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summaries: z at each assay temperature, and CTmax_1hr.</w:t>
      </w:r>
      <w:r>
        <w:br/>
      </w:r>
      <w:r>
        <w:rPr>
          <w:rStyle w:val="NormalTok"/>
        </w:rPr>
        <w:t xml:space="preserve">z_summary_ext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ctmax_summary_ext </w:t>
      </w:r>
      <w:r>
        <w:rPr>
          <w:rStyle w:val="OtherTok"/>
        </w:rPr>
        <w:t xml:space="preserve">&lt;-</w:t>
      </w:r>
      <w:r>
        <w:rPr>
          <w:rStyle w:val="NormalTok"/>
        </w:rPr>
        <w:t xml:space="preserve"> ctmax_per_draw_ext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z_summary_ext</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1    30  6.79  6.41  7.31</w:t>
      </w:r>
      <w:r>
        <w:br/>
      </w:r>
      <w:r>
        <w:rPr>
          <w:rStyle w:val="VerbatimChar"/>
        </w:rPr>
        <w:t xml:space="preserve">2    32  6.82  6.44  7.36</w:t>
      </w:r>
      <w:r>
        <w:br/>
      </w:r>
      <w:r>
        <w:rPr>
          <w:rStyle w:val="VerbatimChar"/>
        </w:rPr>
        <w:t xml:space="preserve">3    34  6.85  6.47  7.41</w:t>
      </w:r>
      <w:r>
        <w:br/>
      </w:r>
      <w:r>
        <w:rPr>
          <w:rStyle w:val="VerbatimChar"/>
        </w:rPr>
        <w:t xml:space="preserve">4    36  6.88  6.48  7.44</w:t>
      </w:r>
      <w:r>
        <w:br/>
      </w:r>
      <w:r>
        <w:rPr>
          <w:rStyle w:val="VerbatimChar"/>
        </w:rPr>
        <w:t xml:space="preserve">5    38  6.90  6.49  7.47</w:t>
      </w:r>
    </w:p>
    <w:p>
      <w:pPr>
        <w:pStyle w:val="SourceCode"/>
      </w:pPr>
      <w:r>
        <w:rPr>
          <w:rStyle w:val="NormalTok"/>
        </w:rPr>
        <w:t xml:space="preserve">ctmax_summary_ext</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1          32.0         31.8         32.2</w:t>
      </w:r>
    </w:p>
    <w:p>
      <w:pPr>
        <w:pStyle w:val="FirstParagraph"/>
      </w:pPr>
      <w:r>
        <w:t xml:space="preserve">In the simple-model fit (</w:t>
      </w:r>
      <w:hyperlink w:anchor="sec-joint-derive">
        <w:r>
          <w:rPr>
            <w:rStyle w:val="Hyperlink"/>
          </w:rPr>
          <w:t xml:space="preserve">Section 1.0.4</w:t>
        </w:r>
      </w:hyperlink>
      <w:r>
        <w:t xml:space="preserve">),</w:t>
      </w:r>
      <w:r>
        <w:t xml:space="preserve"> </w:t>
      </w:r>
      <m:oMath>
        <m:r>
          <m:t>z</m:t>
        </m:r>
      </m:oMath>
      <w:r>
        <w:t xml:space="preserve"> </w:t>
      </w:r>
      <w:r>
        <w:t xml:space="preserve">was essentially the same value at every assay temperature. In this extended fit, the posterior medians of</w:t>
      </w:r>
      <w:r>
        <w:t xml:space="preserve"> </w:t>
      </w:r>
      <m:oMath>
        <m:r>
          <m:t>z</m:t>
        </m:r>
      </m:oMath>
      <w:r>
        <w:t xml:space="preserve"> </w:t>
      </w:r>
      <w:r>
        <w:t xml:space="preserve">vary across temperature (albeit slightly): a direct consequence of the temperature-dependent</w:t>
      </w:r>
      <w:r>
        <w:t xml:space="preserve"> </w:t>
      </w:r>
      <m:oMath>
        <m:r>
          <m:t>k</m:t>
        </m:r>
      </m:oMath>
      <w:r>
        <w:t xml:space="preserve"> </w:t>
      </w:r>
      <w:r>
        <w:t xml:space="preserve">and</w:t>
      </w:r>
      <w:r>
        <w:t xml:space="preserve"> </w:t>
      </w:r>
      <m:oMath>
        <m:r>
          <m:t>u</m:t>
        </m:r>
      </m:oMath>
      <w:r>
        <w:t xml:space="preserve">, which bend the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p>
      <w:pPr>
        <w:pStyle w:val="BodyText"/>
      </w:pPr>
      <w:r>
        <w:t xml:space="preserve">In contrast,</w:t>
      </w:r>
      <w:r>
        <w:t xml:space="preserve"> </w:t>
      </w:r>
      <m:oMath>
        <m:r>
          <m:t>C</m:t>
        </m:r>
        <m:sSub>
          <m:e>
            <m:r>
              <m:t>T</m:t>
            </m:r>
          </m:e>
          <m:sub>
            <m:r>
              <m:t>m</m:t>
            </m:r>
            <m:r>
              <m:t>a</m:t>
            </m:r>
            <m:sSub>
              <m:e>
                <m:r>
                  <m:t>x</m:t>
                </m:r>
              </m:e>
              <m:sub>
                <m:r>
                  <m:t>1</m:t>
                </m:r>
                <m:r>
                  <m:t>h</m:t>
                </m:r>
                <m:r>
                  <m:t>r</m:t>
                </m:r>
              </m:sub>
            </m:sSub>
          </m:sub>
        </m:sSub>
      </m:oMath>
      <w:r>
        <w:t xml:space="preserve"> </w:t>
      </w:r>
      <w:r>
        <w:t xml:space="preserve">remains a single number per posterior draw, and in this simulation it actually lands very close to the simple-model value (~32 °C): the asymmetry correction is near zero at the temperature where the LT50 curve crosses 1 hour, so</w:t>
      </w:r>
      <w:r>
        <w:t xml:space="preserve"> </w:t>
      </w:r>
      <m:oMath>
        <m:r>
          <m:t>C</m:t>
        </m:r>
        <m:sSub>
          <m:e>
            <m:r>
              <m:t>T</m:t>
            </m:r>
          </m:e>
          <m:sub>
            <m:r>
              <m:t>m</m:t>
            </m:r>
            <m:r>
              <m:t>a</m:t>
            </m:r>
            <m:sSub>
              <m:e>
                <m:r>
                  <m:t>x</m:t>
                </m:r>
              </m:e>
              <m:sub>
                <m:r>
                  <m:t>1</m:t>
                </m:r>
                <m:r>
                  <m:t>h</m:t>
                </m:r>
                <m:r>
                  <m:t>r</m:t>
                </m:r>
              </m:sub>
            </m:sSub>
          </m:sub>
        </m:sSub>
      </m:oMath>
      <w:r>
        <w:t xml:space="preserve"> </w:t>
      </w:r>
      <w:r>
        <w:t xml:space="preserve">is locally almost insensitive to the T-varying shape parameters. With more pronounced T-dependence in</w:t>
      </w:r>
      <w:r>
        <w:t xml:space="preserve"> </w:t>
      </w:r>
      <m:oMath>
        <m:r>
          <m:t>k</m:t>
        </m:r>
      </m:oMath>
      <w:r>
        <w:t xml:space="preserve"> </w:t>
      </w:r>
      <w:r>
        <w:t xml:space="preserve">and</w:t>
      </w:r>
      <w:r>
        <w:t xml:space="preserve"> </w:t>
      </w:r>
      <m:oMath>
        <m:r>
          <m:t>u</m:t>
        </m:r>
      </m:oMath>
      <w:r>
        <w:t xml:space="preserve">, or with shape parameters further from the symmetric (</w:t>
      </w:r>
      <m:oMath>
        <m:r>
          <m:rPr>
            <m:sty m:val="p"/>
          </m:rPr>
          <m:t>ℓ</m:t>
        </m:r>
        <m:r>
          <m:rPr>
            <m:sty m:val="p"/>
          </m:rPr>
          <m:t>+</m:t>
        </m:r>
        <m:r>
          <m:t>u</m:t>
        </m:r>
        <m:r>
          <m:rPr>
            <m:sty m:val="p"/>
          </m:rPr>
          <m:t>≈</m:t>
        </m:r>
        <m:r>
          <m:t>1</m:t>
        </m:r>
      </m:oMath>
      <w:r>
        <w:t xml:space="preserve">) regime,</w:t>
      </w:r>
      <w:r>
        <w:t xml:space="preserve"> </w:t>
      </w:r>
      <m:oMath>
        <m:r>
          <m:t>C</m:t>
        </m:r>
        <m:sSub>
          <m:e>
            <m:r>
              <m:t>T</m:t>
            </m:r>
          </m:e>
          <m:sub>
            <m:r>
              <m:t>m</m:t>
            </m:r>
            <m:r>
              <m:t>a</m:t>
            </m:r>
            <m:sSub>
              <m:e>
                <m:r>
                  <m:t>x</m:t>
                </m:r>
              </m:e>
              <m:sub>
                <m:r>
                  <m:t>1</m:t>
                </m:r>
                <m:r>
                  <m:t>h</m:t>
                </m:r>
                <m:r>
                  <m:t>r</m:t>
                </m:r>
              </m:sub>
            </m:sSub>
          </m:sub>
        </m:sSub>
      </m:oMath>
      <w:r>
        <w:t xml:space="preserve"> </w:t>
      </w:r>
      <w:r>
        <w:t xml:space="preserve">would shift more visibly.</w:t>
      </w:r>
    </w:p>
    <w:p>
      <w:pPr>
        <w:pStyle w:val="BodyText"/>
      </w:pPr>
      <w:r>
        <w:t xml:space="preserve">If we now want to get an adjusted</w:t>
      </w:r>
      <w:r>
        <w:t xml:space="preserve"> </w:t>
      </w:r>
      <w:r>
        <w:rPr>
          <w:i/>
          <w:iCs/>
        </w:rPr>
        <w:t xml:space="preserve">z</w:t>
      </w:r>
      <w:r>
        <w:t xml:space="preserve"> </w:t>
      </w:r>
      <w:r>
        <w:t xml:space="preserve">that averages across these temperatures we can do that as follows:</w:t>
      </w:r>
    </w:p>
    <w:p>
      <w:pPr>
        <w:pStyle w:val="SourceCode"/>
      </w:pPr>
      <w:r>
        <w:rPr>
          <w:rStyle w:val="CommentTok"/>
        </w:rPr>
        <w:t xml:space="preserve"># For each posterior draw, average the five local z(T_eval) values into</w:t>
      </w:r>
      <w:r>
        <w:br/>
      </w:r>
      <w:r>
        <w:rPr>
          <w:rStyle w:val="CommentTok"/>
        </w:rPr>
        <w:t xml:space="preserve"># a single adjusted z; then summarise across draws.</w:t>
      </w:r>
      <w:r>
        <w:br/>
      </w:r>
      <w:r>
        <w:rPr>
          <w:rStyle w:val="NormalTok"/>
        </w:rPr>
        <w:t xml:space="preserve">adjusted_z_ext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z_mean =</w:t>
      </w:r>
      <w:r>
        <w:rPr>
          <w:rStyle w:val="NormalTok"/>
        </w:rPr>
        <w:t xml:space="preserve"> </w:t>
      </w:r>
      <w:r>
        <w:rPr>
          <w:rStyle w:val="FunctionTok"/>
        </w:rPr>
        <w:t xml:space="preserve">mean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adjusted_z_ext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(z_mean,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(z_mean,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(z_mean,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z_med  z_lo  z_hi</w:t>
      </w:r>
      <w:r>
        <w:br/>
      </w:r>
      <w:r>
        <w:rPr>
          <w:rStyle w:val="VerbatimChar"/>
        </w:rPr>
        <w:t xml:space="preserve">  &lt;dbl&gt; &lt;dbl&gt; &lt;dbl&gt;</w:t>
      </w:r>
      <w:r>
        <w:br/>
      </w:r>
      <w:r>
        <w:rPr>
          <w:rStyle w:val="VerbatimChar"/>
        </w:rPr>
        <w:t xml:space="preserve">1  6.85  6.46  7.40</w:t>
      </w:r>
    </w:p>
    <w:p>
      <w:pPr>
        <w:pStyle w:val="FirstParagraph"/>
      </w:pPr>
      <w:r>
        <w:t xml:space="preserve">Compared to the simple-model</w:t>
      </w:r>
      <w:r>
        <w:t xml:space="preserve"> </w:t>
      </w:r>
      <m:oMath>
        <m:r>
          <m:t>z</m:t>
        </m:r>
        <m:r>
          <m:rPr>
            <m:sty m:val="p"/>
          </m:rPr>
          <m:t>=</m:t>
        </m:r>
        <m:r>
          <m:t>6.67</m:t>
        </m:r>
      </m:oMath>
      <w:r>
        <w:t xml:space="preserve"> </w:t>
      </w:r>
      <w:r>
        <w:t xml:space="preserve">°C (where shape parameters did not vary with temperature), this adjusted</w:t>
      </w:r>
      <w:r>
        <w:t xml:space="preserve"> </w:t>
      </w:r>
      <m:oMath>
        <m:r>
          <m:t>z</m:t>
        </m:r>
      </m:oMath>
      <w:r>
        <w:t xml:space="preserve"> </w:t>
      </w:r>
      <w:r>
        <w:t xml:space="preserve">is 6.85 °C with 95% credible interval [6.46, 7.4] °C — slightly lower in point estimate, with the simple-model value sitting near the upper end of the credible interval. With stronger T-dependence in</w:t>
      </w:r>
      <w:r>
        <w:t xml:space="preserve"> </w:t>
      </w:r>
      <m:oMath>
        <m:r>
          <m:t>k</m:t>
        </m:r>
      </m:oMath>
      <w:r>
        <w:t xml:space="preserve"> </w:t>
      </w:r>
      <w:r>
        <w:t xml:space="preserve">and</w:t>
      </w:r>
      <w:r>
        <w:t xml:space="preserve"> </w:t>
      </w:r>
      <m:oMath>
        <m:r>
          <m:t>u</m:t>
        </m:r>
      </m:oMath>
      <w:r>
        <w:t xml:space="preserve">,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would have more variation across temperatures and the two summaries would diverge more.</w:t>
      </w:r>
    </w:p>
    <w:bookmarkEnd w:id="73"/>
    <w:bookmarkEnd w:id="74"/>
    <w:bookmarkStart w:id="90" w:name="Xe7aa7dad2263dcc53896638c26df8fa36c3ac15"/>
    <w:p>
      <w:pPr>
        <w:pStyle w:val="Heading3"/>
      </w:pPr>
      <w:r>
        <w:t xml:space="preserve">1.0.7 Heat injury accumulation and survival under a realistic field trace</w:t>
      </w:r>
    </w:p>
    <w:p>
      <w:pPr>
        <w:pStyle w:val="FirstParagraph"/>
      </w:pPr>
      <w:r>
        <w:t xml:space="preserve">A particularly powerful aspect of TLS models is their ability to translate dynamic temperature time-series from nature and predict how such temperatures lead to heat injury (HI) accumulation towards a threshold (e.g.,</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Bayesian 4PL fit gives us not just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but their full joint posterior, which we can push through the HI integral to obtain a posterior distribution over the predicted HI trajectory. We can also go a step further and use the</w:t>
      </w:r>
      <w:r>
        <w:t xml:space="preserve"> </w:t>
      </w:r>
      <w:r>
        <w:rPr>
          <w:i/>
          <w:iCs/>
        </w:rPr>
        <w:t xml:space="preserve">full</w:t>
      </w:r>
      <w:r>
        <w:t xml:space="preserve"> </w:t>
      </w:r>
      <w:r>
        <w:t xml:space="preserve">4PL surface to predict the cumulative survival fraction</w:t>
      </w:r>
      <w:r>
        <w:t xml:space="preserve"> </w:t>
      </w:r>
      <m:oMath>
        <m:sSub>
          <m:e>
            <m:r>
              <m:t>S</m:t>
            </m:r>
          </m:e>
          <m:sub>
            <m:r>
              <m:rPr>
                <m:nor/>
                <m:sty m:val="p"/>
              </m:rPr>
              <m:t>pred</m:t>
            </m:r>
          </m:sub>
        </m:sSub>
        <m:d>
          <m:dPr>
            <m:begChr m:val="("/>
            <m:sepChr m:val=""/>
            <m:endChr m:val=")"/>
            <m:grow/>
          </m:dPr>
          <m:e>
            <m:r>
              <m:t>t</m:t>
            </m:r>
          </m:e>
        </m:d>
      </m:oMath>
      <w:r>
        <w:t xml:space="preserve"> </w:t>
      </w:r>
      <w:r>
        <w:t xml:space="preserve">across the trajectory — the second-step prediction discussed in the manuscript (Equation 9 of the manuscript).</w:t>
      </w:r>
    </w:p>
    <w:p>
      <w:pPr>
        <w:pStyle w:val="BodyText"/>
      </w:pPr>
      <w:r>
        <w:t xml:space="preserve">Below we apply both calculations to a realistic 5-day field temperature trace using the posterior of</w:t>
      </w:r>
      <w:r>
        <w:t xml:space="preserve"> </w:t>
      </w:r>
      <w:r>
        <w:rPr>
          <w:rStyle w:val="VerbatimChar"/>
        </w:rPr>
        <w:t xml:space="preserve">fit_bb</w:t>
      </w:r>
      <w:r>
        <w:t xml:space="preserve"> </w:t>
      </w:r>
      <w:r>
        <w:t xml:space="preserve">derived in</w:t>
      </w:r>
      <w:r>
        <w:t xml:space="preserve"> </w:t>
      </w:r>
      <w:hyperlink w:anchor="sec-joint-derive">
        <w:r>
          <w:rPr>
            <w:rStyle w:val="Hyperlink"/>
          </w:rPr>
          <w:t xml:space="preserve">Section 1.0.4</w:t>
        </w:r>
      </w:hyperlink>
      <w:r>
        <w:t xml:space="preserve">.</w:t>
      </w:r>
    </w:p>
    <w:bookmarkStart w:id="79" w:name="X2565bbe8bf2ef4bf1ac0b43de14fb322f1e6d4c"/>
    <w:p>
      <w:pPr>
        <w:pStyle w:val="Heading4"/>
      </w:pPr>
      <w:r>
        <w:t xml:space="preserve">1.0.7.1 A simulated temperature profile across 5 days</w:t>
      </w:r>
    </w:p>
    <w:p>
      <w:pPr>
        <w:pStyle w:val="FirstParagraph"/>
      </w:pPr>
      <w:r>
        <w:t xml:space="preserve">To mimic conditions a moderately heat-tolerant ectotherm might experience over a temperate-zone late-spring period, we generate 5 days of hourly temperatures with a sinusoidal diurnal cycle, ranging from 12°C overnight to a midday peak of 24°C. The critical temperature</w:t>
      </w:r>
      <w:r>
        <w:t xml:space="preserve"> </w:t>
      </w:r>
      <m:oMath>
        <m:sSub>
          <m:e>
            <m:r>
              <m:t>T</m:t>
            </m:r>
          </m:e>
          <m:sub>
            <m:r>
              <m:t>c</m:t>
            </m:r>
          </m:sub>
        </m:sSub>
      </m:oMath>
      <w:r>
        <w:t xml:space="preserve"> </w:t>
      </w:r>
      <w:r>
        <w:t xml:space="preserve">— below which damage is repaired as fast as it accrues and so there is no net damage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r>
        <w:t xml:space="preserve">— is set to 20°C. Injury accumulates only during the warmer part of each day.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°C and</w:t>
      </w:r>
      <w:r>
        <w:t xml:space="preserve"> </w:t>
      </w:r>
      <m:oMath>
        <m:r>
          <m:t>z</m:t>
        </m:r>
        <m:r>
          <m:rPr>
            <m:sty m:val="p"/>
          </m:rPr>
          <m:t>≈</m:t>
        </m:r>
        <m:r>
          <m:t>6.7</m:t>
        </m:r>
      </m:oMath>
      <w:r>
        <w:t xml:space="preserve">°C (from</w:t>
      </w:r>
      <w:r>
        <w:t xml:space="preserve"> </w:t>
      </w:r>
      <w:r>
        <w:rPr>
          <w:rStyle w:val="VerbatimChar"/>
        </w:rPr>
        <w:t xml:space="preserve">true_params</w:t>
      </w:r>
      <w:r>
        <w:t xml:space="preserve"> </w:t>
      </w:r>
      <w:r>
        <w:t xml:space="preserve">in</w:t>
      </w:r>
      <w:r>
        <w:t xml:space="preserve"> </w:t>
      </w:r>
      <w:hyperlink w:anchor="sec-sim-step1">
        <w:r>
          <w:rPr>
            <w:rStyle w:val="Hyperlink"/>
          </w:rPr>
          <w:t xml:space="preserve">Section 1.0.1.1</w:t>
        </w:r>
      </w:hyperlink>
      <w:r>
        <w:t xml:space="preserve">), so the daily peak at 24°C remains 8°C below the 1-hour critical limit — moderate, sub-lethal heat stress that builds cumulatively across days.</w:t>
      </w:r>
    </w:p>
    <w:p>
      <w:pPr>
        <w:pStyle w:val="SourceCode"/>
      </w:pPr>
      <w:r>
        <w:rPr>
          <w:rStyle w:val="CommentTok"/>
        </w:rPr>
        <w:t xml:space="preserve"># Hourly temperature trace: 5 days, sinusoidal diurnal cycle</w:t>
      </w:r>
      <w:r>
        <w:br/>
      </w:r>
      <w:r>
        <w:rPr>
          <w:rStyle w:val="NormalTok"/>
        </w:rPr>
        <w:t xml:space="preserve">hi_hours  </w:t>
      </w:r>
      <w:r>
        <w:rPr>
          <w:rStyle w:val="OtherTok"/>
        </w:rPr>
        <w:t xml:space="preserve">&lt;-</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hi_T_traj </w:t>
      </w:r>
      <w:r>
        <w:rPr>
          <w:rStyle w:val="Othe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(hi_hours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78" w:name="fig-hi-trace"/>
          <w:p>
            <w:pPr>
              <w:jc w:val="center"/>
            </w:pPr>
            <w:r>
              <w:drawing>
                <wp:inline>
                  <wp:extent cx="5943600" cy="2122714"/>
                  <wp:effectExtent b="0" l="0" r="0" t="0"/>
                  <wp:docPr descr="" title="" id="76" name="Picture"/>
                  <a:graphic>
                    <a:graphicData uri="http://schemas.openxmlformats.org/drawingml/2006/picture">
                      <pic:pic>
                        <pic:nvPicPr>
                          <pic:cNvPr descr="supplement_files/figure-docx/plot-hi-trace-1.png" id="77" name="Picture"/>
                          <pic:cNvPicPr>
                            <a:picLocks noChangeArrowheads="1" noChangeAspect="1"/>
                          </pic:cNvPicPr>
                        </pic:nvPicPr>
                        <pic:blipFill>
                          <a:blip r:embed="rId75"/>
                          <a:stretch>
                            <a:fillRect/>
                          </a:stretch>
                        </pic:blipFill>
                        <pic:spPr bwMode="auto">
                          <a:xfrm>
                            <a:off x="0" y="0"/>
                            <a:ext cx="5943600" cy="21227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5-day diurnal temperature trace used for the heat-injury and survival predictions.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so accumulation is sub-lethal and gradual.</w:t>
            </w:r>
          </w:p>
          <w:bookmarkEnd w:id="78"/>
        </w:tc>
      </w:tr>
    </w:tbl>
    <w:bookmarkEnd w:id="79"/>
    <w:bookmarkStart w:id="84" w:name="Xe6877a6f5dc983cb0dd5eab502e7dafa22c855c"/>
    <w:p>
      <w:pPr>
        <w:pStyle w:val="Heading4"/>
      </w:pPr>
      <w:r>
        <w:t xml:space="preserve">1.0.7.2 HI accumulation with full posterior uncertainty</w:t>
      </w:r>
    </w:p>
    <w:p>
      <w:pPr>
        <w:pStyle w:val="FirstParagraph"/>
      </w:pPr>
      <w:r>
        <w:t xml:space="preserve">For each posterior sample of</w:t>
      </w:r>
      <w:r>
        <w:t xml:space="preserve"> </w:t>
      </w:r>
      <m:oMath>
        <m:d>
          <m:dPr>
            <m:begChr m:val="("/>
            <m:sepChr m:val=""/>
            <m:endChr m:val=")"/>
            <m:grow/>
          </m:dPr>
          <m:e>
            <m:r>
              <m:t>z</m:t>
            </m:r>
            <m:r>
              <m:rPr>
                <m:sty m:val="p"/>
              </m:rPr>
              <m:t>,</m:t>
            </m:r>
            <m:r>
              <m:t>C</m:t>
            </m:r>
            <m:sSub>
              <m:e>
                <m:r>
                  <m:t>T</m:t>
                </m:r>
              </m:e>
              <m:sub>
                <m:r>
                  <m:t>m</m:t>
                </m:r>
                <m:r>
                  <m:t>a</m:t>
                </m:r>
                <m:sSub>
                  <m:e>
                    <m:r>
                      <m:t>x</m:t>
                    </m:r>
                  </m:e>
                  <m:sub>
                    <m:r>
                      <m:t>1</m:t>
                    </m:r>
                    <m:r>
                      <m:t>h</m:t>
                    </m:r>
                    <m:r>
                      <m:t>r</m:t>
                    </m:r>
                  </m:sub>
                </m:sSub>
              </m:sub>
            </m:sSub>
          </m:e>
        </m:d>
      </m:oMath>
      <w:r>
        <w:t xml:space="preserve">, we evaluate the HI integral (Equation 7 of the manuscript) across the temperature trace. Each sample produces one possible HI(</w:t>
      </w:r>
      <m:oMath>
        <m:r>
          <m:t>t</m:t>
        </m:r>
      </m:oMath>
      <w:r>
        <w:t xml:space="preserve">) trajectory. The posterior median and 95% credible interval at every hour will then summarise the prediction with full parameter uncertainty.</w:t>
      </w:r>
    </w:p>
    <w:p>
      <w:pPr>
        <w:pStyle w:val="SourceCode"/>
      </w:pPr>
      <w:r>
        <w:rPr>
          <w:rStyle w:val="CommentTok"/>
        </w:rPr>
        <w:t xml:space="preserve"># Subsample 500 posterior draws from the beta-binomial fit for speed.</w:t>
      </w:r>
      <w:r>
        <w:br/>
      </w:r>
      <w:r>
        <w:rPr>
          <w:rStyle w:val="FunctionTok"/>
        </w:rPr>
        <w:t xml:space="preserve">set.seed</w:t>
      </w:r>
      <w:r>
        <w:rPr>
          <w:rStyle w:val="NormalTok"/>
        </w:rPr>
        <w:t xml:space="preserve">(</w:t>
      </w:r>
      <w:r>
        <w:rPr>
          <w:rStyle w:val="DecValTok"/>
        </w:rPr>
        <w:t xml:space="preserve">20260507</w:t>
      </w:r>
      <w:r>
        <w:rPr>
          <w:rStyle w:val="NormalTok"/>
        </w:rPr>
        <w:t xml:space="preserve">)</w:t>
      </w:r>
      <w:r>
        <w:br/>
      </w:r>
      <w:r>
        <w:rPr>
          <w:rStyle w:val="NormalTok"/>
        </w:rPr>
        <w:t xml:space="preserve">hi_draws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(fit_bb)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500</w:t>
      </w:r>
      <w:r>
        <w:rPr>
          <w:rStyle w:val="NormalTok"/>
        </w:rPr>
        <w:t xml:space="preserve">)</w:t>
      </w:r>
      <w:r>
        <w:br/>
      </w:r>
      <w:r>
        <w:br/>
      </w:r>
      <w:r>
        <w:rPr>
          <w:rStyle w:val="CommentTok"/>
        </w:rPr>
        <w:t xml:space="preserve"># Build the (n_hours × n_draws) rate matrix and cumsum down each column.</w:t>
      </w:r>
      <w:r>
        <w:br/>
      </w:r>
      <w:r>
        <w:rPr>
          <w:rStyle w:val="NormalTok"/>
        </w:rPr>
        <w:t xml:space="preserve">n_h </w:t>
      </w:r>
      <w:r>
        <w:rPr>
          <w:rStyle w:val="OtherTok"/>
        </w:rPr>
        <w:t xml:space="preserve">&lt;-</w:t>
      </w:r>
      <w:r>
        <w:rPr>
          <w:rStyle w:val="NormalTok"/>
        </w:rPr>
        <w:t xml:space="preserve"> </w:t>
      </w:r>
      <w:r>
        <w:rPr>
          <w:rStyle w:val="FunctionTok"/>
        </w:rPr>
        <w:t xml:space="preserve">length</w:t>
      </w:r>
      <w:r>
        <w:rPr>
          <w:rStyle w:val="NormalTok"/>
        </w:rPr>
        <w:t xml:space="preserve">(hi_T_traj)</w:t>
      </w:r>
      <w:r>
        <w:br/>
      </w:r>
      <w:r>
        <w:rPr>
          <w:rStyle w:val="NormalTok"/>
        </w:rPr>
        <w:t xml:space="preserve">n_d </w:t>
      </w:r>
      <w:r>
        <w:rPr>
          <w:rStyle w:val="OtherTok"/>
        </w:rPr>
        <w:t xml:space="preserve">&lt;-</w:t>
      </w:r>
      <w:r>
        <w:rPr>
          <w:rStyle w:val="NormalTok"/>
        </w:rPr>
        <w:t xml:space="preserve"> </w:t>
      </w:r>
      <w:r>
        <w:rPr>
          <w:rStyle w:val="FunctionTok"/>
        </w:rPr>
        <w:t xml:space="preserve">nrow</w:t>
      </w:r>
      <w:r>
        <w:rPr>
          <w:rStyle w:val="NormalTok"/>
        </w:rPr>
        <w:t xml:space="preserve">(hi_draws)</w:t>
      </w:r>
      <w:r>
        <w:br/>
      </w:r>
      <w:r>
        <w:br/>
      </w:r>
      <w:r>
        <w:rPr>
          <w:rStyle w:val="NormalTok"/>
        </w:rPr>
        <w:t xml:space="preserve">T_mat  </w:t>
      </w:r>
      <w:r>
        <w:rPr>
          <w:rStyle w:val="OtherTok"/>
        </w:rPr>
        <w:t xml:space="preserve">&lt;-</w:t>
      </w:r>
      <w:r>
        <w:rPr>
          <w:rStyle w:val="NormalTok"/>
        </w:rPr>
        <w:t xml:space="preserve"> </w:t>
      </w:r>
      <w:r>
        <w:rPr>
          <w:rStyle w:val="FunctionTok"/>
        </w:rPr>
        <w:t xml:space="preserve">matrix</w:t>
      </w:r>
      <w:r>
        <w:rPr>
          <w:rStyle w:val="NormalTok"/>
        </w:rPr>
        <w:t xml:space="preserve">(hi_T_traj, n_h, n_d)</w:t>
      </w:r>
      <w:r>
        <w:br/>
      </w:r>
      <w:r>
        <w:rPr>
          <w:rStyle w:val="NormalTok"/>
        </w:rPr>
        <w:t xml:space="preserve">CT_mat </w:t>
      </w:r>
      <w:r>
        <w:rPr>
          <w:rStyle w:val="OtherTok"/>
        </w:rPr>
        <w:t xml:space="preserve">&lt;-</w:t>
      </w:r>
      <w:r>
        <w:rPr>
          <w:rStyle w:val="NormalTok"/>
        </w:rPr>
        <w:t xml:space="preserve"> </w:t>
      </w:r>
      <w:r>
        <w:rPr>
          <w:rStyle w:val="FunctionTok"/>
        </w:rPr>
        <w:t xml:space="preserve">matrix</w:t>
      </w:r>
      <w:r>
        <w:rPr>
          <w:rStyle w:val="NormalTok"/>
        </w:rPr>
        <w:t xml:space="preserve">(hi_draws</w:t>
      </w:r>
      <w:r>
        <w:rPr>
          <w:rStyle w:val="SpecialCharTok"/>
        </w:rPr>
        <w:t xml:space="preserve">$</w:t>
      </w:r>
      <w:r>
        <w:rPr>
          <w:rStyle w:val="NormalTok"/>
        </w:rPr>
        <w:t xml:space="preserve">CTmax_1hr, n_h, n_d,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z_mat  </w:t>
      </w:r>
      <w:r>
        <w:rPr>
          <w:rStyle w:val="OtherTok"/>
        </w:rPr>
        <w:t xml:space="preserve">&lt;-</w:t>
      </w:r>
      <w:r>
        <w:rPr>
          <w:rStyle w:val="NormalTok"/>
        </w:rPr>
        <w:t xml:space="preserve"> </w:t>
      </w:r>
      <w:r>
        <w:rPr>
          <w:rStyle w:val="FunctionTok"/>
        </w:rPr>
        <w:t xml:space="preserve">matrix</w:t>
      </w:r>
      <w:r>
        <w:rPr>
          <w:rStyle w:val="NormalTok"/>
        </w:rPr>
        <w:t xml:space="preserve">(hi_draws</w:t>
      </w:r>
      <w:r>
        <w:rPr>
          <w:rStyle w:val="SpecialCharTok"/>
        </w:rPr>
        <w:t xml:space="preserve">$</w:t>
      </w:r>
      <w:r>
        <w:rPr>
          <w:rStyle w:val="NormalTok"/>
        </w:rPr>
        <w:t xml:space="preserve">z, n_h, n_d, </w:t>
      </w:r>
      <w:r>
        <w:rPr>
          <w:rStyle w:val="AttributeTok"/>
        </w:rPr>
        <w:t xml:space="preserve">byrow =</w:t>
      </w:r>
      <w:r>
        <w:rPr>
          <w:rStyle w:val="NormalTok"/>
        </w:rPr>
        <w:t xml:space="preserve"> </w:t>
      </w:r>
      <w:r>
        <w:rPr>
          <w:rStyle w:val="ConstantTok"/>
        </w:rPr>
        <w:t xml:space="preserve">TRUE</w:t>
      </w:r>
      <w:r>
        <w:rPr>
          <w:rStyle w:val="NormalTok"/>
        </w:rPr>
        <w:t xml:space="preserve">)</w:t>
      </w:r>
      <w:r>
        <w:br/>
      </w:r>
      <w:r>
        <w:br/>
      </w:r>
      <w:r>
        <w:rPr>
          <w:rStyle w:val="CommentTok"/>
        </w:rPr>
        <w:t xml:space="preserve"># Calculate the rates of HI accumulation from our posterior samples of z and CTmax for the given temperature time series</w:t>
      </w:r>
      <w:r>
        <w:br/>
      </w:r>
      <w:r>
        <w:rPr>
          <w:rStyle w:val="NormalTok"/>
        </w:rPr>
        <w:t xml:space="preserve">rates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((T_mat </w:t>
      </w:r>
      <w:r>
        <w:rPr>
          <w:rStyle w:val="SpecialCharTok"/>
        </w:rPr>
        <w:t xml:space="preserve">-</w:t>
      </w:r>
      <w:r>
        <w:rPr>
          <w:rStyle w:val="NormalTok"/>
        </w:rPr>
        <w:t xml:space="preserve"> CT_mat) </w:t>
      </w:r>
      <w:r>
        <w:rPr>
          <w:rStyle w:val="SpecialCharTok"/>
        </w:rPr>
        <w:t xml:space="preserve">/</w:t>
      </w:r>
      <w:r>
        <w:rPr>
          <w:rStyle w:val="NormalTok"/>
        </w:rPr>
        <w:t xml:space="preserve"> z_mat)</w:t>
      </w:r>
      <w:r>
        <w:br/>
      </w:r>
      <w:r>
        <w:rPr>
          <w:rStyle w:val="NormalTok"/>
        </w:rPr>
        <w:t xml:space="preserve">rates[T_mat </w:t>
      </w:r>
      <w:r>
        <w:rPr>
          <w:rStyle w:val="SpecialCharTok"/>
        </w:rPr>
        <w:t xml:space="preserve">&lt;=</w:t>
      </w:r>
      <w:r>
        <w:rPr>
          <w:rStyle w:val="NormalTok"/>
        </w:rPr>
        <w:t xml:space="preserve"> hi_T_c] </w:t>
      </w:r>
      <w:r>
        <w:rPr>
          <w:rStyle w:val="OtherTok"/>
        </w:rPr>
        <w:t xml:space="preserve">&lt;-</w:t>
      </w:r>
      <w:r>
        <w:rPr>
          <w:rStyle w:val="NormalTok"/>
        </w:rPr>
        <w:t xml:space="preserve"> </w:t>
      </w:r>
      <w:r>
        <w:rPr>
          <w:rStyle w:val="DecValTok"/>
        </w:rPr>
        <w:t xml:space="preserve">0</w:t>
      </w:r>
      <w:r>
        <w:br/>
      </w:r>
      <w:r>
        <w:rPr>
          <w:rStyle w:val="NormalTok"/>
        </w:rPr>
        <w:t xml:space="preserve">HI_traj            </w:t>
      </w:r>
      <w:r>
        <w:rPr>
          <w:rStyle w:val="OtherTok"/>
        </w:rPr>
        <w:t xml:space="preserve">&lt;-</w:t>
      </w:r>
      <w:r>
        <w:rPr>
          <w:rStyle w:val="NormalTok"/>
        </w:rPr>
        <w:t xml:space="preserve"> </w:t>
      </w:r>
      <w:r>
        <w:rPr>
          <w:rStyle w:val="FunctionTok"/>
        </w:rPr>
        <w:t xml:space="preserve">apply</w:t>
      </w:r>
      <w:r>
        <w:rPr>
          <w:rStyle w:val="NormalTok"/>
        </w:rPr>
        <w:t xml:space="preserve">(rates, </w:t>
      </w:r>
      <w:r>
        <w:rPr>
          <w:rStyle w:val="DecValTok"/>
        </w:rPr>
        <w:t xml:space="preserve">2</w:t>
      </w:r>
      <w:r>
        <w:rPr>
          <w:rStyle w:val="NormalTok"/>
        </w:rPr>
        <w:t xml:space="preserve">, cumsum)</w:t>
      </w:r>
      <w:r>
        <w:br/>
      </w:r>
      <w:r>
        <w:rPr>
          <w:rStyle w:val="NormalTok"/>
        </w:rPr>
        <w:t xml:space="preserve">HI_traj[HI_traj </w:t>
      </w:r>
      <w:r>
        <w:rPr>
          <w:rStyle w:val="SpecialCharTok"/>
        </w:rPr>
        <w:t xml:space="preserve">&gt;</w:t>
      </w:r>
      <w:r>
        <w:rPr>
          <w:rStyle w:val="NormalTok"/>
        </w:rPr>
        <w:t xml:space="preserve"> </w:t>
      </w:r>
      <w:r>
        <w:rPr>
          <w:rStyle w:val="DecValTok"/>
        </w:rPr>
        <w:t xml:space="preserve">200</w:t>
      </w:r>
      <w:r>
        <w:rPr>
          <w:rStyle w:val="NormalTok"/>
        </w:rPr>
        <w:t xml:space="preserve">] </w:t>
      </w:r>
      <w:r>
        <w:rPr>
          <w:rStyle w:val="OtherTok"/>
        </w:rPr>
        <w:t xml:space="preserve">&lt;-</w:t>
      </w:r>
      <w:r>
        <w:rPr>
          <w:rStyle w:val="NormalTok"/>
        </w:rPr>
        <w:t xml:space="preserve"> </w:t>
      </w:r>
      <w:r>
        <w:rPr>
          <w:rStyle w:val="DecValTok"/>
        </w:rPr>
        <w:t xml:space="preserve">200</w:t>
      </w:r>
      <w:r>
        <w:rPr>
          <w:rStyle w:val="NormalTok"/>
        </w:rPr>
        <w:t xml:space="preserve"> </w:t>
      </w:r>
      <w:r>
        <w:rPr>
          <w:rStyle w:val="CommentTok"/>
        </w:rPr>
        <w:t xml:space="preserve"># Cap at 200% because survival can't go beyond that.</w:t>
      </w:r>
      <w:r>
        <w:br/>
      </w:r>
      <w:r>
        <w:br/>
      </w:r>
      <w:r>
        <w:rPr>
          <w:rStyle w:val="CommentTok"/>
        </w:rPr>
        <w:t xml:space="preserve"># Create a summary table that takes the median and 95% CI across the posterior samples for each hour. </w:t>
      </w:r>
      <w:r>
        <w:br/>
      </w:r>
      <w:r>
        <w:rPr>
          <w:rStyle w:val="NormalTok"/>
        </w:rPr>
        <w:t xml:space="preserve">hi_summary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hour   =</w:t>
      </w:r>
      <w:r>
        <w:rPr>
          <w:rStyle w:val="NormalTok"/>
        </w:rPr>
        <w:t xml:space="preserve"> hi_hours,</w:t>
      </w:r>
      <w:r>
        <w:br/>
      </w:r>
      <w:r>
        <w:rPr>
          <w:rStyle w:val="NormalTok"/>
        </w:rPr>
        <w:t xml:space="preserve">  </w:t>
      </w:r>
      <w:r>
        <w:rPr>
          <w:rStyle w:val="AttributeTok"/>
        </w:rPr>
        <w:t xml:space="preserve">median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median),</w:t>
      </w:r>
      <w:r>
        <w:br/>
      </w:r>
      <w:r>
        <w:rPr>
          <w:rStyle w:val="NormalTok"/>
        </w:rPr>
        <w:t xml:space="preserve">  </w:t>
      </w:r>
      <w:r>
        <w:rPr>
          <w:rStyle w:val="AttributeTok"/>
        </w:rPr>
        <w:t xml:space="preserve">lower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3" w:name="fig-hi-accumulation"/>
          <w:p>
            <w:pPr>
              <w:jc w:val="center"/>
            </w:pPr>
            <w:r>
              <w:drawing>
                <wp:inline>
                  <wp:extent cx="5943600" cy="2971800"/>
                  <wp:effectExtent b="0" l="0" r="0" t="0"/>
                  <wp:docPr descr="" title="" id="81" name="Picture"/>
                  <a:graphic>
                    <a:graphicData uri="http://schemas.openxmlformats.org/drawingml/2006/picture">
                      <pic:pic>
                        <pic:nvPicPr>
                          <pic:cNvPr descr="supplement_files/figure-docx/plot-hi-accumulation-1.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Posterior cumulative heat-injury trajectory under the 5-day field trace. Solid line is the posterior median across 500 draws of</w:t>
            </w:r>
            <w:r>
              <w:t xml:space="preserve"> </w:t>
            </w:r>
            <m:oMath>
              <m:d>
                <m:dPr>
                  <m:begChr m:val="("/>
                  <m:sepChr m:val=""/>
                  <m:endChr m:val=")"/>
                  <m:grow/>
                </m:dPr>
                <m:e>
                  <m:r>
                    <m:t>z</m:t>
                  </m:r>
                  <m:r>
                    <m:rPr>
                      <m:sty m:val="p"/>
                    </m:rPr>
                    <m:t>,</m:t>
                  </m:r>
                  <m:r>
                    <m:t>C</m:t>
                  </m:r>
                  <m:sSub>
                    <m:e>
                      <m:r>
                        <m:t>T</m:t>
                      </m:r>
                    </m:e>
                    <m:sub>
                      <m:r>
                        <m:t>m</m:t>
                      </m:r>
                      <m:r>
                        <m:t>a</m:t>
                      </m:r>
                      <m:sSub>
                        <m:e>
                          <m:r>
                            <m:t>x</m:t>
                          </m:r>
                        </m:e>
                        <m:sub>
                          <m:r>
                            <m:t>1</m:t>
                          </m:r>
                          <m:r>
                            <m:t>h</m:t>
                          </m:r>
                          <m:r>
                            <m:t>r</m:t>
                          </m:r>
                        </m:sub>
                      </m:sSub>
                    </m:sub>
                  </m:sSub>
                </m:e>
              </m:d>
            </m:oMath>
            <w:r>
              <w:t xml:space="preserve"> </w:t>
            </w:r>
            <w:r>
              <w:t xml:space="preserve">from</w:t>
            </w:r>
            <w:r>
              <w:t xml:space="preserve"> </w:t>
            </w:r>
            <w:r>
              <w:rPr>
                <w:rStyle w:val="VerbatimChar"/>
              </w:rPr>
              <w:t xml:space="preserve">fit_bb</w:t>
            </w:r>
            <w:r>
              <w:t xml:space="preserve">; shaded band is the 95% credible interval. The dashed line marks the</w:t>
            </w:r>
            <w:r>
              <w:t xml:space="preserve"> </w:t>
            </w:r>
            <m:oMath>
              <m:r>
                <m:t>L</m:t>
              </m:r>
              <m:sSub>
                <m:e>
                  <m:r>
                    <m:t>T</m:t>
                  </m:r>
                </m:e>
                <m:sub>
                  <m:r>
                    <m:t>50</m:t>
                  </m:r>
                </m:sub>
              </m:sSub>
            </m:oMath>
            <w:r>
              <w:t xml:space="preserve"> </w:t>
            </w:r>
            <w:r>
              <w:t xml:space="preserve">threshold (</w:t>
            </w:r>
            <m:oMath>
              <m:r>
                <m:t>H</m:t>
              </m:r>
              <m:r>
                <m:t>I</m:t>
              </m:r>
              <m:r>
                <m:rPr>
                  <m:sty m:val="p"/>
                </m:rPr>
                <m:t>=</m:t>
              </m:r>
              <m:r>
                <m:t>100</m:t>
              </m:r>
              <m:r>
                <m:rPr>
                  <m:sty m:val="p"/>
                </m:rPr>
                <m:t>%</m:t>
              </m:r>
            </m:oMath>
            <w:r>
              <w:t xml:space="preserve">), which the population is predicted to cross by day 3.</w:t>
            </w:r>
          </w:p>
          <w:bookmarkEnd w:id="83"/>
        </w:tc>
      </w:tr>
    </w:tbl>
    <w:p>
      <w:pPr>
        <w:pStyle w:val="BodyText"/>
      </w:pPr>
      <w:r>
        <w:t xml:space="preserve">By the end of day 5 the posterior median HI is 192% (95% CI: 159% to 200%) — i.e., the population has accumulated roughly 1.9</w:t>
      </w:r>
      <w:r>
        <w:t xml:space="preserve"> </w:t>
      </w:r>
      <m:oMath>
        <m:r>
          <m:rPr>
            <m:sty m:val="p"/>
          </m:rPr>
          <m:t>×</m:t>
        </m:r>
      </m:oMath>
      <w:r>
        <w:t xml:space="preserve"> </w:t>
      </w:r>
      <w:r>
        <w:t xml:space="preserve">the lethal dose under this exposure.</w:t>
      </w:r>
    </w:p>
    <w:bookmarkEnd w:id="84"/>
    <w:bookmarkStart w:id="89" w:name="Xb3b11273ea892ff4aeb7c2ae041ff3fdc5de6b0"/>
    <w:p>
      <w:pPr>
        <w:pStyle w:val="Heading4"/>
      </w:pPr>
      <w:r>
        <w:t xml:space="preserve">1.0.7.3 Predicting survival from the full 4PL surface</w:t>
      </w:r>
    </w:p>
    <w:p>
      <w:pPr>
        <w:pStyle w:val="FirstParagraph"/>
      </w:pPr>
      <w:r>
        <w:t xml:space="preserve">The HI integral compresses the trajectory into a single threshold-crossing summary. The joint Bayesian 4PL fit also lets us predict the</w:t>
      </w:r>
      <w:r>
        <w:t xml:space="preserve"> </w:t>
      </w:r>
      <w:r>
        <w:rPr>
          <w:i/>
          <w:iCs/>
        </w:rPr>
        <w:t xml:space="preserve">full</w:t>
      </w:r>
      <w:r>
        <w:t xml:space="preserve"> </w:t>
      </w:r>
      <w:r>
        <w:t xml:space="preserve">survival fraction</w:t>
      </w:r>
      <w:r>
        <w:t xml:space="preserve"> </w:t>
      </w:r>
      <m:oMath>
        <m:sSub>
          <m:e>
            <m:r>
              <m:t>S</m:t>
            </m:r>
          </m:e>
          <m:sub>
            <m:r>
              <m:rPr>
                <m:nor/>
                <m:sty m:val="p"/>
              </m:rPr>
              <m:t>pred</m:t>
            </m:r>
          </m:sub>
        </m:sSub>
        <m:d>
          <m:dPr>
            <m:begChr m:val="("/>
            <m:sepChr m:val=""/>
            <m:endChr m:val=")"/>
            <m:grow/>
          </m:dPr>
          <m:e>
            <m:r>
              <m:t>t</m:t>
            </m:r>
          </m:e>
        </m:d>
      </m:oMath>
      <w:r>
        <w:t xml:space="preserve"> </w:t>
      </w:r>
      <w:r>
        <w:t xml:space="preserve">at every time point along the trace, by accumulating effective exposure time at a reference temperature and reading survival off the dose-response surface at the cumulative effective time (Equation 9 of the manuscript). We use</w:t>
      </w:r>
      <w:r>
        <w:t xml:space="preserve"> </w:t>
      </w:r>
      <m:oMath>
        <m:sSub>
          <m:e>
            <m:r>
              <m:t>T</m:t>
            </m:r>
          </m:e>
          <m:sub>
            <m:r>
              <m:rPr>
                <m:nor/>
                <m:sty m:val="p"/>
              </m:rPr>
              <m:t>ref</m:t>
            </m:r>
          </m:sub>
        </m:sSub>
        <m:r>
          <m:rPr>
            <m:sty m:val="p"/>
          </m:rPr>
          <m:t>=</m:t>
        </m:r>
        <m:acc>
          <m:accPr>
            <m:chr m:val="‾"/>
          </m:accPr>
          <m:e>
            <m:r>
              <m:t>T</m:t>
            </m:r>
          </m:e>
        </m:acc>
        <m:r>
          <m:rPr>
            <m:sty m:val="p"/>
          </m:rPr>
          <m:t>=</m:t>
        </m:r>
        <m:r>
          <m:t>34</m:t>
        </m:r>
      </m:oMath>
      <w:r>
        <w:t xml:space="preserve"> </w:t>
      </w:r>
      <w:r>
        <w:t xml:space="preserve">°C — the grand-mean temperature of the original assays — so the surface is evaluated at the most data-rich part of the dose-response.</w:t>
      </w:r>
    </w:p>
    <w:p>
      <w:pPr>
        <w:pStyle w:val="SourceCode"/>
      </w:pPr>
      <w:r>
        <w:rPr>
          <w:rStyle w:val="NormalTok"/>
        </w:rPr>
        <w:t xml:space="preserve">T_ref </w:t>
      </w:r>
      <w:r>
        <w:rPr>
          <w:rStyle w:val="OtherTok"/>
        </w:rPr>
        <w:t xml:space="preserve">&lt;-</w:t>
      </w:r>
      <w:r>
        <w:rPr>
          <w:rStyle w:val="NormalTok"/>
        </w:rPr>
        <w:t xml:space="preserve"> true_params</w:t>
      </w:r>
      <w:r>
        <w:rPr>
          <w:rStyle w:val="SpecialCharTok"/>
        </w:rPr>
        <w:t xml:space="preserve">$</w:t>
      </w:r>
      <w:r>
        <w:rPr>
          <w:rStyle w:val="NormalTok"/>
        </w:rPr>
        <w:t xml:space="preserve">T_bar</w:t>
      </w:r>
      <w:r>
        <w:br/>
      </w:r>
      <w:r>
        <w:br/>
      </w:r>
      <w:r>
        <w:rPr>
          <w:rStyle w:val="CommentTok"/>
        </w:rPr>
        <w:t xml:space="preserve"># For each draw, accumulate effective minutes at T_ref, then evaluate the 4PL.</w:t>
      </w:r>
      <w:r>
        <w:br/>
      </w:r>
      <w:r>
        <w:rPr>
          <w:rStyle w:val="NormalTok"/>
        </w:rPr>
        <w:t xml:space="preserve">S_traj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n_h, n_d)</w:t>
      </w:r>
      <w:r>
        <w:br/>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FunctionTok"/>
        </w:rPr>
        <w:t xml:space="preserve">seq_len</w:t>
      </w:r>
      <w:r>
        <w:rPr>
          <w:rStyle w:val="NormalTok"/>
        </w:rPr>
        <w:t xml:space="preserve">(n_d)) {</w:t>
      </w:r>
      <w:r>
        <w:br/>
      </w:r>
      <w:r>
        <w:rPr>
          <w:rStyle w:val="NormalTok"/>
        </w:rPr>
        <w:t xml:space="preserve">  z_d     </w:t>
      </w:r>
      <w:r>
        <w:rPr>
          <w:rStyle w:val="OtherTok"/>
        </w:rPr>
        <w:t xml:space="preserve">&lt;-</w:t>
      </w:r>
      <w:r>
        <w:rPr>
          <w:rStyle w:val="NormalTok"/>
        </w:rPr>
        <w:t xml:space="preserve"> hi_draws</w:t>
      </w:r>
      <w:r>
        <w:rPr>
          <w:rStyle w:val="SpecialCharTok"/>
        </w:rPr>
        <w:t xml:space="preserve">$</w:t>
      </w:r>
      <w:r>
        <w:rPr>
          <w:rStyle w:val="NormalTok"/>
        </w:rPr>
        <w:t xml:space="preserve">z[d]</w:t>
      </w:r>
      <w:r>
        <w:br/>
      </w:r>
      <w:r>
        <w:rPr>
          <w:rStyle w:val="NormalTok"/>
        </w:rPr>
        <w:t xml:space="preserve">  ell_d   </w:t>
      </w:r>
      <w:r>
        <w:rPr>
          <w:rStyle w:val="OtherTok"/>
        </w:rPr>
        <w:t xml:space="preserve">&lt;-</w:t>
      </w:r>
      <w:r>
        <w:rPr>
          <w:rStyle w:val="NormalTok"/>
        </w:rPr>
        <w:t xml:space="preserve"> hi_draws</w:t>
      </w:r>
      <w:r>
        <w:rPr>
          <w:rStyle w:val="SpecialCharTok"/>
        </w:rPr>
        <w:t xml:space="preserve">$</w:t>
      </w:r>
      <w:r>
        <w:rPr>
          <w:rStyle w:val="NormalTok"/>
        </w:rPr>
        <w:t xml:space="preserve">b_ell_Intercept[d]</w:t>
      </w:r>
      <w:r>
        <w:br/>
      </w:r>
      <w:r>
        <w:rPr>
          <w:rStyle w:val="NormalTok"/>
        </w:rPr>
        <w:t xml:space="preserve">  u_d     </w:t>
      </w:r>
      <w:r>
        <w:rPr>
          <w:rStyle w:val="OtherTok"/>
        </w:rPr>
        <w:t xml:space="preserve">&lt;-</w:t>
      </w:r>
      <w:r>
        <w:rPr>
          <w:rStyle w:val="NormalTok"/>
        </w:rPr>
        <w:t xml:space="preserve"> hi_draws</w:t>
      </w:r>
      <w:r>
        <w:rPr>
          <w:rStyle w:val="SpecialCharTok"/>
        </w:rPr>
        <w:t xml:space="preserve">$</w:t>
      </w:r>
      <w:r>
        <w:rPr>
          <w:rStyle w:val="NormalTok"/>
        </w:rPr>
        <w:t xml:space="preserve">b_u_Intercept[d]</w:t>
      </w:r>
      <w:r>
        <w:br/>
      </w:r>
      <w:r>
        <w:rPr>
          <w:rStyle w:val="NormalTok"/>
        </w:rPr>
        <w:t xml:space="preserve">  k_d     </w:t>
      </w:r>
      <w:r>
        <w:rPr>
          <w:rStyle w:val="OtherTok"/>
        </w:rPr>
        <w:t xml:space="preserve">&lt;-</w:t>
      </w:r>
      <w:r>
        <w:rPr>
          <w:rStyle w:val="NormalTok"/>
        </w:rPr>
        <w:t xml:space="preserve"> hi_draws</w:t>
      </w:r>
      <w:r>
        <w:rPr>
          <w:rStyle w:val="SpecialCharTok"/>
        </w:rPr>
        <w:t xml:space="preserve">$</w:t>
      </w:r>
      <w:r>
        <w:rPr>
          <w:rStyle w:val="NormalTok"/>
        </w:rPr>
        <w:t xml:space="preserve">b_k_Intercept[d]</w:t>
      </w:r>
      <w:r>
        <w:br/>
      </w:r>
      <w:r>
        <w:rPr>
          <w:rStyle w:val="NormalTok"/>
        </w:rPr>
        <w:t xml:space="preserve">  beta0_d </w:t>
      </w:r>
      <w:r>
        <w:rPr>
          <w:rStyle w:val="OtherTok"/>
        </w:rPr>
        <w:t xml:space="preserve">&lt;-</w:t>
      </w:r>
      <w:r>
        <w:rPr>
          <w:rStyle w:val="NormalTok"/>
        </w:rPr>
        <w:t xml:space="preserve"> hi_draws</w:t>
      </w:r>
      <w:r>
        <w:rPr>
          <w:rStyle w:val="SpecialCharTok"/>
        </w:rPr>
        <w:t xml:space="preserve">$</w:t>
      </w:r>
      <w:r>
        <w:rPr>
          <w:rStyle w:val="NormalTok"/>
        </w:rPr>
        <w:t xml:space="preserve">b_mid_Intercept[d]   </w:t>
      </w:r>
      <w:r>
        <w:rPr>
          <w:rStyle w:val="CommentTok"/>
        </w:rPr>
        <w:t xml:space="preserve"># midpoint at T_bar (in log10-min)</w:t>
      </w:r>
      <w:r>
        <w:br/>
      </w:r>
      <w:r>
        <w:br/>
      </w:r>
      <w:r>
        <w:rPr>
          <w:rStyle w:val="NormalTok"/>
        </w:rPr>
        <w:t xml:space="preserve">  </w:t>
      </w:r>
      <w:r>
        <w:rPr>
          <w:rStyle w:val="CommentTok"/>
        </w:rPr>
        <w:t xml:space="preserve"># Effective-time increment in MINUTES per hourly bin at T_ref = T_bar.</w:t>
      </w:r>
      <w:r>
        <w:br/>
      </w:r>
      <w:r>
        <w:rPr>
          <w:rStyle w:val="NormalTok"/>
        </w:rPr>
        <w:t xml:space="preserve">  inc_min     </w:t>
      </w:r>
      <w:r>
        <w:rPr>
          <w:rStyle w:val="OtherTok"/>
        </w:rPr>
        <w:t xml:space="preserve">&lt;-</w:t>
      </w:r>
      <w:r>
        <w:rPr>
          <w:rStyle w:val="NormalTok"/>
        </w:rPr>
        <w:t xml:space="preserve"> </w:t>
      </w:r>
      <w:r>
        <w:rPr>
          <w:rStyle w:val="FunctionTok"/>
        </w:rPr>
        <w:t xml:space="preserve">ifelse</w:t>
      </w:r>
      <w:r>
        <w:rPr>
          <w:rStyle w:val="NormalTok"/>
        </w:rPr>
        <w:t xml:space="preserve">(hi_T_traj </w:t>
      </w:r>
      <w:r>
        <w:rPr>
          <w:rStyle w:val="SpecialCharTok"/>
        </w:rPr>
        <w:t xml:space="preserve">&gt;</w:t>
      </w:r>
      <w:r>
        <w:rPr>
          <w:rStyle w:val="NormalTok"/>
        </w:rPr>
        <w:t xml:space="preserve"> hi_T_c,</w:t>
      </w:r>
      <w:r>
        <w:br/>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((hi_T_traj </w:t>
      </w:r>
      <w:r>
        <w:rPr>
          <w:rStyle w:val="SpecialCharTok"/>
        </w:rPr>
        <w:t xml:space="preserve">-</w:t>
      </w:r>
      <w:r>
        <w:rPr>
          <w:rStyle w:val="NormalTok"/>
        </w:rPr>
        <w:t xml:space="preserve"> T_ref) </w:t>
      </w:r>
      <w:r>
        <w:rPr>
          <w:rStyle w:val="SpecialCharTok"/>
        </w:rPr>
        <w:t xml:space="preserve">/</w:t>
      </w:r>
      <w:r>
        <w:rPr>
          <w:rStyle w:val="NormalTok"/>
        </w:rPr>
        <w:t xml:space="preserve"> z_d),</w:t>
      </w:r>
      <w:r>
        <w:br/>
      </w:r>
      <w:r>
        <w:rPr>
          <w:rStyle w:val="NormalTok"/>
        </w:rPr>
        <w:t xml:space="preserve">                        </w:t>
      </w:r>
      <w:r>
        <w:rPr>
          <w:rStyle w:val="DecValTok"/>
        </w:rPr>
        <w:t xml:space="preserve">0</w:t>
      </w:r>
      <w:r>
        <w:rPr>
          <w:rStyle w:val="NormalTok"/>
        </w:rPr>
        <w:t xml:space="preserve">)</w:t>
      </w:r>
      <w:r>
        <w:br/>
      </w:r>
      <w:r>
        <w:rPr>
          <w:rStyle w:val="NormalTok"/>
        </w:rPr>
        <w:t xml:space="preserve">  tau_eff_min </w:t>
      </w:r>
      <w:r>
        <w:rPr>
          <w:rStyle w:val="OtherTok"/>
        </w:rPr>
        <w:t xml:space="preserve">&lt;-</w:t>
      </w:r>
      <w:r>
        <w:rPr>
          <w:rStyle w:val="NormalTok"/>
        </w:rPr>
        <w:t xml:space="preserve"> </w:t>
      </w:r>
      <w:r>
        <w:rPr>
          <w:rStyle w:val="FunctionTok"/>
        </w:rPr>
        <w:t xml:space="preserve">cumsum</w:t>
      </w:r>
      <w:r>
        <w:rPr>
          <w:rStyle w:val="NormalTok"/>
        </w:rPr>
        <w:t xml:space="preserve">(inc_min)</w:t>
      </w:r>
      <w:r>
        <w:br/>
      </w:r>
      <w:r>
        <w:br/>
      </w:r>
      <w:r>
        <w:rPr>
          <w:rStyle w:val="NormalTok"/>
        </w:rPr>
        <w:t xml:space="preserve">  </w:t>
      </w:r>
      <w:r>
        <w:rPr>
          <w:rStyle w:val="CommentTok"/>
        </w:rPr>
        <w:t xml:space="preserve"># 4PL surface evaluated at (T_ref, tau_eff). Note that tau_eff_min can be 0, and log10(0)is infinity so we used .Machine$double.eps to identify and replace any zeros with a very small number 2.22x10^-16 to avoid conversion problems</w:t>
      </w:r>
      <w:r>
        <w:br/>
      </w:r>
      <w:r>
        <w:rPr>
          <w:rStyle w:val="NormalTok"/>
        </w:rPr>
        <w:t xml:space="preserve">  log10_tau   </w:t>
      </w:r>
      <w:r>
        <w:rPr>
          <w:rStyle w:val="OtherTok"/>
        </w:rPr>
        <w:t xml:space="preserve">&lt;-</w:t>
      </w:r>
      <w:r>
        <w:rPr>
          <w:rStyle w:val="NormalTok"/>
        </w:rPr>
        <w:t xml:space="preserve"> </w:t>
      </w:r>
      <w:r>
        <w:rPr>
          <w:rStyle w:val="FunctionTok"/>
        </w:rPr>
        <w:t xml:space="preserve">log10</w:t>
      </w:r>
      <w:r>
        <w:rPr>
          <w:rStyle w:val="NormalTok"/>
        </w:rPr>
        <w:t xml:space="preserve">(</w:t>
      </w:r>
      <w:r>
        <w:rPr>
          <w:rStyle w:val="FunctionTok"/>
        </w:rPr>
        <w:t xml:space="preserve">pmax</w:t>
      </w:r>
      <w:r>
        <w:rPr>
          <w:rStyle w:val="NormalTok"/>
        </w:rPr>
        <w:t xml:space="preserve">(tau_eff_min, .Machine</w:t>
      </w:r>
      <w:r>
        <w:rPr>
          <w:rStyle w:val="SpecialCharTok"/>
        </w:rPr>
        <w:t xml:space="preserve">$</w:t>
      </w:r>
      <w:r>
        <w:rPr>
          <w:rStyle w:val="NormalTok"/>
        </w:rPr>
        <w:t xml:space="preserve">double.eps))</w:t>
      </w:r>
      <w:r>
        <w:br/>
      </w:r>
      <w:r>
        <w:rPr>
          <w:rStyle w:val="NormalTok"/>
        </w:rPr>
        <w:t xml:space="preserve">  S_traj[, d] </w:t>
      </w:r>
      <w:r>
        <w:rPr>
          <w:rStyle w:val="OtherTok"/>
        </w:rPr>
        <w:t xml:space="preserve">&lt;-</w:t>
      </w:r>
      <w:r>
        <w:rPr>
          <w:rStyle w:val="NormalTok"/>
        </w:rPr>
        <w:t xml:space="preserve"> ell_d </w:t>
      </w:r>
      <w:r>
        <w:rPr>
          <w:rStyle w:val="SpecialCharTok"/>
        </w:rPr>
        <w:t xml:space="preserve">+</w:t>
      </w:r>
      <w:r>
        <w:rPr>
          <w:rStyle w:val="NormalTok"/>
        </w:rPr>
        <w:t xml:space="preserve"> (u_d </w:t>
      </w:r>
      <w:r>
        <w:rPr>
          <w:rStyle w:val="SpecialCharTok"/>
        </w:rPr>
        <w:t xml:space="preserve">-</w:t>
      </w:r>
      <w:r>
        <w:rPr>
          <w:rStyle w:val="NormalTok"/>
        </w:rPr>
        <w:t xml:space="preserve"> ell_d)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(k_d </w:t>
      </w:r>
      <w:r>
        <w:rPr>
          <w:rStyle w:val="SpecialCharTok"/>
        </w:rPr>
        <w:t xml:space="preserve">*</w:t>
      </w:r>
      <w:r>
        <w:rPr>
          <w:rStyle w:val="NormalTok"/>
        </w:rPr>
        <w:t xml:space="preserve"> (log10_tau </w:t>
      </w:r>
      <w:r>
        <w:rPr>
          <w:rStyle w:val="SpecialCharTok"/>
        </w:rPr>
        <w:t xml:space="preserve">-</w:t>
      </w:r>
      <w:r>
        <w:rPr>
          <w:rStyle w:val="NormalTok"/>
        </w:rPr>
        <w:t xml:space="preserve"> beta0_d)))</w:t>
      </w:r>
      <w:r>
        <w:br/>
      </w:r>
      <w:r>
        <w:rPr>
          <w:rStyle w:val="NormalTok"/>
        </w:rPr>
        <w:t xml:space="preserve">}</w:t>
      </w:r>
      <w:r>
        <w:br/>
      </w:r>
      <w:r>
        <w:br/>
      </w:r>
      <w:r>
        <w:rPr>
          <w:rStyle w:val="NormalTok"/>
        </w:rPr>
        <w:t xml:space="preserve">S_summary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hour   =</w:t>
      </w:r>
      <w:r>
        <w:rPr>
          <w:rStyle w:val="NormalTok"/>
        </w:rPr>
        <w:t xml:space="preserve"> hi_hours,</w:t>
      </w:r>
      <w:r>
        <w:br/>
      </w:r>
      <w:r>
        <w:rPr>
          <w:rStyle w:val="NormalTok"/>
        </w:rPr>
        <w:t xml:space="preserve">  </w:t>
      </w:r>
      <w:r>
        <w:rPr>
          <w:rStyle w:val="AttributeTok"/>
        </w:rPr>
        <w:t xml:space="preserve">median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median),</w:t>
      </w:r>
      <w:r>
        <w:br/>
      </w:r>
      <w:r>
        <w:rPr>
          <w:rStyle w:val="NormalTok"/>
        </w:rPr>
        <w:t xml:space="preserve">  </w:t>
      </w:r>
      <w:r>
        <w:rPr>
          <w:rStyle w:val="AttributeTok"/>
        </w:rPr>
        <w:t xml:space="preserve">lower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8" w:name="fig-survival-pred"/>
          <w:p>
            <w:pPr>
              <w:jc w:val="center"/>
            </w:pPr>
            <w:r>
              <w:drawing>
                <wp:inline>
                  <wp:extent cx="5943600" cy="2971800"/>
                  <wp:effectExtent b="0" l="0" r="0" t="0"/>
                  <wp:docPr descr="" title="" id="86" name="Picture"/>
                  <a:graphic>
                    <a:graphicData uri="http://schemas.openxmlformats.org/drawingml/2006/picture">
                      <pic:pic>
                        <pic:nvPicPr>
                          <pic:cNvPr descr="supplement_files/figure-docx/plot-s-pred-1.png" id="87" name="Picture"/>
                          <pic:cNvPicPr>
                            <a:picLocks noChangeArrowheads="1" noChangeAspect="1"/>
                          </pic:cNvPicPr>
                        </pic:nvPicPr>
                        <pic:blipFill>
                          <a:blip r:embed="rId8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Posterior predicted population-level survival fraction under the 5-day field trace, computed from the model (Equation 9 of the manuscript). Solid line is the posterior median across 500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from</w:t>
            </w:r>
            <w:r>
              <w:t xml:space="preserve"> </w:t>
            </w:r>
            <w:r>
              <w:rPr>
                <w:rStyle w:val="VerbatimChar"/>
              </w:rPr>
              <w:t xml:space="preserve">fit_bb</w:t>
            </w:r>
            <w:r>
              <w:t xml:space="preserve">; shaded band is the 95% credible interval. The dashed line marks 50% survival, the threshold the HI integral compresses into a single crossing time.</w:t>
            </w:r>
          </w:p>
          <w:bookmarkEnd w:id="88"/>
        </w:tc>
      </w:tr>
    </w:tbl>
    <w:p>
      <w:pPr>
        <w:pStyle w:val="BodyText"/>
      </w:pPr>
      <w:r>
        <w:t xml:space="preserve">By the end of day 5 the posterior median predicted survival is 0.13 (95% CI: 0.09 to 0.21). The two predictions tell consistent stories:</w:t>
      </w:r>
      <w:r>
        <w:t xml:space="preserve"> </w:t>
      </w:r>
      <m:oMath>
        <m:sSub>
          <m:e>
            <m:r>
              <m:t>S</m:t>
            </m:r>
          </m:e>
          <m:sub>
            <m:r>
              <m:rPr>
                <m:nor/>
                <m:sty m:val="p"/>
              </m:rPr>
              <m:t>pred</m:t>
            </m:r>
          </m:sub>
        </m:sSub>
        <m:d>
          <m:dPr>
            <m:begChr m:val="("/>
            <m:sepChr m:val=""/>
            <m:endChr m:val=")"/>
            <m:grow/>
          </m:dPr>
          <m:e>
            <m:r>
              <m:t>t</m:t>
            </m:r>
          </m:e>
        </m:d>
      </m:oMath>
      <w:r>
        <w:t xml:space="preserve"> </w:t>
      </w:r>
      <w:r>
        <w:t xml:space="preserve">falls through 0.5 at the same time that</w:t>
      </w:r>
      <w:r>
        <w:t xml:space="preserve"> </w:t>
      </w:r>
      <m:oMath>
        <m:r>
          <m:t>H</m:t>
        </m:r>
        <m:r>
          <m:t>I</m:t>
        </m:r>
        <m:d>
          <m:dPr>
            <m:begChr m:val="("/>
            <m:sepChr m:val=""/>
            <m:endChr m:val=")"/>
            <m:grow/>
          </m:dPr>
          <m:e>
            <m:r>
              <m:t>t</m:t>
            </m:r>
          </m:e>
        </m:d>
      </m:oMath>
      <w:r>
        <w:t xml:space="preserve"> </w:t>
      </w:r>
      <w:r>
        <w:t xml:space="preserve">rises through 100 %, but</w:t>
      </w:r>
      <w:r>
        <w:t xml:space="preserve"> </w:t>
      </w:r>
      <m:oMath>
        <m:sSub>
          <m:e>
            <m:r>
              <m:t>S</m:t>
            </m:r>
          </m:e>
          <m:sub>
            <m:r>
              <m:rPr>
                <m:nor/>
                <m:sty m:val="p"/>
              </m:rPr>
              <m:t>pred</m:t>
            </m:r>
          </m:sub>
        </m:sSub>
        <m:d>
          <m:dPr>
            <m:begChr m:val="("/>
            <m:sepChr m:val=""/>
            <m:endChr m:val=")"/>
            <m:grow/>
          </m:dPr>
          <m:e>
            <m:r>
              <m:t>t</m:t>
            </m:r>
          </m:e>
        </m:d>
      </m:oMath>
      <w:r>
        <w:t xml:space="preserve"> </w:t>
      </w:r>
      <w:r>
        <w:t xml:space="preserve">provides the entire cumulative survival curve. Survival can then be used directly for population-dynamical models, which has been suggsted by</w:t>
      </w:r>
      <w:r>
        <w:t xml:space="preserve"> </w:t>
      </w:r>
      <w:r>
        <w:t xml:space="preserve">Noble</w:t>
      </w:r>
      <w:r>
        <w:t xml:space="preserve"> </w:t>
      </w:r>
      <w:r>
        <w:rPr>
          <w:i/>
          <w:iCs/>
        </w:rPr>
        <w:t xml:space="preserve">et al.</w:t>
      </w:r>
      <w:r>
        <w:t xml:space="preserve"> </w:t>
      </w:r>
      <w:r>
        <w:t xml:space="preserve">(</w:t>
      </w:r>
      <w:hyperlink w:anchor="ref-noble2026">
        <w:r>
          <w:rPr>
            <w:rStyle w:val="Hyperlink"/>
          </w:rPr>
          <w:t xml:space="preserve">2026</w:t>
        </w:r>
      </w:hyperlink>
      <w:r>
        <w:t xml:space="preserve">)</w:t>
      </w:r>
      <w:r>
        <w:t xml:space="preserve">.</w:t>
      </w:r>
    </w:p>
    <w:bookmarkEnd w:id="89"/>
    <w:bookmarkEnd w:id="90"/>
    <w:bookmarkEnd w:id="91"/>
    <w:bookmarkStart w:id="107" w:name="references"/>
    <w:p>
      <w:pPr>
        <w:pStyle w:val="Heading1"/>
      </w:pPr>
      <w:r>
        <w:t xml:space="preserve">2. </w:t>
      </w:r>
      <w:r>
        <w:rPr>
          <w:b/>
          <w:bCs/>
        </w:rPr>
        <w:t xml:space="preserve">References</w:t>
      </w:r>
    </w:p>
    <w:bookmarkStart w:id="106" w:name="refs"/>
    <w:bookmarkStart w:id="93"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92">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93"/>
    <w:bookmarkStart w:id="95" w:name="ref-jorgensen_unifying_2021"/>
    <w:p>
      <w:pPr>
        <w:pStyle w:val="Bibliography"/>
      </w:pPr>
      <w:r>
        <w:t xml:space="preserve">Jørgensen, L.B., Malte, H. &amp; Overgaard, J. (2021).</w:t>
      </w:r>
      <w:r>
        <w:t xml:space="preserve"> </w:t>
      </w:r>
      <w:hyperlink r:id="rId94">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95"/>
    <w:bookmarkStart w:id="97" w:name="ref-kingsolver_umbanhowar_2018"/>
    <w:p>
      <w:pPr>
        <w:pStyle w:val="Bibliography"/>
      </w:pPr>
      <w:r>
        <w:t xml:space="preserve">Kingsolver, J.G. &amp; Umbanhowar, J. (2018).</w:t>
      </w:r>
      <w:r>
        <w:t xml:space="preserve"> </w:t>
      </w:r>
      <w:hyperlink r:id="rId96">
        <w:r>
          <w:rPr>
            <w:rStyle w:val="Hyperlink"/>
          </w:rPr>
          <w:t xml:space="preserve">The analysis and interpretation of critical temperatures</w:t>
        </w:r>
      </w:hyperlink>
      <w:r>
        <w:t xml:space="preserve">.</w:t>
      </w:r>
      <w:r>
        <w:t xml:space="preserve"> </w:t>
      </w:r>
      <w:r>
        <w:rPr>
          <w:i/>
          <w:iCs/>
        </w:rPr>
        <w:t xml:space="preserve">Journal of Experimental Biology</w:t>
      </w:r>
      <w:r>
        <w:t xml:space="preserve">, 221, jeb167858.</w:t>
      </w:r>
    </w:p>
    <w:bookmarkEnd w:id="97"/>
    <w:bookmarkStart w:id="99"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8">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99"/>
    <w:bookmarkStart w:id="101" w:name="ref-orsted_finding_2022"/>
    <w:p>
      <w:pPr>
        <w:pStyle w:val="Bibliography"/>
      </w:pPr>
      <w:r>
        <w:t xml:space="preserve">Ørsted, M., Jørgensen, L.B. &amp; Overgaard, J. (2022).</w:t>
      </w:r>
      <w:r>
        <w:t xml:space="preserve"> </w:t>
      </w:r>
      <w:hyperlink r:id="rId100">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01"/>
    <w:bookmarkStart w:id="103" w:name="ref-rezende_drosophila_mortality_2020"/>
    <w:p>
      <w:pPr>
        <w:pStyle w:val="Bibliography"/>
      </w:pPr>
      <w:r>
        <w:t xml:space="preserve">Rezende, E.L., Bozinovic, F., Szilágyi, A. &amp; Santos, M. (2020).</w:t>
      </w:r>
      <w:r>
        <w:t xml:space="preserve"> </w:t>
      </w:r>
      <w:hyperlink r:id="rId102">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03"/>
    <w:bookmarkStart w:id="105" w:name="ref-rezende_landscapes_2014"/>
    <w:p>
      <w:pPr>
        <w:pStyle w:val="Bibliography"/>
      </w:pPr>
      <w:r>
        <w:t xml:space="preserve">Rezende, E.L., Castañeda, L.E. &amp; Santos, M. (2014).</w:t>
      </w:r>
      <w:r>
        <w:t xml:space="preserve"> </w:t>
      </w:r>
      <w:hyperlink r:id="rId104">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05"/>
    <w:bookmarkEnd w:id="106"/>
    <w:bookmarkEnd w:id="107"/>
    <w:bookmarkStart w:id="108" w:name="session-information"/>
    <w:p>
      <w:pPr>
        <w:pStyle w:val="Heading1"/>
      </w:pPr>
      <w:r>
        <w:t xml:space="preserve">3. </w:t>
      </w:r>
      <w:r>
        <w:rPr>
          <w:b/>
          <w:bCs/>
        </w:rPr>
        <w:t xml:space="preserve">Session Information</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pander(v.0.6.6)</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posterior(v.1.6.1)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farver(v.2.1.2)</w:t>
      </w:r>
      <w:r>
        <w:t xml:space="preserve">,</w:t>
      </w:r>
      <w:r>
        <w:t xml:space="preserve"> </w:t>
      </w:r>
      <w:r>
        <w:rPr>
          <w:i/>
          <w:iCs/>
        </w:rPr>
        <w:t xml:space="preserve">loo(v.2.9.0)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StanHeaders(v.2.32.10)</w:t>
      </w:r>
      <w:r>
        <w:t xml:space="preserve">,</w:t>
      </w:r>
      <w:r>
        <w:t xml:space="preserve"> </w:t>
      </w:r>
      <w:r>
        <w:rPr>
          <w:i/>
          <w:iCs/>
        </w:rPr>
        <w:t xml:space="preserve">processx(v.3.9.0)</w:t>
      </w:r>
      <w:r>
        <w:t xml:space="preserve">,</w:t>
      </w:r>
      <w:r>
        <w:t xml:space="preserve"> </w:t>
      </w:r>
      <w:r>
        <w:rPr>
          <w:i/>
          <w:iCs/>
        </w:rPr>
        <w:t xml:space="preserve">survival(v.3.8-6)</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bridgesampling(v.1.2-1)</w:t>
      </w:r>
      <w:r>
        <w:t xml:space="preserve">,</w:t>
      </w:r>
      <w:r>
        <w:t xml:space="preserve"> </w:t>
      </w:r>
      <w:r>
        <w:rPr>
          <w:i/>
          <w:iCs/>
        </w:rPr>
        <w:t xml:space="preserve">pkgbuild(v.1.4.8)</w:t>
      </w:r>
      <w:r>
        <w:t xml:space="preserve">,</w:t>
      </w:r>
      <w:r>
        <w:t xml:space="preserve"> </w:t>
      </w:r>
      <w:r>
        <w:rPr>
          <w:i/>
          <w:iCs/>
        </w:rPr>
        <w:t xml:space="preserve">curl(v.7.1.0)</w:t>
      </w:r>
      <w:r>
        <w:t xml:space="preserve">,</w:t>
      </w:r>
      <w:r>
        <w:t xml:space="preserve"> </w:t>
      </w:r>
      <w:r>
        <w:rPr>
          <w:i/>
          <w:iCs/>
        </w:rPr>
        <w:t xml:space="preserve">plyr(v.1.8.9)</w:t>
      </w:r>
      <w:r>
        <w:t xml:space="preserve">,</w:t>
      </w:r>
      <w:r>
        <w:t xml:space="preserve"> </w:t>
      </w:r>
      <w:r>
        <w:rPr>
          <w:i/>
          <w:iCs/>
        </w:rPr>
        <w:t xml:space="preserve">RColorBrewer(v.1.1-3)</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grid(v.4.5.3)</w:t>
      </w:r>
      <w:r>
        <w:t xml:space="preserve">,</w:t>
      </w:r>
      <w:r>
        <w:t xml:space="preserve"> </w:t>
      </w:r>
      <w:r>
        <w:rPr>
          <w:i/>
          <w:iCs/>
        </w:rPr>
        <w:t xml:space="preserve">stats4(v.4.5.3)</w:t>
      </w:r>
      <w:r>
        <w:t xml:space="preserve">,</w:t>
      </w:r>
      <w:r>
        <w:t xml:space="preserve"> </w:t>
      </w:r>
      <w:r>
        <w:rPr>
          <w:i/>
          <w:iCs/>
        </w:rPr>
        <w:t xml:space="preserve">xtable(v.1.8-8)</w:t>
      </w:r>
      <w:r>
        <w:t xml:space="preserve">,</w:t>
      </w:r>
      <w:r>
        <w:t xml:space="preserve"> </w:t>
      </w:r>
      <w:r>
        <w:rPr>
          <w:i/>
          <w:iCs/>
        </w:rPr>
        <w:t xml:space="preserve">colorspace(v.2.1-1)</w:t>
      </w:r>
      <w:r>
        <w:t xml:space="preserve">,</w:t>
      </w:r>
      <w:r>
        <w:t xml:space="preserve"> </w:t>
      </w:r>
      <w:r>
        <w:rPr>
          <w:i/>
          <w:iCs/>
        </w:rPr>
        <w:t xml:space="preserve">inline(v.0.3.21)</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rmarkdown(v.2.31)</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reshape2(v.1.4.5)</w:t>
      </w:r>
      <w:r>
        <w:t xml:space="preserve">,</w:t>
      </w:r>
      <w:r>
        <w:t xml:space="preserve"> </w:t>
      </w:r>
      <w:r>
        <w:rPr>
          <w:i/>
          <w:iCs/>
        </w:rPr>
        <w:t xml:space="preserve">rstan(v.2.32.7)</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w:t>
      </w:r>
      <w:r>
        <w:t xml:space="preserve">,</w:t>
      </w:r>
      <w:r>
        <w:t xml:space="preserve"> </w:t>
      </w:r>
      <w:r>
        <w:rPr>
          <w:i/>
          <w:iCs/>
        </w:rPr>
        <w:t xml:space="preserve">parallel(v.4.5.3)</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callr(v.3.7.6)</w:t>
      </w:r>
      <w:r>
        <w:t xml:space="preserve">,</w:t>
      </w:r>
      <w:r>
        <w:t xml:space="preserve"> </w:t>
      </w:r>
      <w:r>
        <w:rPr>
          <w:i/>
          <w:iCs/>
        </w:rPr>
        <w:t xml:space="preserve">litedown(v.0.7)</w:t>
      </w:r>
      <w:r>
        <w:t xml:space="preserve">,</w:t>
      </w:r>
      <w:r>
        <w:t xml:space="preserve"> </w:t>
      </w:r>
      <w:r>
        <w:rPr>
          <w:i/>
          <w:iCs/>
        </w:rPr>
        <w:t xml:space="preserve">arrayhelpers(v.1.1-0)</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codetools(v.0.2-20)</w:t>
      </w:r>
      <w:r>
        <w:t xml:space="preserve">,</w:t>
      </w:r>
      <w:r>
        <w:t xml:space="preserve"> </w:t>
      </w:r>
      <w:r>
        <w:rPr>
          <w:i/>
          <w:iCs/>
        </w:rPr>
        <w:t xml:space="preserve">distributional(v.0.6.0)</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QuickJSR(v.1.9.0)</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R6(v.2.6.1)</w:t>
      </w:r>
      <w:r>
        <w:t xml:space="preserve">,</w:t>
      </w:r>
      <w:r>
        <w:t xml:space="preserve"> </w:t>
      </w:r>
      <w:r>
        <w:rPr>
          <w:i/>
          <w:iCs/>
        </w:rPr>
        <w:t xml:space="preserve">rprojroot(v.2.1.1)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backports(v.1.5.1)</w:t>
      </w:r>
      <w:r>
        <w:t xml:space="preserve">,</w:t>
      </w:r>
      <w:r>
        <w:t xml:space="preserve"> </w:t>
      </w:r>
      <w:r>
        <w:rPr>
          <w:i/>
          <w:iCs/>
        </w:rPr>
        <w:t xml:space="preserve">rstantools(v.2.6.0)</w:t>
      </w:r>
      <w:r>
        <w:t xml:space="preserve">,</w:t>
      </w:r>
      <w:r>
        <w:t xml:space="preserve"> </w:t>
      </w:r>
      <w:r>
        <w:rPr>
          <w:i/>
          <w:iCs/>
        </w:rPr>
        <w:t xml:space="preserve">coda(v.0.19-4.1)</w:t>
      </w:r>
      <w:r>
        <w:t xml:space="preserve">,</w:t>
      </w:r>
      <w:r>
        <w:t xml:space="preserve"> </w:t>
      </w:r>
      <w:r>
        <w:rPr>
          <w:i/>
          <w:iCs/>
        </w:rPr>
        <w:t xml:space="preserve">gridExtra(v.2.3)</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bookmarkEnd w:id="108"/>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80" Target="media/rId80.png" /><Relationship Type="http://schemas.openxmlformats.org/officeDocument/2006/relationships/image" Id="rId75" Target="media/rId75.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31" Target="media/rId31.png" /><Relationship Type="http://schemas.openxmlformats.org/officeDocument/2006/relationships/image" Id="rId55" Target="media/rId55.png" /><Relationship Type="http://schemas.openxmlformats.org/officeDocument/2006/relationships/image" Id="rId22" Target="media/rId22.png" /><Relationship Type="http://schemas.openxmlformats.org/officeDocument/2006/relationships/image" Id="rId68" Target="media/rId68.png" /><Relationship Type="http://schemas.openxmlformats.org/officeDocument/2006/relationships/hyperlink" Id="rId98" Target="https://doi.org/10.1016/j.tree.2026.01.009" TargetMode="External" /><Relationship Type="http://schemas.openxmlformats.org/officeDocument/2006/relationships/hyperlink" Id="rId94" Target="https://doi.org/10.1038/s41598-021-92004-6" TargetMode="External" /><Relationship Type="http://schemas.openxmlformats.org/officeDocument/2006/relationships/hyperlink" Id="rId104" Target="https://doi.org/10.1111/1365-2435.12268" TargetMode="External" /><Relationship Type="http://schemas.openxmlformats.org/officeDocument/2006/relationships/hyperlink" Id="rId92" Target="https://doi.org/10.1111/gcb.70315" TargetMode="External" /><Relationship Type="http://schemas.openxmlformats.org/officeDocument/2006/relationships/hyperlink" Id="rId102" Target="https://doi.org/10.1126/science.aba9287" TargetMode="External" /><Relationship Type="http://schemas.openxmlformats.org/officeDocument/2006/relationships/hyperlink" Id="rId96" Target="https://doi.org/10.1242/jeb.167858" TargetMode="External" /><Relationship Type="http://schemas.openxmlformats.org/officeDocument/2006/relationships/hyperlink" Id="rId100" Target="https://doi.org/10.1242/jeb.244514"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16/j.tree.2026.01.009" TargetMode="External" /><Relationship Type="http://schemas.openxmlformats.org/officeDocument/2006/relationships/hyperlink" Id="rId94" Target="https://doi.org/10.1038/s41598-021-92004-6" TargetMode="External" /><Relationship Type="http://schemas.openxmlformats.org/officeDocument/2006/relationships/hyperlink" Id="rId104" Target="https://doi.org/10.1111/1365-2435.12268" TargetMode="External" /><Relationship Type="http://schemas.openxmlformats.org/officeDocument/2006/relationships/hyperlink" Id="rId92" Target="https://doi.org/10.1111/gcb.70315" TargetMode="External" /><Relationship Type="http://schemas.openxmlformats.org/officeDocument/2006/relationships/hyperlink" Id="rId102" Target="https://doi.org/10.1126/science.aba9287" TargetMode="External" /><Relationship Type="http://schemas.openxmlformats.org/officeDocument/2006/relationships/hyperlink" Id="rId96" Target="https://doi.org/10.1242/jeb.167858" TargetMode="External" /><Relationship Type="http://schemas.openxmlformats.org/officeDocument/2006/relationships/hyperlink" Id="rId100" Target="https://doi.org/10.1242/jeb.244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2026-05-10T06:57:32Z</dcterms:created>
  <dcterms:modified xsi:type="dcterms:W3CDTF">2026-05-10T06:57:32Z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2026-05-10</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sensitivity across life</vt:lpwstr>
  </property>
  <property fmtid="{D5CDD505-2E9C-101B-9397-08002B2CF9AE}" pid="20" name="toc-title">
    <vt:lpwstr>Table of contents</vt:lpwstr>
  </property>
</Properties>
</file>