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Patrice Pottier</w:t>
      </w:r>
      <w:r>
        <w:rPr>
          <w:vertAlign w:val="superscript"/>
        </w:rPr>
        <w:t xml:space="preserve">2</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and Environmental Sciences, University of Gothenburg, Gothenburg, Sweden.</w:t>
      </w:r>
      <w:r>
        <w:t xml:space="preserve"> </w:t>
      </w:r>
      <w:r>
        <w:rPr>
          <w:vertAlign w:val="superscript"/>
        </w:rPr>
        <w:t xml:space="preserve">*</w:t>
      </w:r>
      <w:r>
        <w:t xml:space="preserve">Corresponding author: daniel.noble@anu.edu.au</w:t>
      </w:r>
    </w:p>
    <w:p>
      <w:pPr>
        <w:pStyle w:val="BodyText"/>
      </w:pPr>
      <w:r>
        <w:rPr>
          <w:b/>
          <w:bCs/>
        </w:rPr>
        <w:t xml:space="preserve">Abstract</w:t>
      </w:r>
    </w:p>
    <w:p>
      <w:pPr>
        <w:numPr>
          <w:ilvl w:val="0"/>
          <w:numId w:val="1001"/>
        </w:numPr>
      </w:pPr>
      <w:r>
        <w:t xml:space="preserve">The thermal load sensitivity (TLS) framework is the gold standard for estimating and predicting thermal tolerance in nature, but its standard two-step pipeline — point-estimate LT50 extraction at each 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 assumptions that are routinely violated and that bias every downstream quantity (z, CTmax, heat-injury predictions).</w:t>
      </w:r>
    </w:p>
    <w:p>
      <w:pPr>
        <w:numPr>
          <w:ilvl w:val="0"/>
          <w:numId w:val="1001"/>
        </w:numPr>
      </w:pPr>
      <w:r>
        <w:t xml:space="preserve">We describe a flexible Bayesian, single-stage four-parameter logistic (4PL) model for modelling the impact of temperature and time on survival and fertility. We demonstrate how such an approach can recover all the classical TDT output typical of a two-stage modelling framework — including thermal sensitivity (</w:t>
      </w:r>
      <m:oMath>
        <m:r>
          <m:t>z</m:t>
        </m:r>
      </m:oMath>
      <w:r>
        <w:t xml:space="preserve">, slopes), critical thermal limit (</w:t>
      </w:r>
      <m:oMath>
        <m:r>
          <m:t>C</m:t>
        </m:r>
        <m:sSub>
          <m:e>
            <m:r>
              <m:t>T</m:t>
            </m:r>
          </m:e>
          <m:sub>
            <m:r>
              <m:t>m</m:t>
            </m:r>
            <m:r>
              <m:t>a</m:t>
            </m:r>
            <m:sSub>
              <m:e>
                <m:r>
                  <m:t>x</m:t>
                </m:r>
              </m:e>
              <m:sub>
                <m:r>
                  <m:t>1</m:t>
                </m:r>
                <m:r>
                  <m:t>h</m:t>
                </m:r>
                <m:r>
                  <m:t>r</m:t>
                </m:r>
              </m:sub>
            </m:sSub>
          </m:sub>
        </m:sSub>
      </m:oMath>
      <w:r>
        <w:t xml:space="preserve">) and the heat-injury (HI) integral, which allows for one to predict thermal injury in nature under realistic exposure temperatures. Given its fully Bayesian implementation, it allows for error propagation to account for uncertainty at all stages of modelling as well as improved inferences.</w:t>
      </w:r>
    </w:p>
    <w:p>
      <w:pPr>
        <w:numPr>
          <w:ilvl w:val="0"/>
          <w:numId w:val="1001"/>
        </w:numPr>
      </w:pPr>
      <w:r>
        <w:t xml:space="preserve">We applied our new modelling framework to data from brown shrimp (</w:t>
      </w:r>
      <w:r>
        <w:rPr>
          <w:i/>
          <w:iCs/>
        </w:rPr>
        <w:t xml:space="preserve">Crangon crangon</w:t>
      </w:r>
      <w:r>
        <w:t xml:space="preserve">) and XX to demonstrate the equivalencies and benefits of such an approach.</w:t>
      </w:r>
    </w:p>
    <w:p>
      <w:pPr>
        <w:numPr>
          <w:ilvl w:val="0"/>
          <w:numId w:val="1001"/>
        </w:numPr>
      </w:pPr>
      <w:r>
        <w:t xml:space="preserve">We show that the classical and Bayesian frameworks are equivalent, but that the hierarchical 4PL delivers properly propagated uncertainty, can account for complex hierarchical data (i.e., random effects), can accommodate censoring and overdispersion, and unlocks outputs the two-step pipeline cannot provide (full survival surface, arbitrary mortality percentiles, decomposable between-group contrasts, dynamic-regime predictions). We provide reusable R helpers and recommend the hierarchical 4PL as the default analysis for new TDT data.</w:t>
      </w:r>
    </w:p>
    <w:p>
      <w:pPr>
        <w:pStyle w:val="FirstParagraph"/>
      </w:pPr>
      <w:r>
        <w:rPr>
          <w:b/>
          <w:bCs/>
        </w:rPr>
        <w:t xml:space="preserve">Keywords:</w:t>
      </w:r>
      <w:r>
        <w:t xml:space="preserve"> </w:t>
      </w:r>
      <w:r>
        <w:t xml:space="preserve">thermal death time; tolerance landscape; hierarchical Bayesian model; 4-parameter logistic; heat injury; CTmax; ectotherm</w:t>
      </w:r>
    </w:p>
    <w:bookmarkStart w:id="20" w:name="introduction"/>
    <w:p>
      <w:pPr>
        <w:pStyle w:val="Heading1"/>
      </w:pPr>
      <w:r>
        <w:t xml:space="preserve">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Additionally, while we use the four-parameter log-logistic form throughout for its flexibility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single model, while also easily allowing for predictions of heat injury accumulation and survival. We develop these models within a Bayesian framework which allows for better uncertainty calibration and error propagation with complex hierarchical data structures.</w:t>
      </w:r>
    </w:p>
    <w:bookmarkEnd w:id="20"/>
    <w:bookmarkStart w:id="24" w:name="X4ae69e6473582f743e31b9e3b0100c4bac3c9f9"/>
    <w:p>
      <w:pPr>
        <w:pStyle w:val="Heading1"/>
      </w:pPr>
      <w:r>
        <w:t xml:space="preserve">A non-linear Bayesian hierarchical model for characterizing thermal load sensitivity</w:t>
      </w:r>
    </w:p>
    <w:bookmarkStart w:id="23" w:name="model-specification"/>
    <w:p>
      <w:pPr>
        <w:pStyle w:val="Heading2"/>
      </w:pPr>
      <w:r>
        <w:t xml:space="preserve">Model specification</w:t>
      </w:r>
    </w:p>
    <w:p>
      <w:pPr>
        <w:pStyle w:val="FirstParagraph"/>
      </w:pPr>
      <w:r>
        <w:t xml:space="preserve">Assuming we have mortality data for different times and temperatures, 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(e.g., minutes) at assay temperature</w:t>
      </w:r>
      <w:r>
        <w:t xml:space="preserve"> </w:t>
      </w:r>
      <m:oMath>
        <m:sSub>
          <m:e>
            <m:r>
              <m:t>T</m:t>
            </m:r>
          </m:e>
          <m:sub>
            <m:r>
              <m:t>i</m:t>
            </m:r>
            <m:r>
              <m:t>j</m:t>
            </m:r>
          </m:sub>
        </m:sSub>
      </m:oMath>
      <w:r>
        <w:t xml:space="preserve"> </w:t>
      </w:r>
      <w:r>
        <w:t xml:space="preserve">(°C). We can model the counts directly with a binomial likelihood (but a beta-binomial likelihood function can also be used and controls for overdispersion):</w:t>
      </w:r>
    </w:p>
    <w:p>
      <w:pPr>
        <w:pStyle w:val="BodyText"/>
      </w:pPr>
      <w:bookmarkStart w:id="21"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1"/>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2"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2"/>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3"/>
    <w:bookmarkEnd w:id="24"/>
    <w:bookmarkStart w:id="29" w:name="X46eb6268dcffa0b752ad63ad3dfd63180af2bd8"/>
    <w:p>
      <w:pPr>
        <w:pStyle w:val="Heading1"/>
      </w:pPr>
      <w:r>
        <w:t xml:space="preserve">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w:t>
      </w:r>
      <w:r>
        <w:t xml:space="preserve"> </w:t>
      </w:r>
      <w:hyperlink w:anchor="eq-4pl">
        <w:r>
          <w:rPr>
            <w:rStyle w:val="Hyperlink"/>
          </w:rPr>
          <w:t xml:space="preserve">Equation 2</w:t>
        </w:r>
      </w:hyperlink>
      <w:r>
        <w:t xml:space="preserve">.</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5"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5"/>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6"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6"/>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 this subtraction, the intercept estimates</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without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27"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27"/>
    </w:p>
    <w:p>
      <w:pPr>
        <w:pStyle w:val="FirstParagraph"/>
      </w:pPr>
      <w:bookmarkStart w:id="28"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28"/>
    </w:p>
    <w:p>
      <w:pPr>
        <w:pStyle w:val="FirstParagraph"/>
      </w:pPr>
      <w:r>
        <w:t xml:space="preserve">In practice, however, these corrections may not be needed so long as the experimental design includes treatments that span the full mortality range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Regardless, we recommend using the correction factor as a safeguard. However, computing both the naive and corrected estimates and comparing them is a useful sensitivity check for whether the correction is needed in any given dataset.</w:t>
      </w:r>
    </w:p>
    <w:bookmarkEnd w:id="29"/>
    <w:bookmarkStart w:id="34" w:name="X748caa9d6c5389c1517c1b3b0c0fd7ca3896022"/>
    <w:p>
      <w:pPr>
        <w:pStyle w:val="Heading1"/>
      </w:pPr>
      <w:r>
        <w:t xml:space="preserve">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0"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0"/>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can then be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To propagate uncertainty,</w:t>
      </w:r>
      <w:r>
        <w:t xml:space="preserve"> </w:t>
      </w:r>
      <m:oMath>
        <m:r>
          <m:t>z</m:t>
        </m:r>
      </m:oMath>
      <w:r>
        <w:t xml:space="preserve"> </w:t>
      </w:r>
      <w:r>
        <w:t xml:space="preserve">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w:t>
      </w:r>
    </w:p>
    <w:p>
      <w:pPr>
        <w:pStyle w:val="BodyText"/>
      </w:pPr>
      <w:r>
        <w:t xml:space="preserve">A more natural prediction to make may instead be the population-level survival probability over time.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time is accumulated at hot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1"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8</m:t>
              </m:r>
            </m:e>
          </m:d>
        </m:oMath>
      </m:oMathPara>
      <w:bookmarkEnd w:id="31"/>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2"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9</m:t>
              </m:r>
            </m:e>
          </m:d>
        </m:oMath>
      </m:oMathPara>
      <w:bookmarkEnd w:id="32"/>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w:t>
      </w:r>
    </w:p>
    <w:p>
      <w:pPr>
        <w:pStyle w:val="BodyText"/>
      </w:pPr>
      <w:r>
        <w:t xml:space="preserve">If calculating</w:t>
      </w:r>
      <w:r>
        <w:t xml:space="preserve"> </w:t>
      </w:r>
      <m:oMath>
        <m:r>
          <m:t>H</m:t>
        </m:r>
        <m:r>
          <m:t>I</m:t>
        </m:r>
      </m:oMath>
      <w:r>
        <w:t xml:space="preserve">, it is important to realise that the Bayesian dose-response model can also be used directly to calculate</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samples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3"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10</m:t>
              </m:r>
            </m:e>
          </m:d>
        </m:oMath>
      </m:oMathPara>
      <w:bookmarkEnd w:id="33"/>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for any survival threshold of interest. For example, relaxing x with 0.10 (i.e.,</w:t>
      </w:r>
      <w:r>
        <w:t xml:space="preserve"> </w:t>
      </w:r>
      <m:oMath>
        <m:r>
          <m:t>L</m:t>
        </m:r>
        <m:sSub>
          <m:e>
            <m:r>
              <m:t>T</m:t>
            </m:r>
          </m:e>
          <m:sub>
            <m:r>
              <m:t>10</m:t>
            </m:r>
          </m:sub>
        </m:sSub>
      </m:oMath>
      <w:r>
        <w:t xml:space="preserve">) can be used to calculate the onset of early levels of mortality which maybe good for risk management or</w:t>
      </w:r>
      <w:r>
        <w:t xml:space="preserve"> </w:t>
      </w:r>
      <m:oMath>
        <m:r>
          <m:t>L</m:t>
        </m:r>
        <m:sSub>
          <m:e>
            <m:r>
              <m:t>T</m:t>
            </m:r>
          </m:e>
          <m:sub>
            <m:r>
              <m:t>90</m:t>
            </m:r>
          </m:sub>
        </m:sSub>
      </m:oMath>
      <w:r>
        <w:t xml:space="preserve"> </w:t>
      </w:r>
      <w:r>
        <w:t xml:space="preserve">which might be more useful for understanding population-collapse thresholds. In each case, uncertainty in any predictions can always be presented alongside population-level averages or medians.</w:t>
      </w:r>
    </w:p>
    <w:bookmarkEnd w:id="34"/>
    <w:bookmarkStart w:id="37" w:name="X874ed648d04cd4061333629ea007cfb78435af7"/>
    <w:p>
      <w:pPr>
        <w:pStyle w:val="Heading1"/>
      </w:pPr>
      <w:r>
        <w:t xml:space="preserve">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5"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5"/>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6"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6"/>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§[Equivalence with the classical pipeline].</w:t>
      </w:r>
    </w:p>
    <w:bookmarkEnd w:id="37"/>
    <w:bookmarkStart w:id="39" w:name="Xec90b6140c5c716811717eebe02c3ac6d8434ca"/>
    <w:p>
      <w:pPr>
        <w:pStyle w:val="Heading1"/>
      </w:pPr>
      <w:r>
        <w:t xml:space="preserve">Case Study 1: Thermal sensitivity estimation across life stages in shrimp</w:t>
      </w:r>
    </w:p>
    <w:bookmarkStart w:id="38" w:name="X83c280133a78de915d3b14a666f30d6a82dc387"/>
    <w:p>
      <w:pPr>
        <w:pStyle w:val="Heading2"/>
      </w:pPr>
      <w:r>
        <w:t xml:space="preserve">What the 4PL delivers that the two-step cannot</w:t>
      </w:r>
    </w:p>
    <w:bookmarkEnd w:id="38"/>
    <w:bookmarkEnd w:id="39"/>
    <w:bookmarkStart w:id="46" w:name="X2a14174f4c72db593bce4e6516c6528cdb497de"/>
    <w:p>
      <w:pPr>
        <w:pStyle w:val="Heading1"/>
      </w:pPr>
      <w:r>
        <w:t xml:space="preserve">Worked example: brown shrimp thermal tolerance</w:t>
      </w:r>
    </w:p>
    <w:bookmarkStart w:id="40" w:name="data-and-experimental-design"/>
    <w:p>
      <w:pPr>
        <w:pStyle w:val="Heading2"/>
      </w:pPr>
      <w:r>
        <w:t xml:space="preserve">Data and experimental design</w:t>
      </w:r>
    </w:p>
    <w:bookmarkEnd w:id="40"/>
    <w:bookmarkStart w:id="41" w:name="lethal-tdt-hierarchical-4pl-on-counts"/>
    <w:p>
      <w:pPr>
        <w:pStyle w:val="Heading2"/>
      </w:pPr>
      <w:r>
        <w:t xml:space="preserve">Lethal TDT — hierarchical 4PL on counts</w:t>
      </w:r>
    </w:p>
    <w:bookmarkEnd w:id="41"/>
    <w:bookmarkStart w:id="42" w:name="sublethal-time-to-death"/>
    <w:p>
      <w:pPr>
        <w:pStyle w:val="Heading2"/>
      </w:pPr>
      <w:r>
        <w:t xml:space="preserve">Sublethal time-to-death</w:t>
      </w:r>
    </w:p>
    <w:bookmarkEnd w:id="42"/>
    <w:bookmarkStart w:id="43" w:name="dynamic-ctmax-across-ramping-rates"/>
    <w:p>
      <w:pPr>
        <w:pStyle w:val="Heading2"/>
      </w:pPr>
      <w:r>
        <w:t xml:space="preserve">Dynamic CTmax across ramping rates</w:t>
      </w:r>
    </w:p>
    <w:bookmarkEnd w:id="43"/>
    <w:bookmarkStart w:id="44" w:name="Xa764bbb0ef06e1b16f1b866442815364d0000f8"/>
    <w:p>
      <w:pPr>
        <w:pStyle w:val="Heading2"/>
      </w:pPr>
      <w:r>
        <w:t xml:space="preserve">Reconciling the three endpoints via the Jørgensen ramping equation</w:t>
      </w:r>
    </w:p>
    <w:bookmarkEnd w:id="44"/>
    <w:bookmarkStart w:id="45" w:name="Xc9d8a39a8777a97080af0145482f0bf85ce7458"/>
    <w:p>
      <w:pPr>
        <w:pStyle w:val="Heading2"/>
      </w:pPr>
      <w:r>
        <w:t xml:space="preserve">Field-temperature heat-injury projections under warming scenarios</w:t>
      </w:r>
    </w:p>
    <w:bookmarkEnd w:id="45"/>
    <w:bookmarkEnd w:id="46"/>
    <w:bookmarkStart w:id="50" w:name="discussion"/>
    <w:p>
      <w:pPr>
        <w:pStyle w:val="Heading1"/>
      </w:pPr>
      <w:r>
        <w:t xml:space="preserve">Discussion</w:t>
      </w:r>
    </w:p>
    <w:bookmarkStart w:id="47" w:name="X5dac85fa1a4411486a220dbeaf8627ab0091f32"/>
    <w:p>
      <w:pPr>
        <w:pStyle w:val="Heading2"/>
      </w:pPr>
      <w:r>
        <w:t xml:space="preserve">What changes for the field if the hierarchical 4PL becomes the default</w:t>
      </w:r>
    </w:p>
    <w:bookmarkEnd w:id="47"/>
    <w:bookmarkStart w:id="48" w:name="limits-of-the-present-analysis"/>
    <w:p>
      <w:pPr>
        <w:pStyle w:val="Heading2"/>
      </w:pPr>
      <w:r>
        <w:t xml:space="preserve">Limits of the present analysis</w:t>
      </w:r>
    </w:p>
    <w:bookmarkEnd w:id="48"/>
    <w:bookmarkStart w:id="49" w:name="Xf0d52b04feeaedf0b5abcee2b4d231c85971023"/>
    <w:p>
      <w:pPr>
        <w:pStyle w:val="Heading2"/>
      </w:pPr>
      <w:r>
        <w:t xml:space="preserve">Recommendations for primary studies and meta-analyses</w:t>
      </w:r>
    </w:p>
    <w:bookmarkEnd w:id="49"/>
    <w:bookmarkEnd w:id="50"/>
    <w:bookmarkStart w:id="51" w:name="conclusions"/>
    <w:p>
      <w:pPr>
        <w:pStyle w:val="Heading1"/>
      </w:pPr>
      <w:r>
        <w:t xml:space="preserve">Conclusions</w:t>
      </w:r>
    </w:p>
    <w:bookmarkEnd w:id="51"/>
    <w:bookmarkStart w:id="52" w:name="acknowledgements"/>
    <w:p>
      <w:pPr>
        <w:pStyle w:val="Heading1"/>
      </w:pPr>
      <w:r>
        <w:t xml:space="preserve">Acknowledgements</w:t>
      </w:r>
    </w:p>
    <w:bookmarkEnd w:id="52"/>
    <w:bookmarkStart w:id="53" w:name="author-contributions"/>
    <w:p>
      <w:pPr>
        <w:pStyle w:val="Heading1"/>
      </w:pPr>
      <w:r>
        <w:t xml:space="preserve">Author contributions</w:t>
      </w:r>
    </w:p>
    <w:p>
      <w:pPr>
        <w:pStyle w:val="FirstParagraph"/>
      </w:pPr>
      <w:r>
        <w:t xml:space="preserve">DN conceived the project, performed the analyses, and wrote the manuscript.</w:t>
      </w:r>
    </w:p>
    <w:bookmarkEnd w:id="53"/>
    <w:bookmarkStart w:id="57"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54">
        <w:r>
          <w:rPr>
            <w:rStyle w:val="Hyperlink"/>
          </w:rPr>
          <w:t xml:space="preserve">https://github.com/...</w:t>
        </w:r>
      </w:hyperlink>
      <w:r>
        <w:t xml:space="preserve">. The hierarchical 4PL is implemented in</w:t>
      </w:r>
      <w:r>
        <w:t xml:space="preserve"> </w:t>
      </w:r>
      <w:hyperlink r:id="rId55">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56">
        <w:r>
          <w:rPr>
            <w:rStyle w:val="VerbatimChar"/>
          </w:rPr>
          <w:t xml:space="preserve">cmdstanr</w:t>
        </w:r>
      </w:hyperlink>
      <w:r>
        <w:t xml:space="preserve"> </w:t>
      </w:r>
      <w:r>
        <w:t xml:space="preserve">as the Stan backend.</w:t>
      </w:r>
    </w:p>
    <w:bookmarkEnd w:id="57"/>
    <w:bookmarkStart w:id="58" w:name="conflict-of-interest"/>
    <w:p>
      <w:pPr>
        <w:pStyle w:val="Heading1"/>
      </w:pPr>
      <w:r>
        <w:t xml:space="preserve">Conflict of interest</w:t>
      </w:r>
    </w:p>
    <w:p>
      <w:pPr>
        <w:pStyle w:val="FirstParagraph"/>
      </w:pPr>
      <w:r>
        <w:t xml:space="preserve">The authors declare no competing interests.</w:t>
      </w:r>
    </w:p>
    <w:bookmarkEnd w:id="58"/>
    <w:bookmarkStart w:id="129" w:name="references"/>
    <w:p>
      <w:pPr>
        <w:pStyle w:val="Heading1"/>
      </w:pPr>
      <w:r>
        <w:t xml:space="preserve">References</w:t>
      </w:r>
    </w:p>
    <w:bookmarkStart w:id="128" w:name="refs"/>
    <w:bookmarkStart w:id="60"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59">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0"/>
    <w:bookmarkStart w:id="61"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61"/>
    <w:bookmarkStart w:id="63" w:name="ref-buckley_damage_2025"/>
    <w:p>
      <w:pPr>
        <w:pStyle w:val="Bibliography"/>
      </w:pPr>
      <w:r>
        <w:t xml:space="preserve">Buckley, L.B., Huey, R.B. &amp; Ma, C.-S. (2025).</w:t>
      </w:r>
      <w:r>
        <w:t xml:space="preserve"> </w:t>
      </w:r>
      <w:hyperlink r:id="rId6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63"/>
    <w:bookmarkStart w:id="65" w:name="ref-burke_ipd_2017"/>
    <w:p>
      <w:pPr>
        <w:pStyle w:val="Bibliography"/>
      </w:pPr>
      <w:r>
        <w:t xml:space="preserve">Burke, D.L., Ensor, J. &amp; Riley, R.D. (2017).</w:t>
      </w:r>
      <w:r>
        <w:t xml:space="preserve"> </w:t>
      </w:r>
      <w:hyperlink r:id="rId64">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65"/>
    <w:bookmarkStart w:id="67" w:name="ref-burkner_brms_2017"/>
    <w:p>
      <w:pPr>
        <w:pStyle w:val="Bibliography"/>
      </w:pPr>
      <w:r>
        <w:t xml:space="preserve">Bürkner, P.-C. (2017).</w:t>
      </w:r>
      <w:r>
        <w:t xml:space="preserve"> </w:t>
      </w:r>
      <w:hyperlink r:id="rId6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67"/>
    <w:bookmarkStart w:id="69" w:name="ref-carroll_measurement_2006"/>
    <w:p>
      <w:pPr>
        <w:pStyle w:val="Bibliography"/>
      </w:pPr>
      <w:r>
        <w:t xml:space="preserve">Carroll, R.J., Ruppert, D., Stefanski, L.A. &amp; Crainiceanu, C.M. (2006).</w:t>
      </w:r>
      <w:r>
        <w:t xml:space="preserve"> </w:t>
      </w:r>
      <w:hyperlink r:id="rId68">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69"/>
    <w:bookmarkStart w:id="71"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0">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71"/>
    <w:bookmarkStart w:id="73" w:name="ref-gelman_priors_2006"/>
    <w:p>
      <w:pPr>
        <w:pStyle w:val="Bibliography"/>
      </w:pPr>
      <w:r>
        <w:t xml:space="preserve">Gelman, A. (2006).</w:t>
      </w:r>
      <w:r>
        <w:t xml:space="preserve"> </w:t>
      </w:r>
      <w:hyperlink r:id="rId72">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73"/>
    <w:bookmarkStart w:id="75" w:name="ref-harrison_olre_2014"/>
    <w:p>
      <w:pPr>
        <w:pStyle w:val="Bibliography"/>
      </w:pPr>
      <w:r>
        <w:t xml:space="preserve">Harrison, X.A. (2014).</w:t>
      </w:r>
      <w:r>
        <w:t xml:space="preserve"> </w:t>
      </w:r>
      <w:hyperlink r:id="rId74">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75"/>
    <w:bookmarkStart w:id="7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76">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77"/>
    <w:bookmarkStart w:id="79" w:name="ref-jorgensen_drosophila_2019"/>
    <w:p>
      <w:pPr>
        <w:pStyle w:val="Bibliography"/>
      </w:pPr>
      <w:r>
        <w:t xml:space="preserve">Jørgensen, L.B., Malte, H. &amp; Overgaard, J. (2019).</w:t>
      </w:r>
      <w:r>
        <w:t xml:space="preserve"> </w:t>
      </w:r>
      <w:hyperlink r:id="rId7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79"/>
    <w:bookmarkStart w:id="81" w:name="ref-jorgensen_unifying_2021"/>
    <w:p>
      <w:pPr>
        <w:pStyle w:val="Bibliography"/>
      </w:pPr>
      <w:r>
        <w:t xml:space="preserve">Jørgensen, L.B., Malte, H. &amp; Overgaard, J. (2021).</w:t>
      </w:r>
      <w:r>
        <w:t xml:space="preserve"> </w:t>
      </w:r>
      <w:hyperlink r:id="rId8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81"/>
    <w:bookmarkStart w:id="83" w:name="ref-jorgensen_nature_2022"/>
    <w:p>
      <w:pPr>
        <w:pStyle w:val="Bibliography"/>
      </w:pPr>
      <w:r>
        <w:t xml:space="preserve">Jørgensen, L.B., Ørsted, M., Malte, H., Wang, T. &amp; Overgaard, J. (2022).</w:t>
      </w:r>
      <w:r>
        <w:t xml:space="preserve"> </w:t>
      </w:r>
      <w:hyperlink r:id="rId8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83"/>
    <w:bookmarkStart w:id="85"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84">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85"/>
    <w:bookmarkStart w:id="87" w:name="ref-nakagawa_santos_2012"/>
    <w:p>
      <w:pPr>
        <w:pStyle w:val="Bibliography"/>
      </w:pPr>
      <w:r>
        <w:t xml:space="preserve">Nakagawa, S. &amp; Santos, E.S.A. (2012).</w:t>
      </w:r>
      <w:r>
        <w:t xml:space="preserve"> </w:t>
      </w:r>
      <w:hyperlink r:id="rId86">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87"/>
    <w:bookmarkStart w:id="89" w:name="ref-nielsen_nlmm_2004"/>
    <w:p>
      <w:pPr>
        <w:pStyle w:val="Bibliography"/>
      </w:pPr>
      <w:r>
        <w:t xml:space="preserve">Nielsen, O.K., Ritz, C. &amp; Streibig, J.C. (2004).</w:t>
      </w:r>
      <w:r>
        <w:t xml:space="preserve"> </w:t>
      </w:r>
      <w:hyperlink r:id="rId88">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89"/>
    <w:bookmarkStart w:id="91"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90">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91"/>
    <w:bookmarkStart w:id="93" w:name="ref-orsted_finding_2022"/>
    <w:p>
      <w:pPr>
        <w:pStyle w:val="Bibliography"/>
      </w:pPr>
      <w:r>
        <w:t xml:space="preserve">Ørsted, M., Jørgensen, L.B. &amp; Overgaard, J. (2022).</w:t>
      </w:r>
      <w:r>
        <w:t xml:space="preserve"> </w:t>
      </w:r>
      <w:hyperlink r:id="rId92">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93"/>
    <w:bookmarkStart w:id="95" w:name="ref-orsted_suzukii_2024"/>
    <w:p>
      <w:pPr>
        <w:pStyle w:val="Bibliography"/>
      </w:pPr>
      <w:r>
        <w:t xml:space="preserve">Ørsted, M., Willot, Q., Olsen, A.K., Kongsgaard, V. &amp; Overgaard, J. (2024).</w:t>
      </w:r>
      <w:r>
        <w:t xml:space="preserve"> </w:t>
      </w:r>
      <w:hyperlink r:id="rId94">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95"/>
    <w:bookmarkStart w:id="97" w:name="ref-pinsky_marine_2019"/>
    <w:p>
      <w:pPr>
        <w:pStyle w:val="Bibliography"/>
      </w:pPr>
      <w:r>
        <w:t xml:space="preserve">Pinsky, M.L., Eikeset, A.M., McCauley, D.J., Payne, J.L. &amp; Sunday, J.M. (2019).</w:t>
      </w:r>
      <w:r>
        <w:t xml:space="preserve"> </w:t>
      </w:r>
      <w:hyperlink r:id="rId96">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97"/>
    <w:bookmarkStart w:id="9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98">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99"/>
    <w:bookmarkStart w:id="101" w:name="ref-rezende_drosophila_mortality_2020"/>
    <w:p>
      <w:pPr>
        <w:pStyle w:val="Bibliography"/>
      </w:pPr>
      <w:r>
        <w:t xml:space="preserve">Rezende, E.L., Bozinovic, F., Szilágyi, A. &amp; Santos, M. (2020).</w:t>
      </w:r>
      <w:r>
        <w:t xml:space="preserve"> </w:t>
      </w:r>
      <w:hyperlink r:id="rId100">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01"/>
    <w:bookmarkStart w:id="103" w:name="ref-rezende_landscapes_2014"/>
    <w:p>
      <w:pPr>
        <w:pStyle w:val="Bibliography"/>
      </w:pPr>
      <w:r>
        <w:t xml:space="preserve">Rezende, E.L., Castañeda, L.E. &amp; Santos, M. (2014).</w:t>
      </w:r>
      <w:r>
        <w:t xml:space="preserve"> </w:t>
      </w:r>
      <w:hyperlink r:id="rId102">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03"/>
    <w:bookmarkStart w:id="105" w:name="ref-ritz_ecotox_2010"/>
    <w:p>
      <w:pPr>
        <w:pStyle w:val="Bibliography"/>
      </w:pPr>
      <w:r>
        <w:t xml:space="preserve">Ritz, C. (2010).</w:t>
      </w:r>
      <w:r>
        <w:t xml:space="preserve"> </w:t>
      </w:r>
      <w:hyperlink r:id="rId104">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05"/>
    <w:bookmarkStart w:id="107" w:name="ref-ritz_drc_2015"/>
    <w:p>
      <w:pPr>
        <w:pStyle w:val="Bibliography"/>
      </w:pPr>
      <w:r>
        <w:t xml:space="preserve">Ritz, C., Baty, F., Streibig, J.C. &amp; Gerhard, D. (2015).</w:t>
      </w:r>
      <w:r>
        <w:t xml:space="preserve"> </w:t>
      </w:r>
      <w:hyperlink r:id="rId106">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07"/>
    <w:bookmarkStart w:id="109" w:name="ref-ritz_streibig_2008"/>
    <w:p>
      <w:pPr>
        <w:pStyle w:val="Bibliography"/>
      </w:pPr>
      <w:r>
        <w:t xml:space="preserve">Ritz, C. &amp; Streibig, J.C. (2008).</w:t>
      </w:r>
      <w:r>
        <w:t xml:space="preserve"> </w:t>
      </w:r>
      <w:hyperlink r:id="rId108">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09"/>
    <w:bookmarkStart w:id="111" w:name="ref-rudemo_random_1989"/>
    <w:p>
      <w:pPr>
        <w:pStyle w:val="Bibliography"/>
      </w:pPr>
      <w:r>
        <w:t xml:space="preserve">Rudemo, M., Ruppert, D. &amp; Streibig, J.C. (1989).</w:t>
      </w:r>
      <w:r>
        <w:t xml:space="preserve"> </w:t>
      </w:r>
      <w:hyperlink r:id="rId110">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11"/>
    <w:bookmarkStart w:id="113" w:name="ref-schielzeth_centering_2010"/>
    <w:p>
      <w:pPr>
        <w:pStyle w:val="Bibliography"/>
      </w:pPr>
      <w:r>
        <w:t xml:space="preserve">Schielzeth, H. (2010).</w:t>
      </w:r>
      <w:r>
        <w:t xml:space="preserve"> </w:t>
      </w:r>
      <w:hyperlink r:id="rId11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13"/>
    <w:bookmarkStart w:id="115"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14">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15"/>
    <w:bookmarkStart w:id="117" w:name="ref-snook_fertility_2026"/>
    <w:p>
      <w:pPr>
        <w:pStyle w:val="Bibliography"/>
      </w:pPr>
      <w:r>
        <w:t xml:space="preserve">Snook, R.R., Bretman, A., Dougherty, L.R. &amp; Fricke, C. (2026).</w:t>
      </w:r>
      <w:r>
        <w:t xml:space="preserve"> </w:t>
      </w:r>
      <w:hyperlink r:id="rId116">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17"/>
    <w:bookmarkStart w:id="119" w:name="ref-sunday_global_2011"/>
    <w:p>
      <w:pPr>
        <w:pStyle w:val="Bibliography"/>
      </w:pPr>
      <w:r>
        <w:t xml:space="preserve">Sunday, J.M., Bates, A.E. &amp; Dulvy, N.K. (2011).</w:t>
      </w:r>
      <w:r>
        <w:t xml:space="preserve"> </w:t>
      </w:r>
      <w:hyperlink r:id="rId118">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19"/>
    <w:bookmarkStart w:id="121" w:name="ref-sunday_redistribution_2012"/>
    <w:p>
      <w:pPr>
        <w:pStyle w:val="Bibliography"/>
      </w:pPr>
      <w:r>
        <w:t xml:space="preserve">Sunday, J.M., Bates, A.E. &amp; Dulvy, N.K. (2012).</w:t>
      </w:r>
      <w:r>
        <w:t xml:space="preserve"> </w:t>
      </w:r>
      <w:hyperlink r:id="rId120">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21"/>
    <w:bookmarkStart w:id="123" w:name="ref-truebano2018"/>
    <w:p>
      <w:pPr>
        <w:pStyle w:val="Bibliography"/>
      </w:pPr>
      <w:r>
        <w:t xml:space="preserve">Truebano, M., Fenner, P., Tills, O., Rundle, S. &amp; Rezende, E. (2018).</w:t>
      </w:r>
      <w:r>
        <w:t xml:space="preserve"> </w:t>
      </w:r>
      <w:hyperlink r:id="rId122">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23"/>
    <w:bookmarkStart w:id="125" w:name="ref-villeneuve_dynamic_2024"/>
    <w:p>
      <w:pPr>
        <w:pStyle w:val="Bibliography"/>
      </w:pPr>
      <w:r>
        <w:t xml:space="preserve">Villeneuve, A.R. &amp; White, E.R. (2024).</w:t>
      </w:r>
      <w:r>
        <w:t xml:space="preserve"> </w:t>
      </w:r>
      <w:hyperlink r:id="rId124">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25"/>
    <w:bookmarkStart w:id="127" w:name="ref-wiens_localextinctions_2016"/>
    <w:p>
      <w:pPr>
        <w:pStyle w:val="Bibliography"/>
      </w:pPr>
      <w:r>
        <w:t xml:space="preserve">Wiens, J.J. (2016).</w:t>
      </w:r>
      <w:r>
        <w:t xml:space="preserve"> </w:t>
      </w:r>
      <w:hyperlink r:id="rId12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27"/>
    <w:bookmarkEnd w:id="128"/>
    <w:bookmarkEnd w:id="129"/>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etc.7" TargetMode="External" /><Relationship Type="http://schemas.openxmlformats.org/officeDocument/2006/relationships/hyperlink" Id="rId64" Target="https://doi.org/10.1002/sim.7141" TargetMode="External" /><Relationship Type="http://schemas.openxmlformats.org/officeDocument/2006/relationships/hyperlink" Id="rId108" Target="https://doi.org/10.1007/978-0-387-09616-2" TargetMode="External" /><Relationship Type="http://schemas.openxmlformats.org/officeDocument/2006/relationships/hyperlink" Id="rId86" Target="https://doi.org/10.1007/s10682-012-9555-5" TargetMode="External" /><Relationship Type="http://schemas.openxmlformats.org/officeDocument/2006/relationships/hyperlink" Id="rId84" Target="https://doi.org/10.1016/j.jtherbio.2023.103583" TargetMode="External" /><Relationship Type="http://schemas.openxmlformats.org/officeDocument/2006/relationships/hyperlink" Id="rId90" Target="https://doi.org/10.1016/j.tree.2026.01.009" TargetMode="External" /><Relationship Type="http://schemas.openxmlformats.org/officeDocument/2006/relationships/hyperlink" Id="rId120" Target="https://doi.org/10.1038/nclimate1539" TargetMode="External" /><Relationship Type="http://schemas.openxmlformats.org/officeDocument/2006/relationships/hyperlink" Id="rId114" Target="https://doi.org/10.1038/s41558-019-0412-1" TargetMode="External" /><Relationship Type="http://schemas.openxmlformats.org/officeDocument/2006/relationships/hyperlink" Id="rId96" Target="https://doi.org/10.1038/s41586-019-1132-4" TargetMode="External" /><Relationship Type="http://schemas.openxmlformats.org/officeDocument/2006/relationships/hyperlink" Id="rId82" Target="https://doi.org/10.1038/s41586-022-05334-4" TargetMode="External" /><Relationship Type="http://schemas.openxmlformats.org/officeDocument/2006/relationships/hyperlink" Id="rId98" Target="https://doi.org/10.1038/s41586-025-08665-0" TargetMode="External" /><Relationship Type="http://schemas.openxmlformats.org/officeDocument/2006/relationships/hyperlink" Id="rId80" Target="https://doi.org/10.1038/s41598-021-92004-6" TargetMode="External" /><Relationship Type="http://schemas.openxmlformats.org/officeDocument/2006/relationships/hyperlink" Id="rId116" Target="https://doi.org/10.1038/s44358-026-00142-4" TargetMode="External" /><Relationship Type="http://schemas.openxmlformats.org/officeDocument/2006/relationships/hyperlink" Id="rId70" Target="https://doi.org/10.1073/pnas.0709472105" TargetMode="External" /><Relationship Type="http://schemas.openxmlformats.org/officeDocument/2006/relationships/hyperlink" Id="rId62" Target="https://doi.org/10.1093/icb/icaf019" TargetMode="External" /><Relationship Type="http://schemas.openxmlformats.org/officeDocument/2006/relationships/hyperlink" Id="rId118" Target="https://doi.org/10.1098/rspb.2010.1295" TargetMode="External" /><Relationship Type="http://schemas.openxmlformats.org/officeDocument/2006/relationships/hyperlink" Id="rId102" Target="https://doi.org/10.1111/1365-2435.12268" TargetMode="External" /><Relationship Type="http://schemas.openxmlformats.org/officeDocument/2006/relationships/hyperlink" Id="rId78" Target="https://doi.org/10.1111/1365-2435.13279" TargetMode="External" /><Relationship Type="http://schemas.openxmlformats.org/officeDocument/2006/relationships/hyperlink" Id="rId124" Target="https://doi.org/10.1111/1365-2656.14120" TargetMode="External" /><Relationship Type="http://schemas.openxmlformats.org/officeDocument/2006/relationships/hyperlink" Id="rId94" Target="https://doi.org/10.1111/ele.14421" TargetMode="External" /><Relationship Type="http://schemas.openxmlformats.org/officeDocument/2006/relationships/hyperlink" Id="rId59" Target="https://doi.org/10.1111/gcb.70315" TargetMode="External" /><Relationship Type="http://schemas.openxmlformats.org/officeDocument/2006/relationships/hyperlink" Id="rId112" Target="https://doi.org/10.1111/j.2041-210X.2010.00012.x" TargetMode="External" /><Relationship Type="http://schemas.openxmlformats.org/officeDocument/2006/relationships/hyperlink" Id="rId100" Target="https://doi.org/10.1126/science.aba9287" TargetMode="External" /><Relationship Type="http://schemas.openxmlformats.org/officeDocument/2006/relationships/hyperlink" Id="rId68" Target="https://doi.org/10.1201/9781420010138" TargetMode="External" /><Relationship Type="http://schemas.openxmlformats.org/officeDocument/2006/relationships/hyperlink" Id="rId72" Target="https://doi.org/10.1214/06-BA117A" TargetMode="External" /><Relationship Type="http://schemas.openxmlformats.org/officeDocument/2006/relationships/hyperlink" Id="rId122" Target="https://doi.org/10.1242/jeb.171629" TargetMode="External" /><Relationship Type="http://schemas.openxmlformats.org/officeDocument/2006/relationships/hyperlink" Id="rId92" Target="https://doi.org/10.1242/jeb.244514" TargetMode="External" /><Relationship Type="http://schemas.openxmlformats.org/officeDocument/2006/relationships/hyperlink" Id="rId126" Target="https://doi.org/10.1371/journal.pbio.2001104" TargetMode="External" /><Relationship Type="http://schemas.openxmlformats.org/officeDocument/2006/relationships/hyperlink" Id="rId106" Target="https://doi.org/10.1371/journal.pone.0146021" TargetMode="External" /><Relationship Type="http://schemas.openxmlformats.org/officeDocument/2006/relationships/hyperlink" Id="rId88" Target="https://doi.org/10.1614/WT-03-070R1" TargetMode="External" /><Relationship Type="http://schemas.openxmlformats.org/officeDocument/2006/relationships/hyperlink" Id="rId66" Target="https://doi.org/10.18637/jss.v080.i01" TargetMode="External" /><Relationship Type="http://schemas.openxmlformats.org/officeDocument/2006/relationships/hyperlink" Id="rId110" Target="https://doi.org/10.2307/2531483" TargetMode="External" /><Relationship Type="http://schemas.openxmlformats.org/officeDocument/2006/relationships/hyperlink" Id="rId76" Target="https://doi.org/10.7717/peerj.4794" TargetMode="External" /><Relationship Type="http://schemas.openxmlformats.org/officeDocument/2006/relationships/hyperlink" Id="rId74" Target="https://doi.org/10.7717/peerj.616" TargetMode="External" /><Relationship Type="http://schemas.openxmlformats.org/officeDocument/2006/relationships/hyperlink" Id="rId54" Target="https://github.com/..." TargetMode="External" /><Relationship Type="http://schemas.openxmlformats.org/officeDocument/2006/relationships/hyperlink" Id="rId56" Target="https://mc-stan.org/cmdstanr/" TargetMode="External" /><Relationship Type="http://schemas.openxmlformats.org/officeDocument/2006/relationships/hyperlink" Id="rId55"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
  <cp:keywords>thermal death time, tolerance landscape, hierarchical Bayesian model, 4-parameter logistic, heat injury, CTmax, ectotherm</cp:keywords>
  <dcterms:created xsi:type="dcterms:W3CDTF">2026-05-10T07:37:18Z</dcterms:created>
  <dcterms:modified xsi:type="dcterms:W3CDTF">2026-05-10T07:37:18Z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