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0.png" ContentType="image/png"/>
  <Override PartName="/word/media/rId75.png" ContentType="image/png"/>
  <Override PartName="/word/media/rId47.png" ContentType="image/png"/>
  <Override PartName="/word/media/rId85.png" ContentType="image/png"/>
  <Override PartName="/word/media/rId31.png" ContentType="image/png"/>
  <Override PartName="/word/media/rId55.png" ContentType="image/png"/>
  <Override PartName="/word/media/rId22.png" ContentType="image/png"/>
  <Override PartName="/word/media/rId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2026-05-09</w:t>
      </w:r>
    </w:p>
    <w:bookmarkStart w:id="91" w:name="a-tutorial-with-simulations"/>
    <w:p>
      <w:pPr>
        <w:pStyle w:val="Heading1"/>
      </w:pPr>
      <w:r>
        <w:t xml:space="preserve">1.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28" w:name="simulating-data"/>
    <w:p>
      <w:pPr>
        <w:pStyle w:val="Heading3"/>
      </w:pPr>
      <w:r>
        <w:t xml:space="preserve">1.0.1</w:t>
      </w:r>
      <w:r>
        <w:t xml:space="preserve"> </w:t>
      </w:r>
      <w:r>
        <w:rPr>
          <w:i/>
          <w:iCs/>
        </w:rPr>
        <w:t xml:space="preserve">Simulating Data</w:t>
      </w:r>
    </w:p>
    <w:bookmarkStart w:id="20" w:name="sec-sim-step1"/>
    <w:p>
      <w:pPr>
        <w:pStyle w:val="Heading4"/>
      </w:pPr>
      <w:r>
        <w:t xml:space="preserve">1.0.1.1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20"/>
    <w:bookmarkStart w:id="21" w:name="sec-sim-step2"/>
    <w:p>
      <w:pPr>
        <w:pStyle w:val="Heading4"/>
      </w:pPr>
      <w:r>
        <w:t xml:space="preserve">1.0.1.2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1"/>
    <w:bookmarkStart w:id="26" w:name="sec-sim-step3"/>
    <w:p>
      <w:pPr>
        <w:pStyle w:val="Heading4"/>
      </w:pPr>
      <w:r>
        <w:t xml:space="preserve">1.0.1.3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5" w:name="fig-true-surface"/>
          <w:p>
            <w:pPr>
              <w:jc w:val="center"/>
            </w:pPr>
            <w:r>
              <w:drawing>
                <wp:inline>
                  <wp:extent cx="5943600" cy="3396342"/>
                  <wp:effectExtent b="0" l="0" r="0" t="0"/>
                  <wp:docPr descr="" title="" id="23" name="Picture"/>
                  <a:graphic>
                    <a:graphicData uri="http://schemas.openxmlformats.org/drawingml/2006/picture">
                      <pic:pic>
                        <pic:nvPicPr>
                          <pic:cNvPr descr="supplement_files/figure-docx/plot-true-surface-1.png" id="24" name="Picture"/>
                          <pic:cNvPicPr>
                            <a:picLocks noChangeArrowheads="1" noChangeAspect="1"/>
                          </pic:cNvPicPr>
                        </pic:nvPicPr>
                        <pic:blipFill>
                          <a:blip r:embed="rId2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The known 4PL dose-response surface used to generate the simulated data, evaluated on a dense time grid at each of the five assay temperatures. The horizontal line marks 50% survival; where each curve crosses it gives the true LT50 at that temperature.</w:t>
            </w:r>
          </w:p>
          <w:bookmarkEnd w:id="25"/>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6"/>
    <w:bookmarkStart w:id="27" w:name="sec-sim-step4"/>
    <w:p>
      <w:pPr>
        <w:pStyle w:val="Heading4"/>
      </w:pPr>
      <w:r>
        <w:t xml:space="preserve">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27"/>
    <w:bookmarkEnd w:id="28"/>
    <w:bookmarkStart w:id="39" w:name="sec-twostage"/>
    <w:p>
      <w:pPr>
        <w:pStyle w:val="Heading3"/>
      </w:pPr>
      <w:r>
        <w:t xml:space="preserve">1.0.2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1"/>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1"/>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0" w:name="sec-twostage-step1"/>
    <w:p>
      <w:pPr>
        <w:pStyle w:val="Heading4"/>
      </w:pPr>
      <w:r>
        <w:t xml:space="preserve">1.0.2.1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29" w:name="tbl-stage1-lt50"/>
          <w:p>
            <w:pPr>
              <w:jc w:val="center"/>
            </w:pPr>
            <w:pPr>
              <w:jc w:val="start"/>
              <w:spacing w:before="200"/>
              <w:pStyle w:val="ImageCaption"/>
            </w:pPr>
            <w:r>
              <w:t xml:space="preserve">Table S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29"/>
          <w:p/>
        </w:tc>
      </w:tr>
    </w:tbl>
    <w:p>
      <w:pPr>
        <w:pStyle w:val="BodyText"/>
      </w:pPr>
      <w:r>
        <w:t xml:space="preserve">With the simulation’s true asymptotes near 0 and 1, the 2PL’s forced-asymptote constraint introduces negligible bias here, so each Stage-1 estimate sits close to the simulation truth.</w:t>
      </w:r>
    </w:p>
    <w:bookmarkEnd w:id="30"/>
    <w:bookmarkStart w:id="38" w:name="sec-twostage-step2"/>
    <w:p>
      <w:pPr>
        <w:pStyle w:val="Heading4"/>
      </w:pPr>
      <w:r>
        <w:t xml:space="preserve">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4" w:name="fig-stage2-regression"/>
          <w:p>
            <w:pPr>
              <w:jc w:val="center"/>
            </w:pPr>
            <w:r>
              <w:drawing>
                <wp:inline>
                  <wp:extent cx="5943600" cy="3820885"/>
                  <wp:effectExtent b="0" l="0" r="0" t="0"/>
                  <wp:docPr descr="" title="" id="32" name="Picture"/>
                  <a:graphic>
                    <a:graphicData uri="http://schemas.openxmlformats.org/drawingml/2006/picture">
                      <pic:pic>
                        <pic:nvPicPr>
                          <pic:cNvPr descr="supplement_files/figure-docx/plot-stage2-regression-1.png" id="33" name="Picture"/>
                          <pic:cNvPicPr>
                            <a:picLocks noChangeArrowheads="1" noChangeAspect="1"/>
                          </pic:cNvPicPr>
                        </pic:nvPicPr>
                        <pic:blipFill>
                          <a:blip r:embed="rId3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4"/>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38"/>
    <w:bookmarkEnd w:id="39"/>
    <w:bookmarkStart w:id="52" w:name="sec-joint"/>
    <w:p>
      <w:pPr>
        <w:pStyle w:val="Heading3"/>
      </w:pPr>
      <w:r>
        <w:t xml:space="preserve">1.0.3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4" w:name="sec-joint-spec"/>
    <w:p>
      <w:pPr>
        <w:pStyle w:val="Heading4"/>
      </w:pPr>
      <w:r>
        <w:t xml:space="preserve">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0"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0"/>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1"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1"/>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S 1</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S 2</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1.0.6</w:t>
              </w:r>
            </w:hyperlink>
            <w:r>
              <w:t xml:space="preserve">.</w:t>
            </w:r>
          </w:p>
        </w:tc>
      </w:tr>
    </w:tbl>
    <w:bookmarkEnd w:id="44"/>
    <w:bookmarkStart w:id="45" w:name="sec-joint-fit"/>
    <w:p>
      <w:pPr>
        <w:pStyle w:val="Heading4"/>
      </w:pPr>
      <w:r>
        <w:t xml:space="preserve">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45"/>
    <w:bookmarkStart w:id="51" w:name="sec-joint-recovery"/>
    <w:p>
      <w:pPr>
        <w:pStyle w:val="Heading4"/>
      </w:pPr>
      <w:r>
        <w:t xml:space="preserve">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6" w:name="tbl-recovery"/>
          <w:p>
            <w:pPr>
              <w:jc w:val="center"/>
            </w:pPr>
            <w:pPr>
              <w:jc w:val="start"/>
              <w:spacing w:before="200"/>
              <w:pStyle w:val="ImageCaption"/>
            </w:pPr>
            <w:r>
              <w:t xml:space="preserve">Table S 2: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0.0288</w:t>
                  </w:r>
                </w:p>
              </w:tc>
              <w:tc>
                <w:tcPr/>
                <w:p>
                  <w:pPr>
                    <w:pStyle w:val="Compact"/>
                    <w:jc w:val="center"/>
                  </w:pPr>
                  <w:r>
                    <w:t xml:space="preserve">0.0252</w:t>
                  </w:r>
                </w:p>
              </w:tc>
              <w:tc>
                <w:tcPr/>
                <w:p>
                  <w:pPr>
                    <w:pStyle w:val="Compact"/>
                    <w:jc w:val="center"/>
                  </w:pPr>
                  <w:r>
                    <w:t xml:space="preserve">0.0329</w:t>
                  </w:r>
                </w:p>
              </w:tc>
              <w:tc>
                <w:tcPr/>
                <w:p>
                  <w:pPr>
                    <w:pStyle w:val="Compact"/>
                    <w:jc w:val="center"/>
                  </w:pPr>
                  <w:r>
                    <w:t xml:space="preserve">0.0295</w:t>
                  </w:r>
                </w:p>
              </w:tc>
              <w:tc>
                <w:tcPr/>
                <w:p>
                  <w:pPr>
                    <w:pStyle w:val="Compact"/>
                    <w:jc w:val="center"/>
                  </w:pPr>
                  <w:r>
                    <w:t xml:space="preserve">0.0223</w:t>
                  </w:r>
                </w:p>
              </w:tc>
              <w:tc>
                <w:tcPr/>
                <w:p>
                  <w:pPr>
                    <w:pStyle w:val="Compact"/>
                    <w:jc w:val="center"/>
                  </w:pPr>
                  <w:r>
                    <w:t xml:space="preserve">0.0381</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0.9675</w:t>
                  </w:r>
                </w:p>
              </w:tc>
              <w:tc>
                <w:tcPr/>
                <w:p>
                  <w:pPr>
                    <w:pStyle w:val="Compact"/>
                    <w:jc w:val="center"/>
                  </w:pPr>
                  <w:r>
                    <w:t xml:space="preserve">0.9637</w:t>
                  </w:r>
                </w:p>
              </w:tc>
              <w:tc>
                <w:tcPr/>
                <w:p>
                  <w:pPr>
                    <w:pStyle w:val="Compact"/>
                    <w:jc w:val="center"/>
                  </w:pPr>
                  <w:r>
                    <w:t xml:space="preserve">0.9709</w:t>
                  </w:r>
                </w:p>
              </w:tc>
              <w:tc>
                <w:tcPr/>
                <w:p>
                  <w:pPr>
                    <w:pStyle w:val="Compact"/>
                    <w:jc w:val="center"/>
                  </w:pPr>
                  <w:r>
                    <w:t xml:space="preserve">0.9679</w:t>
                  </w:r>
                </w:p>
              </w:tc>
              <w:tc>
                <w:tcPr/>
                <w:p>
                  <w:pPr>
                    <w:pStyle w:val="Compact"/>
                    <w:jc w:val="center"/>
                  </w:pPr>
                  <w:r>
                    <w:t xml:space="preserve">0.9598</w:t>
                  </w:r>
                </w:p>
              </w:tc>
              <w:tc>
                <w:tcPr/>
                <w:p>
                  <w:pPr>
                    <w:pStyle w:val="Compact"/>
                    <w:jc w:val="center"/>
                  </w:pPr>
                  <w:r>
                    <w:t xml:space="preserve">0.9743</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8.3196</w:t>
                  </w:r>
                </w:p>
              </w:tc>
              <w:tc>
                <w:tcPr/>
                <w:p>
                  <w:pPr>
                    <w:pStyle w:val="Compact"/>
                    <w:jc w:val="center"/>
                  </w:pPr>
                  <w:r>
                    <w:t xml:space="preserve">7.9162</w:t>
                  </w:r>
                </w:p>
              </w:tc>
              <w:tc>
                <w:tcPr/>
                <w:p>
                  <w:pPr>
                    <w:pStyle w:val="Compact"/>
                    <w:jc w:val="center"/>
                  </w:pPr>
                  <w:r>
                    <w:t xml:space="preserve">8.7628</w:t>
                  </w:r>
                </w:p>
              </w:tc>
              <w:tc>
                <w:tcPr/>
                <w:p>
                  <w:pPr>
                    <w:pStyle w:val="Compact"/>
                    <w:jc w:val="center"/>
                  </w:pPr>
                  <w:r>
                    <w:t xml:space="preserve">7.5159</w:t>
                  </w:r>
                </w:p>
              </w:tc>
              <w:tc>
                <w:tcPr/>
                <w:p>
                  <w:pPr>
                    <w:pStyle w:val="Compact"/>
                    <w:jc w:val="center"/>
                  </w:pPr>
                  <w:r>
                    <w:t xml:space="preserve">6.8119</w:t>
                  </w:r>
                </w:p>
              </w:tc>
              <w:tc>
                <w:tcPr/>
                <w:p>
                  <w:pPr>
                    <w:pStyle w:val="Compact"/>
                    <w:jc w:val="center"/>
                  </w:pPr>
                  <w:r>
                    <w:t xml:space="preserve">8.3283</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1.5012</w:t>
                  </w:r>
                </w:p>
              </w:tc>
              <w:tc>
                <w:tcPr/>
                <w:p>
                  <w:pPr>
                    <w:pStyle w:val="Compact"/>
                    <w:jc w:val="center"/>
                  </w:pPr>
                  <w:r>
                    <w:t xml:space="preserve">1.4927</w:t>
                  </w:r>
                </w:p>
              </w:tc>
              <w:tc>
                <w:tcPr/>
                <w:p>
                  <w:pPr>
                    <w:pStyle w:val="Compact"/>
                    <w:jc w:val="center"/>
                  </w:pPr>
                  <w:r>
                    <w:t xml:space="preserve">1.5095</w:t>
                  </w:r>
                </w:p>
              </w:tc>
              <w:tc>
                <w:tcPr/>
                <w:p>
                  <w:pPr>
                    <w:pStyle w:val="Compact"/>
                    <w:jc w:val="center"/>
                  </w:pPr>
                  <w:r>
                    <w:t xml:space="preserve">1.5157</w:t>
                  </w:r>
                </w:p>
              </w:tc>
              <w:tc>
                <w:tcPr/>
                <w:p>
                  <w:pPr>
                    <w:pStyle w:val="Compact"/>
                    <w:jc w:val="center"/>
                  </w:pPr>
                  <w:r>
                    <w:t xml:space="preserve">1.4951</w:t>
                  </w:r>
                </w:p>
              </w:tc>
              <w:tc>
                <w:tcPr/>
                <w:p>
                  <w:pPr>
                    <w:pStyle w:val="Compact"/>
                    <w:jc w:val="center"/>
                  </w:pPr>
                  <w:r>
                    <w:t xml:space="preserve">1.5366</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-0.1527</w:t>
                  </w:r>
                </w:p>
              </w:tc>
              <w:tc>
                <w:tcPr/>
                <w:p>
                  <w:pPr>
                    <w:pStyle w:val="Compact"/>
                    <w:jc w:val="center"/>
                  </w:pPr>
                  <w:r>
                    <w:t xml:space="preserve">-0.1471</w:t>
                  </w:r>
                </w:p>
              </w:tc>
              <w:tc>
                <w:tcPr/>
                <w:p>
                  <w:pPr>
                    <w:pStyle w:val="Compact"/>
                    <w:jc w:val="center"/>
                  </w:pPr>
                  <w:r>
                    <w:t xml:space="preserve">-0.1474</w:t>
                  </w:r>
                </w:p>
              </w:tc>
              <w:tc>
                <w:tcPr/>
                <w:p>
                  <w:pPr>
                    <w:pStyle w:val="Compact"/>
                    <w:jc w:val="center"/>
                  </w:pPr>
                  <w:r>
                    <w:t xml:space="preserve">-0.1544</w:t>
                  </w:r>
                </w:p>
              </w:tc>
              <w:tc>
                <w:tcPr/>
                <w:p>
                  <w:pPr>
                    <w:pStyle w:val="Compact"/>
                    <w:jc w:val="center"/>
                  </w:pPr>
                  <w:r>
                    <w:t xml:space="preserve">-0.1404</w:t>
                  </w:r>
                </w:p>
              </w:tc>
            </w:tr>
          </w:tbl>
          <w:bookmarkEnd w:id="46"/>
          <w:p/>
        </w:tc>
      </w:tr>
    </w:tbl>
    <w:p>
      <w:pPr>
        <w:pStyle w:val="BodyText"/>
      </w:pPr>
      <w:r>
        <w:t xml:space="preserve">We can also overlay the posterior fitted curves on the simulated data (</w:t>
      </w:r>
      <w:hyperlink w:anchor="fig-recovery-fit">
        <w:r>
          <w:rPr>
            <w:rStyle w:val="Hyperlink"/>
          </w:rPr>
          <w:t xml:space="preserve">Figure S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0" w:name="fig-recovery-fit"/>
          <w:p>
            <w:pPr>
              <w:jc w:val="center"/>
            </w:pPr>
            <w:r>
              <w:drawing>
                <wp:inline>
                  <wp:extent cx="5943600" cy="3714750"/>
                  <wp:effectExtent b="0" l="0" r="0" t="0"/>
                  <wp:docPr descr="" title="" id="48" name="Picture"/>
                  <a:graphic>
                    <a:graphicData uri="http://schemas.openxmlformats.org/drawingml/2006/picture">
                      <pic:pic>
                        <pic:nvPicPr>
                          <pic:cNvPr descr="supplement_files/figure-docx/plot-recovery-fit-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0"/>
        </w:tc>
      </w:tr>
    </w:tbl>
    <w:bookmarkEnd w:id="51"/>
    <w:bookmarkEnd w:id="52"/>
    <w:bookmarkStart w:id="62" w:name="sec-joint-derive"/>
    <w:p>
      <w:pPr>
        <w:pStyle w:val="Heading3"/>
      </w:pPr>
      <w:r>
        <w:t xml:space="preserve">1.0.4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bookmarkStart w:id="53" w:name="annotated-cell-11"/>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w:t>
      </w:r>
      <w:r>
        <w:br/>
      </w:r>
      <w:r>
        <w:rPr>
          <w:rStyle w:val="NormalTok"/>
        </w:rPr>
        <w:t xml:space="preserve">}</w:t>
      </w:r>
      <w:r>
        <w:br/>
      </w:r>
      <w:r>
        <w:br/>
      </w:r>
      <w:r>
        <w:rPr>
          <w:rStyle w:val="CommentTok"/>
        </w:rPr>
        <w:t xml:space="preserve"># Apply to both fits to get posterior draws of (z, CTmax_1hr).</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bookmarkEnd w:id="53"/>
    <w:p>
      <w:pPr>
        <w:pStyle w:val="DefinitionTerm"/>
      </w:pPr>
      <w:r>
        <w:t xml:space="preserve">Line 4</w:t>
      </w:r>
    </w:p>
    <w:p>
      <w:pPr>
        <w:pStyle w:val="Definition"/>
      </w:pPr>
      <w:r>
        <w:t xml:space="preserve">Pull the joint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 the brms fit as a data frame, with one row per posterior draw.</w:t>
      </w:r>
    </w:p>
    <w:p>
      <w:pPr>
        <w:pStyle w:val="DefinitionTerm"/>
      </w:pPr>
      <w:r>
        <w:t xml:space="preserve">Line 6</w:t>
      </w:r>
    </w:p>
    <w:p>
      <w:pPr>
        <w:pStyle w:val="Definition"/>
      </w:pPr>
      <w:r>
        <w:t xml:space="preserve">For each draw, compute thermal sensitivity</w:t>
      </w:r>
      <w:r>
        <w:t xml:space="preserve"> </w:t>
      </w:r>
      <m:oMath>
        <m:r>
          <m:t>z</m:t>
        </m:r>
        <m:r>
          <m:rPr>
            <m:sty m:val="p"/>
          </m:rPr>
          <m:t>=</m:t>
        </m:r>
        <m:r>
          <m:rPr>
            <m:sty m:val="p"/>
          </m:rPr>
          <m:t>−</m:t>
        </m:r>
        <m:r>
          <m:t>1</m:t>
        </m:r>
        <m:r>
          <m:rPr>
            <m:sty m:val="p"/>
          </m:rPr>
          <m:t>/</m:t>
        </m:r>
        <m:sSub>
          <m:e>
            <m:r>
              <m:t>β</m:t>
            </m:r>
          </m:e>
          <m:sub>
            <m:r>
              <m:t>1</m:t>
            </m:r>
          </m:sub>
        </m:sSub>
      </m:oMath>
      <w:r>
        <w:t xml:space="preserve">.</w:t>
      </w:r>
    </w:p>
    <w:p>
      <w:pPr>
        <w:pStyle w:val="DefinitionTerm"/>
      </w:pPr>
      <w:r>
        <w:t xml:space="preserve">Line 7</w:t>
      </w:r>
    </w:p>
    <w:p>
      <w:pPr>
        <w:pStyle w:val="Definition"/>
      </w:pPr>
      <w:r>
        <w:t xml:space="preserve">Compute the asymmetry-corrected intercept</w:t>
      </w:r>
      <w:r>
        <w:t xml:space="preserve"> </w:t>
      </w:r>
      <m:oMath>
        <m:r>
          <m:t>α</m:t>
        </m:r>
        <m:r>
          <m:rPr>
            <m:sty m:val="p"/>
          </m:rPr>
          <m:t>=</m:t>
        </m:r>
        <m:sSub>
          <m:e>
            <m:r>
              <m:t>β</m:t>
            </m:r>
          </m:e>
          <m:sub>
            <m:r>
              <m:t>0</m:t>
            </m:r>
          </m:sub>
        </m:sSub>
        <m:r>
          <m:rPr>
            <m:sty m:val="p"/>
          </m:rPr>
          <m:t>+</m:t>
        </m:r>
        <m:d>
          <m:dPr>
            <m:begChr m:val="("/>
            <m:sepChr m:val=""/>
            <m:endChr m:val=")"/>
            <m:grow/>
          </m:dPr>
          <m:e>
            <m:r>
              <m:t>1</m:t>
            </m:r>
            <m:r>
              <m:rPr>
                <m:sty m:val="p"/>
              </m:rPr>
              <m:t>/</m:t>
            </m:r>
            <m:r>
              <m:t>k</m:t>
            </m:r>
          </m:e>
        </m:d>
        <m:r>
          <m:rPr>
            <m:sty m:val="p"/>
          </m:rPr>
          <m:t>log</m:t>
        </m:r>
        <m:r>
          <m:t>​</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r>
          <m:rPr>
            <m:sty m:val="p"/>
          </m:rPr>
          <m:t>−</m:t>
        </m:r>
        <m:sSub>
          <m:e>
            <m:r>
              <m:t>β</m:t>
            </m:r>
          </m:e>
          <m:sub>
            <m:r>
              <m:t>1</m:t>
            </m:r>
          </m:sub>
        </m:sSub>
        <m:acc>
          <m:accPr>
            <m:chr m:val="‾"/>
          </m:accPr>
          <m:e>
            <m:r>
              <m:t>T</m:t>
            </m:r>
          </m:e>
        </m:acc>
      </m:oMath>
      <w:r>
        <w:t xml:space="preserve"> </w:t>
      </w:r>
      <w:r>
        <w:t xml:space="preserve">used in the closed-form</w:t>
      </w:r>
      <w:r>
        <w:t xml:space="preserve"> </w:t>
      </w:r>
      <m:oMath>
        <m:r>
          <m:t>C</m:t>
        </m:r>
        <m:sSub>
          <m:e>
            <m:r>
              <m:t>T</m:t>
            </m:r>
          </m:e>
          <m:sub>
            <m:r>
              <m:t>m</m:t>
            </m:r>
            <m:r>
              <m:t>a</m:t>
            </m:r>
            <m:r>
              <m:t>x</m:t>
            </m:r>
          </m:sub>
        </m:sSub>
      </m:oMath>
      <w:r>
        <w:t xml:space="preserve"> </w:t>
      </w:r>
      <w:r>
        <w:t xml:space="preserve">expression.</w:t>
      </w:r>
    </w:p>
    <w:p>
      <w:pPr>
        <w:pStyle w:val="DefinitionTerm"/>
      </w:pPr>
      <w:r>
        <w:t xml:space="preserve">Line 11</w:t>
      </w:r>
    </w:p>
    <w:p>
      <w:pPr>
        <w:pStyle w:val="Definition"/>
      </w:pPr>
      <w:r>
        <w:t xml:space="preserve">Compute</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the temperature at which median lethal time equals 1 hour.</w:t>
      </w:r>
    </w:p>
    <w:p>
      <w:pPr>
        <w:pStyle w:val="DefinitionTerm"/>
      </w:pPr>
      <w:r>
        <w:t xml:space="preserve">Line 13</w:t>
      </w:r>
    </w:p>
    <w:p>
      <w:pPr>
        <w:pStyle w:val="Definition"/>
      </w:pPr>
      <w:r>
        <w:t xml:space="preserve">Keep only the two derived quantities — the posterior is now a draws-by-2 tibble.</w:t>
      </w:r>
    </w:p>
    <w:tbl>
      <w:tblPr>
        <w:tblStyle w:val="Table"/>
        <w:tblW w:type="pct" w:w="5000"/>
        <w:tblLayout w:type="fixed"/>
        <w:tblLook w:firstRow="0" w:lastRow="0" w:firstColumn="0" w:lastColumn="0" w:noHBand="0" w:noVBand="0" w:val="0000"/>
      </w:tblPr>
      <w:tblGrid>
        <w:gridCol w:w="7920"/>
      </w:tblGrid>
      <w:tr>
        <w:tc>
          <w:tcPr/>
          <w:bookmarkStart w:id="54" w:name="tbl-tls-recovery"/>
          <w:p>
            <w:pPr>
              <w:jc w:val="center"/>
            </w:pPr>
            <w:pPr>
              <w:jc w:val="start"/>
              <w:spacing w:before="200"/>
              <w:pStyle w:val="ImageCaption"/>
            </w:pPr>
            <w:r>
              <w:t xml:space="preserve">Table S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tls-recovery"/>
          <w:p>
            <w:pPr>
              <w:jc w:val="center"/>
            </w:pPr>
            <w:r>
              <w:drawing>
                <wp:inline>
                  <wp:extent cx="5943600" cy="2971800"/>
                  <wp:effectExtent b="0" l="0" r="0" t="0"/>
                  <wp:docPr descr="" title="" id="56" name="Picture"/>
                  <a:graphic>
                    <a:graphicData uri="http://schemas.openxmlformats.org/drawingml/2006/picture">
                      <pic:pic>
                        <pic:nvPicPr>
                          <pic:cNvPr descr="supplement_files/figure-docx/plot-tls-recovery-1.png" id="57" name="Picture"/>
                          <pic:cNvPicPr>
                            <a:picLocks noChangeArrowheads="1" noChangeAspect="1"/>
                          </pic:cNvPicPr>
                        </pic:nvPicPr>
                        <pic:blipFill>
                          <a:blip r:embed="rId5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58"/>
        </w:tc>
      </w:tr>
    </w:tbl>
    <w:p>
      <w:pPr>
        <w:pStyle w:val="BodyText"/>
      </w:pPr>
      <w:r>
        <w:t xml:space="preserve">The two derived quantities recover their simulation truth in both fits (</w:t>
      </w:r>
      <w:hyperlink w:anchor="tbl-tls-recovery">
        <w:r>
          <w:rPr>
            <w:rStyle w:val="Hyperlink"/>
          </w:rPr>
          <w:t xml:space="preserve">Table S 3</w:t>
        </w:r>
      </w:hyperlink>
      <w:r>
        <w:t xml:space="preserve">,</w:t>
      </w:r>
      <w:r>
        <w:t xml:space="preserve"> </w:t>
      </w:r>
      <w:hyperlink w:anchor="fig-tls-recovery">
        <w:r>
          <w:rPr>
            <w:rStyle w:val="Hyperlink"/>
          </w:rPr>
          <w:t xml:space="preserve">Figure S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uncert-z-ct"/>
          <w:p>
            <w:pPr>
              <w:jc w:val="center"/>
            </w:pPr>
            <w:pPr>
              <w:jc w:val="start"/>
              <w:spacing w:before="200"/>
              <w:pStyle w:val="ImageCaption"/>
            </w:pPr>
            <w:r>
              <w:t xml:space="preserve">Table S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0.0629</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6.79</w:t>
                  </w:r>
                </w:p>
              </w:tc>
              <w:tc>
                <w:tcPr/>
                <w:p>
                  <w:pPr>
                    <w:pStyle w:val="Compact"/>
                    <w:jc w:val="center"/>
                  </w:pPr>
                  <w:r>
                    <w:t xml:space="preserve">0.1643</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32.21</w:t>
                  </w:r>
                </w:p>
              </w:tc>
              <w:tc>
                <w:tcPr/>
                <w:p>
                  <w:pPr>
                    <w:pStyle w:val="Compact"/>
                    <w:jc w:val="center"/>
                  </w:pPr>
                  <w:r>
                    <w:t xml:space="preserve">0.0793</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2"/>
    <w:bookmarkStart w:id="65" w:name="sec-compare"/>
    <w:p>
      <w:pPr>
        <w:pStyle w:val="Heading3"/>
      </w:pPr>
      <w:r>
        <w:t xml:space="preserve">1.0.5</w:t>
      </w:r>
      <w:r>
        <w:t xml:space="preserve"> </w:t>
      </w:r>
      <w:r>
        <w:rPr>
          <w:i/>
          <w:iCs/>
        </w:rPr>
        <w:t xml:space="preserve">Comparing the two pipelines</w:t>
      </w:r>
    </w:p>
    <w:bookmarkStart w:id="64" w:name="sec-compare-table"/>
    <w:p>
      <w:pPr>
        <w:pStyle w:val="Heading4"/>
      </w:pPr>
      <w:r>
        <w:t xml:space="preserve">1.0.5.1 Point-estimate agreement on the same data</w:t>
      </w:r>
    </w:p>
    <w:p>
      <w:pPr>
        <w:pStyle w:val="FirstParagraph"/>
      </w:pPr>
      <w:hyperlink w:anchor="tbl-twostage-compare">
        <w:r>
          <w:rPr>
            <w:rStyle w:val="Hyperlink"/>
          </w:rPr>
          <w:t xml:space="preserve">Table S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63" w:name="tbl-twostage-compare"/>
          <w:p>
            <w:pPr>
              <w:jc w:val="center"/>
            </w:pPr>
            <w:pPr>
              <w:jc w:val="start"/>
              <w:spacing w:before="200"/>
              <w:pStyle w:val="ImageCaption"/>
            </w:pPr>
            <w:r>
              <w:t xml:space="preserve">Table S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6.67</w:t>
                  </w:r>
                </w:p>
              </w:tc>
              <w:tc>
                <w:tcPr/>
                <w:p>
                  <w:pPr>
                    <w:pStyle w:val="Compact"/>
                    <w:jc w:val="center"/>
                  </w:pPr>
                  <w:r>
                    <w:t xml:space="preserve">6.99</w:t>
                  </w:r>
                </w:p>
              </w:tc>
              <w:tc>
                <w:tcPr/>
                <w:p>
                  <w:pPr>
                    <w:pStyle w:val="Compact"/>
                    <w:jc w:val="center"/>
                  </w:pPr>
                  <w:r>
                    <w:t xml:space="preserve">6.78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32.21</w:t>
                  </w:r>
                </w:p>
              </w:tc>
            </w:tr>
          </w:tbl>
          <w:bookmarkEnd w:id="6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64"/>
    <w:bookmarkEnd w:id="65"/>
    <w:bookmarkStart w:id="74" w:name="sec-joint-extend"/>
    <w:p>
      <w:pPr>
        <w:pStyle w:val="Heading3"/>
      </w:pPr>
      <w:r>
        <w:t xml:space="preserve">1.0.6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2"/>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2"/>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2"/>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66"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3</m:t>
              </m:r>
            </m:e>
          </m:d>
        </m:oMath>
      </m:oMathPara>
      <w:bookmarkEnd w:id="66"/>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3"/>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3"/>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67" w:name="sec-joint-extend-recipe"/>
    <w:p>
      <w:pPr>
        <w:pStyle w:val="Heading4"/>
      </w:pPr>
      <w:r>
        <w:t xml:space="preserve">1.0.6.1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1.0.4</w:t>
        </w:r>
      </w:hyperlink>
      <w:r>
        <w:t xml:space="preserve">.</w:t>
      </w:r>
    </w:p>
    <w:bookmarkEnd w:id="67"/>
    <w:bookmarkStart w:id="73" w:name="sec-joint-extend-example"/>
    <w:p>
      <w:pPr>
        <w:pStyle w:val="Heading4"/>
      </w:pPr>
      <w:r>
        <w:t xml:space="preserve">1.0.6.2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S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true-surface-ext"/>
          <w:p>
            <w:pPr>
              <w:jc w:val="center"/>
            </w:pPr>
            <w:r>
              <w:drawing>
                <wp:inline>
                  <wp:extent cx="5943600" cy="3714750"/>
                  <wp:effectExtent b="0" l="0" r="0" t="0"/>
                  <wp:docPr descr="" title="" id="69" name="Picture"/>
                  <a:graphic>
                    <a:graphicData uri="http://schemas.openxmlformats.org/drawingml/2006/picture">
                      <pic:pic>
                        <pic:nvPicPr>
                          <pic:cNvPr descr="supplement_files/figure-docx/plot-true-surface-ext-1.png" id="70" name="Picture"/>
                          <pic:cNvPicPr>
                            <a:picLocks noChangeArrowheads="1" noChangeAspect="1"/>
                          </pic:cNvPicPr>
                        </pic:nvPicPr>
                        <pic:blipFill>
                          <a:blip r:embed="rId6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71"/>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72" w:name="tbl-ext-recovery"/>
          <w:p>
            <w:pPr>
              <w:jc w:val="center"/>
            </w:pPr>
            <w:pPr>
              <w:jc w:val="start"/>
              <w:spacing w:before="200"/>
              <w:pStyle w:val="ImageCaption"/>
            </w:pPr>
            <w:r>
              <w:t xml:space="preserve">Table S 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72"/>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1.0.4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73"/>
    <w:bookmarkEnd w:id="74"/>
    <w:bookmarkStart w:id="90" w:name="Xe7aa7dad2263dcc53896638c26df8fa36c3ac15"/>
    <w:p>
      <w:pPr>
        <w:pStyle w:val="Heading3"/>
      </w:pPr>
      <w:r>
        <w:t xml:space="preserve">1.0.7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(Equation 9 of the manuscript).</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1.0.4</w:t>
        </w:r>
      </w:hyperlink>
      <w:r>
        <w:t xml:space="preserve">.</w:t>
      </w:r>
    </w:p>
    <w:bookmarkStart w:id="79" w:name="X2565bbe8bf2ef4bf1ac0b43de14fb322f1e6d4c"/>
    <w:p>
      <w:pPr>
        <w:pStyle w:val="Heading4"/>
      </w:pPr>
      <w:r>
        <w:t xml:space="preserve">1.0.7.1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78" w:name="fig-hi-trace"/>
          <w:p>
            <w:pPr>
              <w:jc w:val="center"/>
            </w:pPr>
            <w:r>
              <w:drawing>
                <wp:inline>
                  <wp:extent cx="5943600" cy="2122714"/>
                  <wp:effectExtent b="0" l="0" r="0" t="0"/>
                  <wp:docPr descr="" title="" id="76" name="Picture"/>
                  <a:graphic>
                    <a:graphicData uri="http://schemas.openxmlformats.org/drawingml/2006/picture">
                      <pic:pic>
                        <pic:nvPicPr>
                          <pic:cNvPr descr="supplement_files/figure-docx/plot-hi-trace-1.png" id="77" name="Picture"/>
                          <pic:cNvPicPr>
                            <a:picLocks noChangeArrowheads="1" noChangeAspect="1"/>
                          </pic:cNvPicPr>
                        </pic:nvPicPr>
                        <pic:blipFill>
                          <a:blip r:embed="rId75"/>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78"/>
        </w:tc>
      </w:tr>
    </w:tbl>
    <w:bookmarkEnd w:id="79"/>
    <w:bookmarkStart w:id="84" w:name="Xe6877a6f5dc983cb0dd5eab502e7dafa22c855c"/>
    <w:p>
      <w:pPr>
        <w:pStyle w:val="Heading4"/>
      </w:pPr>
      <w:r>
        <w:t xml:space="preserve">1.0.7.2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(Equation 7 of the manuscript)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3" w:name="fig-hi-accumulation"/>
          <w:p>
            <w:pPr>
              <w:jc w:val="center"/>
            </w:pPr>
            <w:r>
              <w:drawing>
                <wp:inline>
                  <wp:extent cx="5943600" cy="2971800"/>
                  <wp:effectExtent b="0" l="0" r="0" t="0"/>
                  <wp:docPr descr="" title="" id="81" name="Picture"/>
                  <a:graphic>
                    <a:graphicData uri="http://schemas.openxmlformats.org/drawingml/2006/picture">
                      <pic:pic>
                        <pic:nvPicPr>
                          <pic:cNvPr descr="supplement_files/figure-docx/plot-hi-accumulation-1.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83"/>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84"/>
    <w:bookmarkStart w:id="89" w:name="Xb3b11273ea892ff4aeb7c2ae041ff3fdc5de6b0"/>
    <w:p>
      <w:pPr>
        <w:pStyle w:val="Heading4"/>
      </w:pPr>
      <w:r>
        <w:t xml:space="preserve">1.0.7.3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(Equation 9 of the manuscript).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8" w:name="fig-survival-pred"/>
          <w:p>
            <w:pPr>
              <w:jc w:val="center"/>
            </w:pPr>
            <w:r>
              <w:drawing>
                <wp:inline>
                  <wp:extent cx="5943600" cy="2971800"/>
                  <wp:effectExtent b="0" l="0" r="0" t="0"/>
                  <wp:docPr descr="" title="" id="86" name="Picture"/>
                  <a:graphic>
                    <a:graphicData uri="http://schemas.openxmlformats.org/drawingml/2006/picture">
                      <pic:pic>
                        <pic:nvPicPr>
                          <pic:cNvPr descr="supplement_files/figure-docx/plot-s-pred-1.png" id="87" name="Picture"/>
                          <pic:cNvPicPr>
                            <a:picLocks noChangeArrowheads="1" noChangeAspect="1"/>
                          </pic:cNvPicPr>
                        </pic:nvPicPr>
                        <pic:blipFill>
                          <a:blip r:embed="rId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Posterior predicted population-level survival fraction under the 5-day field trace, computed from the model (Equation 9 of the manuscript).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88"/>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89"/>
    <w:bookmarkEnd w:id="90"/>
    <w:bookmarkEnd w:id="91"/>
    <w:bookmarkStart w:id="107" w:name="references"/>
    <w:p>
      <w:pPr>
        <w:pStyle w:val="Heading1"/>
      </w:pPr>
      <w:r>
        <w:t xml:space="preserve">2. </w:t>
      </w:r>
      <w:r>
        <w:rPr>
          <w:b/>
          <w:bCs/>
        </w:rPr>
        <w:t xml:space="preserve">References</w:t>
      </w:r>
    </w:p>
    <w:bookmarkStart w:id="106" w:name="refs"/>
    <w:bookmarkStart w:id="93"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92">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93"/>
    <w:bookmarkStart w:id="95" w:name="ref-jorgensen_unifying_2021"/>
    <w:p>
      <w:pPr>
        <w:pStyle w:val="Bibliography"/>
      </w:pPr>
      <w:r>
        <w:t xml:space="preserve">Jørgensen, L.B., Malte, H. &amp; Overgaard, J. (2021).</w:t>
      </w:r>
      <w:r>
        <w:t xml:space="preserve"> </w:t>
      </w:r>
      <w:hyperlink r:id="rId94">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5"/>
    <w:bookmarkStart w:id="97" w:name="ref-kingsolver_umbanhowar_2018"/>
    <w:p>
      <w:pPr>
        <w:pStyle w:val="Bibliography"/>
      </w:pPr>
      <w:r>
        <w:t xml:space="preserve">Kingsolver, J.G. &amp; Umbanhowar, J. (2018).</w:t>
      </w:r>
      <w:r>
        <w:t xml:space="preserve"> </w:t>
      </w:r>
      <w:hyperlink r:id="rId96">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97"/>
    <w:bookmarkStart w:id="99"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8">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9"/>
    <w:bookmarkStart w:id="101" w:name="ref-orsted_finding_2022"/>
    <w:p>
      <w:pPr>
        <w:pStyle w:val="Bibliography"/>
      </w:pPr>
      <w:r>
        <w:t xml:space="preserve">Ørsted, M., Jørgensen, L.B. &amp; Overgaard, J. (2022).</w:t>
      </w:r>
      <w:r>
        <w:t xml:space="preserve"> </w:t>
      </w:r>
      <w:hyperlink r:id="rId100">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1"/>
    <w:bookmarkStart w:id="103"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3"/>
    <w:bookmarkStart w:id="105"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5"/>
    <w:bookmarkEnd w:id="106"/>
    <w:bookmarkEnd w:id="107"/>
    <w:bookmarkStart w:id="108" w:name="session-information"/>
    <w:p>
      <w:pPr>
        <w:pStyle w:val="Heading1"/>
      </w:pPr>
      <w:r>
        <w:t xml:space="preserve">3.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108"/>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68" Target="media/rId68.png" /><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2026-05-09T07:24:54Z</dcterms:created>
  <dcterms:modified xsi:type="dcterms:W3CDTF">2026-05-09T07:24:54Z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2026-05-09</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